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imes New Roman" w:hAnsi="Times New Roman" w:cs="Times New Roman"/>
          <w:b/>
          <w:bCs/>
          <w:sz w:val="44"/>
          <w:szCs w:val="44"/>
        </w:rPr>
      </w:pPr>
      <w:r>
        <w:rPr>
          <w:rFonts w:hint="eastAsia" w:ascii="Times New Roman" w:hAnsi="Times New Roman" w:cs="Times New Roman"/>
          <w:b/>
          <w:bCs/>
          <w:sz w:val="44"/>
          <w:szCs w:val="44"/>
        </w:rPr>
        <w:t>安徽省高速公路试验检测科研中心有限公司</w:t>
      </w:r>
    </w:p>
    <w:p>
      <w:pPr>
        <w:widowControl/>
        <w:jc w:val="center"/>
        <w:rPr>
          <w:rFonts w:hint="eastAsia" w:ascii="Times New Roman" w:hAnsi="Times New Roman" w:cs="Times New Roman"/>
          <w:b/>
          <w:bCs/>
          <w:sz w:val="36"/>
          <w:szCs w:val="36"/>
        </w:rPr>
      </w:pPr>
      <w:r>
        <w:rPr>
          <w:rFonts w:hint="eastAsia" w:ascii="Times New Roman" w:hAnsi="Times New Roman" w:cs="Times New Roman"/>
          <w:b/>
          <w:bCs/>
          <w:sz w:val="36"/>
          <w:szCs w:val="36"/>
          <w:lang w:val="en-US" w:eastAsia="zh-CN"/>
        </w:rPr>
        <w:t>外检数据处理信息化项目研发及技术服务</w:t>
      </w:r>
      <w:r>
        <w:rPr>
          <w:rFonts w:hint="eastAsia" w:ascii="Times New Roman" w:hAnsi="Times New Roman" w:cs="Times New Roman"/>
          <w:b/>
          <w:bCs/>
          <w:sz w:val="36"/>
          <w:szCs w:val="36"/>
        </w:rPr>
        <w:t>采购</w:t>
      </w: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0"/>
        <w:outlineLvl w:val="9"/>
        <w:rPr>
          <w:rFonts w:ascii="Times New Roman" w:hAnsi="Times New Roman" w:cs="Times New Roman"/>
          <w:szCs w:val="21"/>
        </w:rPr>
      </w:pPr>
    </w:p>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  比  文</w:t>
      </w:r>
      <w:r>
        <w:rPr>
          <w:rFonts w:hint="eastAsia" w:ascii="Times New Roman" w:hAnsi="Times New Roman" w:eastAsia="黑体" w:cs="Times New Roman"/>
          <w:sz w:val="72"/>
          <w:szCs w:val="72"/>
        </w:rPr>
        <w:t xml:space="preserve"> </w:t>
      </w:r>
      <w:r>
        <w:rPr>
          <w:rFonts w:ascii="Times New Roman" w:hAnsi="Times New Roman" w:eastAsia="黑体" w:cs="Times New Roman"/>
          <w:sz w:val="72"/>
          <w:szCs w:val="72"/>
        </w:rPr>
        <w:t>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jc w:val="center"/>
        <w:rPr>
          <w:rFonts w:ascii="Times New Roman" w:hAnsi="Times New Roman" w:cs="Times New Roman"/>
          <w:szCs w:val="21"/>
        </w:rPr>
      </w:pPr>
    </w:p>
    <w:p>
      <w:pPr>
        <w:snapToGrid w:val="0"/>
        <w:jc w:val="center"/>
        <w:rPr>
          <w:rFonts w:ascii="Times New Roman" w:hAnsi="Times New Roman" w:eastAsia="黑体" w:cs="Times New Roman"/>
          <w:sz w:val="32"/>
          <w:szCs w:val="32"/>
        </w:rPr>
      </w:pPr>
      <w:r>
        <w:rPr>
          <w:rFonts w:ascii="Times New Roman" w:hAnsi="Times New Roman" w:eastAsia="黑体" w:cs="Times New Roman"/>
          <w:sz w:val="32"/>
          <w:szCs w:val="32"/>
        </w:rPr>
        <w:t>采 购 人：</w:t>
      </w:r>
      <w:r>
        <w:rPr>
          <w:rFonts w:hint="eastAsia" w:ascii="Times New Roman" w:hAnsi="Times New Roman" w:eastAsia="黑体" w:cs="Times New Roman"/>
          <w:sz w:val="32"/>
          <w:szCs w:val="32"/>
          <w:u w:val="single"/>
        </w:rPr>
        <w:t>安徽省高速公路试验检测科研中心有限公司</w:t>
      </w:r>
    </w:p>
    <w:p>
      <w:pPr>
        <w:snapToGrid w:val="0"/>
        <w:ind w:left="1896" w:leftChars="903"/>
        <w:jc w:val="center"/>
        <w:rPr>
          <w:rFonts w:ascii="Times New Roman" w:hAnsi="Times New Roman" w:cs="Times New Roman"/>
          <w:sz w:val="32"/>
          <w:szCs w:val="32"/>
        </w:rPr>
      </w:pPr>
    </w:p>
    <w:p>
      <w:pPr>
        <w:snapToGrid w:val="0"/>
        <w:ind w:left="-420" w:leftChars="-200" w:firstLine="419" w:firstLineChars="131"/>
        <w:jc w:val="center"/>
        <w:rPr>
          <w:rFonts w:ascii="Times New Roman" w:hAnsi="Times New Roman" w:eastAsia="黑体" w:cs="Times New Roman"/>
          <w:sz w:val="32"/>
          <w:szCs w:val="32"/>
        </w:rPr>
      </w:pPr>
      <w:r>
        <w:rPr>
          <w:rFonts w:ascii="Times New Roman" w:hAnsi="Times New Roman" w:eastAsia="黑体" w:cs="Times New Roman"/>
          <w:sz w:val="32"/>
          <w:szCs w:val="32"/>
        </w:rPr>
        <w:t>日期</w:t>
      </w:r>
      <w:r>
        <w:rPr>
          <w:rFonts w:ascii="Times New Roman" w:hAnsi="Times New Roman" w:cs="Times New Roman"/>
          <w:sz w:val="32"/>
          <w:szCs w:val="32"/>
        </w:rPr>
        <w:t>：</w:t>
      </w:r>
      <w:r>
        <w:rPr>
          <w:rFonts w:hint="eastAsia" w:ascii="Times New Roman" w:hAnsi="Times New Roman" w:cs="Times New Roman"/>
          <w:sz w:val="32"/>
          <w:szCs w:val="32"/>
          <w:u w:val="single"/>
        </w:rPr>
        <w:t xml:space="preserve"> </w:t>
      </w:r>
      <w:r>
        <w:rPr>
          <w:rFonts w:hint="eastAsia" w:ascii="Times New Roman" w:hAnsi="Times New Roman" w:eastAsia="黑体" w:cs="Times New Roman"/>
          <w:sz w:val="32"/>
          <w:szCs w:val="32"/>
          <w:u w:val="single"/>
        </w:rPr>
        <w:t>2021</w:t>
      </w:r>
      <w:r>
        <w:rPr>
          <w:rFonts w:ascii="Times New Roman" w:hAnsi="Times New Roman" w:eastAsia="黑体" w:cs="Times New Roman"/>
          <w:sz w:val="32"/>
          <w:szCs w:val="32"/>
        </w:rPr>
        <w:t>年</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1</w:t>
      </w:r>
      <w:r>
        <w:rPr>
          <w:rFonts w:hint="eastAsia" w:ascii="Times New Roman" w:hAnsi="Times New Roman" w:eastAsia="黑体" w:cs="Times New Roman"/>
          <w:sz w:val="32"/>
          <w:szCs w:val="32"/>
          <w:u w:val="single"/>
          <w:lang w:val="en-US" w:eastAsia="zh-CN"/>
        </w:rPr>
        <w:t>2</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rPr>
        <w:t>月</w:t>
      </w:r>
      <w:r>
        <w:rPr>
          <w:rFonts w:hint="eastAsia"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3</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rPr>
        <w:t>日</w:t>
      </w:r>
    </w:p>
    <w:p>
      <w:pPr>
        <w:ind w:left="1896" w:leftChars="903"/>
        <w:rPr>
          <w:rFonts w:ascii="Times New Roman" w:hAnsi="Times New Roman" w:eastAsia="宋体" w:cs="Times New Roman"/>
          <w:color w:val="0000FF"/>
          <w:sz w:val="24"/>
        </w:rPr>
        <w:sectPr>
          <w:pgSz w:w="11906" w:h="16838"/>
          <w:pgMar w:top="1440" w:right="1800" w:bottom="1440" w:left="1380" w:header="851" w:footer="992" w:gutter="0"/>
          <w:cols w:space="425" w:num="1"/>
          <w:docGrid w:type="lines" w:linePitch="312" w:charSpace="0"/>
        </w:sectPr>
      </w:pPr>
    </w:p>
    <w:sdt>
      <w:sdtPr>
        <w:rPr>
          <w:rFonts w:ascii="宋体" w:hAnsi="宋体" w:eastAsia="宋体"/>
          <w:kern w:val="0"/>
          <w:sz w:val="20"/>
          <w:szCs w:val="20"/>
        </w:rPr>
        <w:id w:val="147482575"/>
        <w:docPartObj>
          <w:docPartGallery w:val="Table of Contents"/>
          <w:docPartUnique/>
        </w:docPartObj>
      </w:sdtPr>
      <w:sdtEndPr>
        <w:rPr>
          <w:rFonts w:asciiTheme="minorHAnsi" w:hAnsiTheme="minorHAnsi" w:eastAsiaTheme="minorEastAsia"/>
          <w:kern w:val="0"/>
          <w:sz w:val="20"/>
          <w:szCs w:val="20"/>
        </w:rPr>
      </w:sdtEndPr>
      <w:sdtContent>
        <w:p>
          <w:pPr>
            <w:jc w:val="center"/>
            <w:rPr>
              <w:rFonts w:ascii="Times New Roman" w:hAnsi="Times New Roman" w:cs="Times New Roman"/>
              <w:sz w:val="28"/>
              <w:szCs w:val="28"/>
            </w:rPr>
          </w:pPr>
          <w:r>
            <w:rPr>
              <w:rFonts w:ascii="Times New Roman" w:hAnsi="Times New Roman" w:eastAsia="宋体" w:cs="Times New Roman"/>
              <w:sz w:val="28"/>
              <w:szCs w:val="28"/>
            </w:rPr>
            <w:t>目录</w:t>
          </w:r>
        </w:p>
        <w:p>
          <w:pPr>
            <w:pStyle w:val="34"/>
            <w:tabs>
              <w:tab w:val="right" w:leader="dot" w:pos="8312"/>
            </w:tabs>
            <w:spacing w:line="360" w:lineRule="auto"/>
            <w:rPr>
              <w:rFonts w:ascii="Times New Roman" w:hAnsi="Times New Roman" w:cs="Times New Roman"/>
              <w:sz w:val="28"/>
              <w:szCs w:val="28"/>
            </w:rPr>
          </w:pPr>
          <w:r>
            <w:fldChar w:fldCharType="begin"/>
          </w:r>
          <w:r>
            <w:instrText xml:space="preserve"> HYPERLINK \l "_Toc29394_WPSOffice_Level1" </w:instrText>
          </w:r>
          <w:r>
            <w:fldChar w:fldCharType="separate"/>
          </w:r>
          <w:r>
            <w:rPr>
              <w:rFonts w:ascii="Times New Roman" w:hAnsi="Times New Roman" w:eastAsia="宋体" w:cs="Times New Roman"/>
              <w:sz w:val="28"/>
              <w:szCs w:val="28"/>
            </w:rPr>
            <w:t>第一章 采购公告</w:t>
          </w:r>
          <w:r>
            <w:rPr>
              <w:rFonts w:ascii="Times New Roman" w:hAnsi="Times New Roman" w:cs="Times New Roman"/>
              <w:sz w:val="28"/>
              <w:szCs w:val="28"/>
            </w:rPr>
            <w:tab/>
          </w:r>
          <w:r>
            <w:rPr>
              <w:rFonts w:hint="eastAsia" w:ascii="Times New Roman" w:hAnsi="Times New Roman" w:cs="Times New Roman"/>
              <w:sz w:val="28"/>
              <w:szCs w:val="28"/>
              <w:lang w:val="en-US" w:eastAsia="zh-CN"/>
            </w:rPr>
            <w:t>3</w:t>
          </w:r>
          <w:r>
            <w:rPr>
              <w:rFonts w:ascii="Times New Roman" w:hAnsi="Times New Roman" w:cs="Times New Roman"/>
              <w:sz w:val="28"/>
              <w:szCs w:val="28"/>
            </w:rPr>
            <w:fldChar w:fldCharType="end"/>
          </w:r>
        </w:p>
        <w:p>
          <w:pPr>
            <w:pStyle w:val="34"/>
            <w:tabs>
              <w:tab w:val="right" w:leader="dot" w:pos="8312"/>
            </w:tabs>
            <w:spacing w:line="360" w:lineRule="auto"/>
            <w:rPr>
              <w:rFonts w:ascii="Times New Roman" w:hAnsi="Times New Roman" w:cs="Times New Roman"/>
              <w:sz w:val="28"/>
              <w:szCs w:val="28"/>
            </w:rPr>
          </w:pPr>
          <w:r>
            <w:fldChar w:fldCharType="begin"/>
          </w:r>
          <w:r>
            <w:instrText xml:space="preserve"> HYPERLINK \l "_Toc5039_WPSOffice_Level1" </w:instrText>
          </w:r>
          <w:r>
            <w:fldChar w:fldCharType="separate"/>
          </w:r>
          <w:r>
            <w:rPr>
              <w:rFonts w:ascii="Times New Roman" w:hAnsi="Times New Roman" w:eastAsia="宋体" w:cs="Times New Roman"/>
              <w:sz w:val="28"/>
              <w:szCs w:val="28"/>
            </w:rPr>
            <w:t>第二章 供应商须知</w:t>
          </w:r>
          <w:r>
            <w:rPr>
              <w:rFonts w:ascii="Times New Roman" w:hAnsi="Times New Roman" w:cs="Times New Roman"/>
              <w:sz w:val="28"/>
              <w:szCs w:val="28"/>
            </w:rPr>
            <w:tab/>
          </w:r>
          <w:r>
            <w:rPr>
              <w:rFonts w:hint="eastAsia" w:ascii="Times New Roman" w:hAnsi="Times New Roman" w:cs="Times New Roman"/>
              <w:sz w:val="28"/>
              <w:szCs w:val="28"/>
              <w:lang w:val="en-US" w:eastAsia="zh-CN"/>
            </w:rPr>
            <w:t>7</w:t>
          </w:r>
          <w:r>
            <w:rPr>
              <w:rFonts w:ascii="Times New Roman" w:hAnsi="Times New Roman" w:cs="Times New Roman"/>
              <w:sz w:val="28"/>
              <w:szCs w:val="28"/>
            </w:rPr>
            <w:fldChar w:fldCharType="end"/>
          </w:r>
        </w:p>
        <w:p>
          <w:pPr>
            <w:pStyle w:val="34"/>
            <w:tabs>
              <w:tab w:val="right" w:leader="dot" w:pos="8312"/>
            </w:tabs>
            <w:spacing w:line="360" w:lineRule="auto"/>
            <w:rPr>
              <w:rFonts w:hint="eastAsia" w:ascii="Times New Roman" w:hAnsi="Times New Roman" w:cs="Times New Roman" w:eastAsiaTheme="minorEastAsia"/>
              <w:sz w:val="28"/>
              <w:szCs w:val="28"/>
              <w:lang w:val="en-US" w:eastAsia="zh-CN"/>
            </w:rPr>
          </w:pPr>
          <w:r>
            <w:fldChar w:fldCharType="begin"/>
          </w:r>
          <w:r>
            <w:instrText xml:space="preserve"> HYPERLINK \l "_Toc14424_WPSOffice_Level1" </w:instrText>
          </w:r>
          <w:r>
            <w:fldChar w:fldCharType="separate"/>
          </w:r>
          <w:r>
            <w:rPr>
              <w:rFonts w:ascii="Times New Roman" w:hAnsi="Times New Roman" w:eastAsia="宋体" w:cs="Times New Roman"/>
              <w:sz w:val="28"/>
              <w:szCs w:val="28"/>
            </w:rPr>
            <w:t>第三章 评审办法</w:t>
          </w:r>
          <w:r>
            <w:rPr>
              <w:rFonts w:ascii="Times New Roman" w:hAnsi="Times New Roman" w:cs="Times New Roman"/>
              <w:sz w:val="28"/>
              <w:szCs w:val="28"/>
            </w:rPr>
            <w:tab/>
          </w:r>
          <w:r>
            <w:rPr>
              <w:rFonts w:hint="eastAsia" w:ascii="Times New Roman" w:hAnsi="Times New Roman" w:cs="Times New Roman"/>
              <w:sz w:val="28"/>
              <w:szCs w:val="28"/>
              <w:lang w:val="en-US" w:eastAsia="zh-CN"/>
            </w:rPr>
            <w:t>1</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3</w:t>
          </w:r>
        </w:p>
        <w:p>
          <w:pPr>
            <w:pStyle w:val="34"/>
            <w:tabs>
              <w:tab w:val="right" w:leader="dot" w:pos="8312"/>
            </w:tabs>
            <w:spacing w:line="360" w:lineRule="auto"/>
            <w:rPr>
              <w:rFonts w:hint="eastAsia" w:ascii="Times New Roman" w:hAnsi="Times New Roman" w:cs="Times New Roman" w:eastAsiaTheme="minorEastAsia"/>
              <w:sz w:val="28"/>
              <w:szCs w:val="28"/>
              <w:lang w:val="en-US" w:eastAsia="zh-CN"/>
            </w:rPr>
          </w:pPr>
          <w:r>
            <w:fldChar w:fldCharType="begin"/>
          </w:r>
          <w:r>
            <w:instrText xml:space="preserve"> HYPERLINK \l "_Toc3093_WPSOffice_Level1" </w:instrText>
          </w:r>
          <w:r>
            <w:fldChar w:fldCharType="separate"/>
          </w:r>
          <w:r>
            <w:rPr>
              <w:rFonts w:ascii="Times New Roman" w:hAnsi="Times New Roman" w:eastAsia="宋体" w:cs="Times New Roman"/>
              <w:sz w:val="28"/>
              <w:szCs w:val="28"/>
            </w:rPr>
            <w:t>第四章 合同内容</w:t>
          </w:r>
          <w:r>
            <w:rPr>
              <w:rFonts w:ascii="Times New Roman" w:hAnsi="Times New Roman" w:cs="Times New Roman"/>
              <w:sz w:val="28"/>
              <w:szCs w:val="28"/>
            </w:rPr>
            <w:tab/>
          </w:r>
          <w:r>
            <w:rPr>
              <w:rFonts w:hint="eastAsia" w:ascii="Times New Roman" w:hAnsi="Times New Roman" w:cs="Times New Roman"/>
              <w:sz w:val="28"/>
              <w:szCs w:val="28"/>
              <w:lang w:val="en-US" w:eastAsia="zh-CN"/>
            </w:rPr>
            <w:t>1</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7</w:t>
          </w:r>
        </w:p>
        <w:p>
          <w:pPr>
            <w:pStyle w:val="34"/>
            <w:tabs>
              <w:tab w:val="right" w:leader="dot" w:pos="8312"/>
            </w:tabs>
            <w:spacing w:line="360" w:lineRule="auto"/>
            <w:rPr>
              <w:rFonts w:hint="eastAsia" w:ascii="Times New Roman" w:hAnsi="Times New Roman" w:cs="Times New Roman" w:eastAsiaTheme="minorEastAsia"/>
              <w:sz w:val="28"/>
              <w:szCs w:val="28"/>
              <w:lang w:val="en-US" w:eastAsia="zh-CN"/>
            </w:rPr>
          </w:pPr>
          <w:r>
            <w:fldChar w:fldCharType="begin"/>
          </w:r>
          <w:r>
            <w:instrText xml:space="preserve"> HYPERLINK \l "_Toc29924_WPSOffice_Level1" </w:instrText>
          </w:r>
          <w:r>
            <w:fldChar w:fldCharType="separate"/>
          </w:r>
          <w:r>
            <w:rPr>
              <w:rFonts w:ascii="Times New Roman" w:hAnsi="Times New Roman" w:eastAsia="宋体" w:cs="Times New Roman"/>
              <w:sz w:val="28"/>
              <w:szCs w:val="28"/>
            </w:rPr>
            <w:t>第五章 采购需求及清单</w:t>
          </w:r>
          <w:r>
            <w:rPr>
              <w:rFonts w:ascii="Times New Roman" w:hAnsi="Times New Roman" w:cs="Times New Roman"/>
              <w:sz w:val="28"/>
              <w:szCs w:val="28"/>
            </w:rPr>
            <w:tab/>
          </w:r>
          <w:r>
            <w:rPr>
              <w:rFonts w:hint="eastAsia" w:ascii="Times New Roman" w:hAnsi="Times New Roman" w:cs="Times New Roman"/>
              <w:sz w:val="28"/>
              <w:szCs w:val="28"/>
              <w:lang w:val="en-US" w:eastAsia="zh-CN"/>
            </w:rPr>
            <w:t>2</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3</w:t>
          </w:r>
        </w:p>
        <w:p>
          <w:pPr>
            <w:pStyle w:val="34"/>
            <w:tabs>
              <w:tab w:val="right" w:leader="dot" w:pos="8312"/>
            </w:tabs>
            <w:spacing w:line="360" w:lineRule="auto"/>
            <w:rPr>
              <w:rFonts w:hint="eastAsia" w:eastAsiaTheme="minorEastAsia"/>
              <w:lang w:val="en-US" w:eastAsia="zh-CN"/>
            </w:rPr>
          </w:pPr>
          <w:r>
            <w:fldChar w:fldCharType="begin"/>
          </w:r>
          <w:r>
            <w:instrText xml:space="preserve"> HYPERLINK \l "_Toc21204_WPSOffice_Level1" </w:instrText>
          </w:r>
          <w:r>
            <w:fldChar w:fldCharType="separate"/>
          </w:r>
          <w:r>
            <w:rPr>
              <w:rFonts w:ascii="Times New Roman" w:hAnsi="Times New Roman" w:eastAsia="宋体" w:cs="Times New Roman"/>
              <w:sz w:val="28"/>
              <w:szCs w:val="28"/>
            </w:rPr>
            <w:t>第六章 响应文件格式</w:t>
          </w:r>
          <w:r>
            <w:rPr>
              <w:rFonts w:ascii="Times New Roman" w:hAnsi="Times New Roman" w:cs="Times New Roman"/>
              <w:sz w:val="28"/>
              <w:szCs w:val="28"/>
            </w:rPr>
            <w:tab/>
          </w:r>
          <w:r>
            <w:rPr>
              <w:rFonts w:hint="eastAsia" w:ascii="Times New Roman" w:hAnsi="Times New Roman" w:cs="Times New Roman"/>
              <w:sz w:val="28"/>
              <w:szCs w:val="28"/>
              <w:lang w:val="en-US" w:eastAsia="zh-CN"/>
            </w:rPr>
            <w:t>2</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8</w:t>
          </w:r>
        </w:p>
        <w:p>
          <w:pPr>
            <w:pStyle w:val="34"/>
            <w:tabs>
              <w:tab w:val="right" w:leader="dot" w:pos="8312"/>
            </w:tabs>
          </w:pPr>
        </w:p>
      </w:sdtContent>
    </w:sdt>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0" w:name="_Toc29394_WPSOffice_Level1"/>
      <w:r>
        <w:rPr>
          <w:rFonts w:ascii="Times New Roman" w:hAnsi="Times New Roman" w:eastAsia="宋体" w:cs="Times New Roman"/>
        </w:rPr>
        <w:t>采购公告</w:t>
      </w:r>
      <w:bookmarkEnd w:id="0"/>
    </w:p>
    <w:p>
      <w:pPr>
        <w:pStyle w:val="4"/>
        <w:snapToGrid w:val="0"/>
        <w:spacing w:before="120" w:after="120" w:line="240" w:lineRule="auto"/>
        <w:ind w:firstLine="403"/>
        <w:rPr>
          <w:rFonts w:ascii="Times New Roman" w:hAnsi="Times New Roman" w:eastAsia="黑体" w:cs="Times New Roman"/>
          <w:b w:val="0"/>
          <w:sz w:val="22"/>
          <w:szCs w:val="15"/>
        </w:rPr>
      </w:pPr>
      <w:bookmarkStart w:id="1" w:name="_Toc4489_WPSOffice_Level2"/>
      <w:bookmarkStart w:id="2" w:name="_Toc24354_WPSOffice_Level2"/>
      <w:bookmarkStart w:id="3" w:name="_Toc13871"/>
      <w:bookmarkStart w:id="4" w:name="_Toc10395_WPSOffice_Level2"/>
      <w:bookmarkStart w:id="5" w:name="_Toc525632585"/>
      <w:bookmarkStart w:id="6" w:name="_Toc6496_WPSOffice_Level2"/>
      <w:bookmarkStart w:id="7" w:name="_Toc12765"/>
      <w:r>
        <w:rPr>
          <w:rFonts w:ascii="Times New Roman" w:hAnsi="Times New Roman" w:eastAsia="黑体" w:cs="Times New Roman"/>
          <w:b w:val="0"/>
          <w:sz w:val="22"/>
          <w:szCs w:val="15"/>
        </w:rPr>
        <w:t>项目简介</w:t>
      </w:r>
      <w:bookmarkEnd w:id="1"/>
      <w:bookmarkEnd w:id="2"/>
      <w:bookmarkEnd w:id="3"/>
      <w:bookmarkEnd w:id="4"/>
      <w:bookmarkEnd w:id="5"/>
      <w:bookmarkEnd w:id="6"/>
      <w:bookmarkEnd w:id="7"/>
    </w:p>
    <w:p>
      <w:pPr>
        <w:widowControl/>
        <w:ind w:firstLine="420" w:firstLineChars="200"/>
        <w:jc w:val="both"/>
        <w:rPr>
          <w:rFonts w:hint="eastAsia" w:eastAsiaTheme="minorEastAsia"/>
          <w:sz w:val="24"/>
          <w:lang w:eastAsia="zh-CN"/>
        </w:rPr>
      </w:pPr>
      <w:r>
        <w:rPr>
          <w:rFonts w:hint="eastAsia" w:ascii="Times New Roman" w:hAnsi="Times New Roman" w:cs="Times New Roman"/>
          <w:szCs w:val="22"/>
        </w:rPr>
        <w:t>1.1项目名称：</w:t>
      </w:r>
      <w:r>
        <w:rPr>
          <w:rFonts w:hint="eastAsia" w:ascii="Times New Roman" w:hAnsi="Times New Roman" w:cs="Times New Roman"/>
          <w:szCs w:val="22"/>
          <w:u w:val="single"/>
          <w:lang w:val="en-US" w:eastAsia="zh-CN"/>
        </w:rPr>
        <w:t>外检数据处理信息化项目研发及技术服务</w:t>
      </w:r>
      <w:r>
        <w:rPr>
          <w:rFonts w:hint="eastAsia" w:ascii="Times New Roman" w:hAnsi="Times New Roman" w:cs="Times New Roman"/>
          <w:szCs w:val="22"/>
          <w:u w:val="single"/>
        </w:rPr>
        <w:t>采购</w:t>
      </w:r>
    </w:p>
    <w:p>
      <w:pPr>
        <w:snapToGrid w:val="0"/>
        <w:spacing w:line="440" w:lineRule="exact"/>
        <w:ind w:left="420" w:leftChars="200"/>
        <w:rPr>
          <w:rFonts w:ascii="Times New Roman" w:hAnsi="Times New Roman" w:cs="Times New Roman"/>
          <w:szCs w:val="22"/>
        </w:rPr>
      </w:pPr>
      <w:r>
        <w:rPr>
          <w:rFonts w:hint="eastAsia" w:ascii="Times New Roman" w:hAnsi="Times New Roman" w:cs="Times New Roman"/>
          <w:szCs w:val="22"/>
        </w:rPr>
        <w:t>1.2 采 购 人：</w:t>
      </w:r>
      <w:r>
        <w:rPr>
          <w:rFonts w:hint="eastAsia" w:ascii="Times New Roman" w:hAnsi="Times New Roman" w:cs="Times New Roman"/>
          <w:szCs w:val="22"/>
          <w:u w:val="single"/>
        </w:rPr>
        <w:t>安徽省高速公路试验检测科研中心有限公司（以下简称“高速检测”）</w:t>
      </w:r>
    </w:p>
    <w:p>
      <w:pPr>
        <w:snapToGrid w:val="0"/>
        <w:spacing w:line="440" w:lineRule="exact"/>
        <w:ind w:firstLine="420" w:firstLineChars="200"/>
        <w:rPr>
          <w:rFonts w:hint="eastAsia" w:ascii="Times New Roman" w:hAnsi="Times New Roman" w:cs="Times New Roman" w:eastAsiaTheme="minorEastAsia"/>
          <w:szCs w:val="22"/>
          <w:u w:val="single"/>
          <w:lang w:eastAsia="zh-CN"/>
        </w:rPr>
      </w:pPr>
      <w:r>
        <w:rPr>
          <w:rFonts w:hint="eastAsia" w:ascii="Times New Roman" w:hAnsi="Times New Roman" w:cs="Times New Roman"/>
          <w:szCs w:val="22"/>
        </w:rPr>
        <w:t>1.3 项目概况：</w:t>
      </w:r>
      <w:r>
        <w:rPr>
          <w:rFonts w:hint="eastAsia" w:ascii="Times New Roman" w:hAnsi="Times New Roman" w:cs="Times New Roman"/>
          <w:szCs w:val="22"/>
          <w:u w:val="single"/>
        </w:rPr>
        <w:t>为了提升外检工作的便捷性、提高数据处理与资料整理的效率及其准确性，拟研发一套外检数据处理系统，包括数据采集：外观检查、路面技术状况（高速公路）、广告牌检测、需涵盖的受控记录表、支持平台；数据处理：外观检查、路面技术状况（高速公路）、广告牌检测、过程计算；数据输出：外观检查、路面技术状况（高速公路）、广告牌检测、需涵盖的受控记录表、数据加工、报告生成；及平台前后端建设和其他相关内容</w:t>
      </w:r>
      <w:r>
        <w:rPr>
          <w:rFonts w:hint="eastAsia" w:ascii="Times New Roman" w:hAnsi="Times New Roman" w:cs="Times New Roman"/>
          <w:szCs w:val="22"/>
          <w:u w:val="single"/>
          <w:lang w:eastAsia="zh-CN"/>
        </w:rPr>
        <w:t>。</w:t>
      </w:r>
    </w:p>
    <w:p>
      <w:pPr>
        <w:pStyle w:val="4"/>
        <w:snapToGrid w:val="0"/>
        <w:spacing w:before="120" w:after="120" w:line="240" w:lineRule="auto"/>
        <w:ind w:firstLine="403"/>
        <w:rPr>
          <w:rFonts w:ascii="Times New Roman" w:hAnsi="Times New Roman" w:eastAsia="黑体" w:cs="Times New Roman"/>
          <w:b w:val="0"/>
          <w:sz w:val="22"/>
          <w:szCs w:val="15"/>
        </w:rPr>
      </w:pPr>
      <w:bookmarkStart w:id="8" w:name="_Toc525632586"/>
      <w:bookmarkStart w:id="9" w:name="_Toc18453"/>
      <w:bookmarkStart w:id="10" w:name="_Toc18367_WPSOffice_Level2"/>
      <w:bookmarkStart w:id="11" w:name="_Toc10274"/>
      <w:bookmarkStart w:id="12" w:name="_Toc17858_WPSOffice_Level2"/>
      <w:bookmarkStart w:id="13" w:name="_Toc8128_WPSOffice_Level2"/>
      <w:bookmarkStart w:id="14" w:name="_Toc23266_WPSOffice_Level2"/>
      <w:r>
        <w:rPr>
          <w:rFonts w:hint="eastAsia" w:ascii="Times New Roman" w:hAnsi="Times New Roman" w:eastAsia="黑体" w:cs="Times New Roman"/>
          <w:b w:val="0"/>
          <w:sz w:val="22"/>
          <w:szCs w:val="15"/>
        </w:rPr>
        <w:t>采购说明</w:t>
      </w:r>
      <w:bookmarkEnd w:id="8"/>
      <w:bookmarkEnd w:id="9"/>
      <w:bookmarkEnd w:id="10"/>
      <w:bookmarkEnd w:id="11"/>
      <w:bookmarkEnd w:id="12"/>
      <w:bookmarkEnd w:id="13"/>
      <w:bookmarkEnd w:id="14"/>
    </w:p>
    <w:p>
      <w:pPr>
        <w:snapToGrid w:val="0"/>
        <w:spacing w:line="440" w:lineRule="exact"/>
        <w:ind w:firstLine="420" w:firstLineChars="200"/>
        <w:rPr>
          <w:rFonts w:ascii="Times New Roman" w:hAnsi="Times New Roman" w:cs="Times New Roman"/>
          <w:szCs w:val="22"/>
          <w:u w:val="single"/>
        </w:rPr>
      </w:pPr>
      <w:bookmarkStart w:id="15" w:name="_Toc4489_WPSOffice_Level3"/>
      <w:r>
        <w:rPr>
          <w:rFonts w:hint="eastAsia" w:ascii="Times New Roman" w:hAnsi="Times New Roman" w:cs="Times New Roman"/>
          <w:szCs w:val="22"/>
        </w:rPr>
        <w:t>2.1 采购方式：</w:t>
      </w:r>
      <w:bookmarkEnd w:id="15"/>
      <w:r>
        <w:rPr>
          <w:rFonts w:hint="eastAsia" w:ascii="Times New Roman" w:hAnsi="Times New Roman" w:cs="Times New Roman"/>
          <w:szCs w:val="22"/>
          <w:u w:val="single"/>
        </w:rPr>
        <w:t>公开询比采购</w:t>
      </w:r>
    </w:p>
    <w:p>
      <w:pPr>
        <w:snapToGrid w:val="0"/>
        <w:spacing w:line="440" w:lineRule="exact"/>
        <w:ind w:firstLine="420" w:firstLineChars="200"/>
        <w:rPr>
          <w:rFonts w:ascii="Times New Roman" w:hAnsi="Times New Roman" w:cs="Times New Roman"/>
          <w:szCs w:val="22"/>
          <w:u w:val="single"/>
        </w:rPr>
      </w:pPr>
      <w:bookmarkStart w:id="16" w:name="_Toc23266_WPSOffice_Level3"/>
      <w:r>
        <w:rPr>
          <w:rFonts w:hint="eastAsia" w:ascii="Times New Roman" w:hAnsi="Times New Roman" w:cs="Times New Roman"/>
          <w:szCs w:val="22"/>
        </w:rPr>
        <w:t>2.2 资金来源及比例：</w:t>
      </w:r>
      <w:bookmarkEnd w:id="16"/>
      <w:bookmarkStart w:id="17" w:name="_Toc22379_WPSOffice_Level3"/>
      <w:r>
        <w:rPr>
          <w:rFonts w:hint="eastAsia" w:ascii="Times New Roman" w:hAnsi="Times New Roman" w:cs="Times New Roman"/>
          <w:szCs w:val="22"/>
          <w:u w:val="single"/>
        </w:rPr>
        <w:t>企业自筹</w:t>
      </w:r>
    </w:p>
    <w:p>
      <w:pPr>
        <w:snapToGrid w:val="0"/>
        <w:spacing w:line="440" w:lineRule="exact"/>
        <w:ind w:firstLine="420" w:firstLineChars="200"/>
        <w:rPr>
          <w:rFonts w:hint="eastAsia" w:ascii="Times New Roman" w:hAnsi="Times New Roman" w:cs="Times New Roman" w:eastAsiaTheme="minorEastAsia"/>
          <w:szCs w:val="22"/>
          <w:u w:val="single"/>
          <w:lang w:eastAsia="zh-CN"/>
        </w:rPr>
      </w:pPr>
      <w:r>
        <w:rPr>
          <w:rFonts w:hint="eastAsia" w:ascii="Times New Roman" w:hAnsi="Times New Roman" w:cs="Times New Roman"/>
          <w:szCs w:val="22"/>
        </w:rPr>
        <w:t>2.3 采购工作内容：</w:t>
      </w:r>
      <w:r>
        <w:rPr>
          <w:rFonts w:hint="eastAsia" w:ascii="Times New Roman" w:hAnsi="Times New Roman" w:cs="Times New Roman"/>
          <w:szCs w:val="22"/>
          <w:u w:val="single"/>
        </w:rPr>
        <w:t>外观检查、路面技术状况（高速公路）、广告牌检测、需涵盖的受控记录表、支持平台</w:t>
      </w:r>
      <w:r>
        <w:rPr>
          <w:rFonts w:hint="eastAsia" w:ascii="Times New Roman" w:hAnsi="Times New Roman" w:cs="Times New Roman"/>
          <w:szCs w:val="22"/>
          <w:u w:val="single"/>
          <w:lang w:val="en-US" w:eastAsia="zh-CN"/>
        </w:rPr>
        <w:t>数据采集</w:t>
      </w:r>
      <w:r>
        <w:rPr>
          <w:rFonts w:hint="eastAsia" w:ascii="Times New Roman" w:hAnsi="Times New Roman" w:cs="Times New Roman"/>
          <w:szCs w:val="22"/>
          <w:u w:val="single"/>
        </w:rPr>
        <w:t>；外观检查、路面技术状况（高速公路）、广告牌检测、过程计算</w:t>
      </w:r>
      <w:r>
        <w:rPr>
          <w:rFonts w:hint="eastAsia" w:ascii="Times New Roman" w:hAnsi="Times New Roman" w:cs="Times New Roman"/>
          <w:szCs w:val="22"/>
          <w:u w:val="single"/>
          <w:lang w:val="en-US" w:eastAsia="zh-CN"/>
        </w:rPr>
        <w:t>的</w:t>
      </w:r>
      <w:r>
        <w:rPr>
          <w:rFonts w:hint="eastAsia" w:ascii="Times New Roman" w:hAnsi="Times New Roman" w:cs="Times New Roman"/>
          <w:szCs w:val="22"/>
          <w:u w:val="single"/>
        </w:rPr>
        <w:t>数据处理；外观检查、路面技术状况（高速公路）、广告牌检测、需涵盖的受控记录表、数据加工、报告生成</w:t>
      </w:r>
      <w:r>
        <w:rPr>
          <w:rFonts w:hint="eastAsia" w:ascii="Times New Roman" w:hAnsi="Times New Roman" w:cs="Times New Roman"/>
          <w:szCs w:val="22"/>
          <w:u w:val="single"/>
          <w:lang w:val="en-US" w:eastAsia="zh-CN"/>
        </w:rPr>
        <w:t>的</w:t>
      </w:r>
      <w:r>
        <w:rPr>
          <w:rFonts w:hint="eastAsia" w:ascii="Times New Roman" w:hAnsi="Times New Roman" w:cs="Times New Roman"/>
          <w:szCs w:val="22"/>
          <w:u w:val="single"/>
        </w:rPr>
        <w:t>数据输出；</w:t>
      </w:r>
      <w:r>
        <w:rPr>
          <w:rFonts w:hint="eastAsia" w:ascii="Times New Roman" w:hAnsi="Times New Roman" w:cs="Times New Roman"/>
          <w:szCs w:val="22"/>
          <w:u w:val="single"/>
          <w:lang w:val="en-US" w:eastAsia="zh-CN"/>
        </w:rPr>
        <w:t>以及</w:t>
      </w:r>
      <w:r>
        <w:rPr>
          <w:rFonts w:hint="eastAsia" w:ascii="Times New Roman" w:hAnsi="Times New Roman" w:cs="Times New Roman"/>
          <w:szCs w:val="22"/>
          <w:u w:val="single"/>
        </w:rPr>
        <w:t>平台前后端建设和其他相关</w:t>
      </w:r>
      <w:r>
        <w:rPr>
          <w:rFonts w:hint="eastAsia" w:ascii="Times New Roman" w:hAnsi="Times New Roman" w:cs="Times New Roman"/>
          <w:szCs w:val="22"/>
          <w:u w:val="single"/>
          <w:lang w:val="en-US" w:eastAsia="zh-CN"/>
        </w:rPr>
        <w:t>内容</w:t>
      </w:r>
      <w:r>
        <w:rPr>
          <w:rFonts w:hint="eastAsia" w:ascii="Times New Roman" w:hAnsi="Times New Roman" w:cs="Times New Roman"/>
          <w:szCs w:val="22"/>
          <w:u w:val="single"/>
          <w:lang w:eastAsia="zh-CN"/>
        </w:rPr>
        <w:t>。</w:t>
      </w:r>
    </w:p>
    <w:p>
      <w:pPr>
        <w:snapToGrid w:val="0"/>
        <w:spacing w:line="440" w:lineRule="exact"/>
        <w:ind w:firstLine="420" w:firstLineChars="200"/>
        <w:rPr>
          <w:rFonts w:ascii="Times New Roman" w:hAnsi="Times New Roman" w:cs="Times New Roman"/>
          <w:szCs w:val="22"/>
          <w:u w:val="single"/>
        </w:rPr>
      </w:pPr>
      <w:r>
        <w:rPr>
          <w:rFonts w:hint="eastAsia" w:ascii="Times New Roman" w:hAnsi="Times New Roman" w:cs="Times New Roman"/>
          <w:szCs w:val="22"/>
        </w:rPr>
        <w:t>2.4 合同包划分：</w:t>
      </w:r>
      <w:r>
        <w:rPr>
          <w:rFonts w:hint="eastAsia" w:ascii="Times New Roman" w:hAnsi="Times New Roman" w:cs="Times New Roman"/>
          <w:szCs w:val="22"/>
          <w:u w:val="single"/>
        </w:rPr>
        <w:t xml:space="preserve">无包段划分 </w:t>
      </w:r>
    </w:p>
    <w:p>
      <w:pPr>
        <w:snapToGrid w:val="0"/>
        <w:spacing w:line="440" w:lineRule="exact"/>
        <w:ind w:firstLine="420" w:firstLineChars="200"/>
        <w:rPr>
          <w:rFonts w:ascii="Times New Roman" w:hAnsi="Times New Roman" w:cs="Times New Roman"/>
          <w:color w:val="0000FF"/>
          <w:szCs w:val="22"/>
          <w:u w:val="single"/>
        </w:rPr>
      </w:pPr>
      <w:r>
        <w:rPr>
          <w:rFonts w:ascii="Times New Roman" w:hAnsi="Times New Roman" w:cs="Times New Roman"/>
          <w:szCs w:val="22"/>
        </w:rPr>
        <w:t>2.</w:t>
      </w:r>
      <w:r>
        <w:rPr>
          <w:rFonts w:hint="eastAsia" w:ascii="Times New Roman" w:hAnsi="Times New Roman" w:cs="Times New Roman"/>
          <w:szCs w:val="22"/>
        </w:rPr>
        <w:t xml:space="preserve">5 </w:t>
      </w:r>
      <w:r>
        <w:rPr>
          <w:rFonts w:ascii="Times New Roman" w:hAnsi="Times New Roman" w:cs="Times New Roman"/>
          <w:szCs w:val="22"/>
        </w:rPr>
        <w:t>最高限价：</w:t>
      </w:r>
      <w:bookmarkEnd w:id="17"/>
      <w:r>
        <w:rPr>
          <w:rFonts w:hint="eastAsia" w:ascii="Times New Roman" w:hAnsi="Times New Roman" w:cs="Times New Roman"/>
          <w:szCs w:val="22"/>
          <w:u w:val="single"/>
          <w:lang w:val="en-US" w:eastAsia="zh-CN"/>
        </w:rPr>
        <w:t>82.16</w:t>
      </w:r>
      <w:r>
        <w:rPr>
          <w:rFonts w:hint="eastAsia" w:ascii="Times New Roman" w:hAnsi="Times New Roman" w:cs="Times New Roman"/>
          <w:szCs w:val="22"/>
          <w:u w:val="single"/>
        </w:rPr>
        <w:t>万元</w:t>
      </w:r>
    </w:p>
    <w:p>
      <w:pPr>
        <w:snapToGrid w:val="0"/>
        <w:spacing w:line="440" w:lineRule="exact"/>
        <w:ind w:firstLine="420" w:firstLineChars="200"/>
        <w:rPr>
          <w:rFonts w:hint="eastAsia" w:ascii="Times New Roman" w:hAnsi="Times New Roman" w:cs="Times New Roman"/>
          <w:szCs w:val="22"/>
          <w:u w:val="single"/>
          <w:lang w:val="en-US" w:eastAsia="zh-CN"/>
        </w:rPr>
      </w:pPr>
      <w:r>
        <w:rPr>
          <w:rFonts w:hint="eastAsia" w:ascii="Times New Roman" w:hAnsi="Times New Roman" w:cs="Times New Roman"/>
          <w:szCs w:val="22"/>
          <w:u w:val="none"/>
        </w:rPr>
        <w:t>2.6 计划工期：</w:t>
      </w:r>
      <w:r>
        <w:rPr>
          <w:rFonts w:hint="eastAsia" w:ascii="Times New Roman" w:hAnsi="Times New Roman" w:cs="Times New Roman"/>
          <w:szCs w:val="22"/>
          <w:u w:val="single"/>
          <w:lang w:val="en-US" w:eastAsia="zh-CN"/>
        </w:rPr>
        <w:t>自合同签订后27个月内完成全部采购内容，</w:t>
      </w:r>
      <w:r>
        <w:rPr>
          <w:rFonts w:hint="eastAsia" w:ascii="Times New Roman" w:hAnsi="Times New Roman" w:cs="Times New Roman"/>
          <w:szCs w:val="22"/>
          <w:u w:val="single"/>
        </w:rPr>
        <w:t>本次系统研发服务采购服务时间分研发时间和维护时间两部分，研发时间为3个月，维护时间为24个月，共计27个月</w:t>
      </w:r>
      <w:r>
        <w:rPr>
          <w:rFonts w:hint="eastAsia" w:ascii="Times New Roman" w:hAnsi="Times New Roman" w:cs="Times New Roman"/>
          <w:szCs w:val="22"/>
          <w:u w:val="single"/>
          <w:lang w:eastAsia="zh-CN"/>
        </w:rPr>
        <w:t>。</w:t>
      </w:r>
    </w:p>
    <w:p>
      <w:pPr>
        <w:pStyle w:val="4"/>
        <w:snapToGrid w:val="0"/>
        <w:spacing w:before="120" w:after="120" w:line="240" w:lineRule="auto"/>
        <w:ind w:firstLine="403"/>
        <w:rPr>
          <w:rFonts w:ascii="Times New Roman" w:hAnsi="Times New Roman" w:eastAsia="黑体" w:cs="Times New Roman"/>
          <w:b w:val="0"/>
          <w:sz w:val="22"/>
          <w:szCs w:val="15"/>
        </w:rPr>
      </w:pPr>
      <w:bookmarkStart w:id="18" w:name="_Toc525632587"/>
      <w:bookmarkStart w:id="19" w:name="_Toc3714"/>
      <w:bookmarkStart w:id="20" w:name="_Toc29516_WPSOffice_Level2"/>
      <w:bookmarkStart w:id="21" w:name="_Toc31673_WPSOffice_Level2"/>
      <w:bookmarkStart w:id="22" w:name="_Toc1622_WPSOffice_Level2"/>
      <w:bookmarkStart w:id="23" w:name="_Toc6388"/>
      <w:bookmarkStart w:id="24" w:name="_Toc22379_WPSOffice_Level2"/>
      <w:r>
        <w:rPr>
          <w:rFonts w:ascii="Times New Roman" w:hAnsi="Times New Roman" w:eastAsia="黑体" w:cs="Times New Roman"/>
          <w:b w:val="0"/>
          <w:sz w:val="22"/>
          <w:szCs w:val="15"/>
        </w:rPr>
        <w:t>供应商资格条件</w:t>
      </w:r>
      <w:bookmarkEnd w:id="18"/>
      <w:bookmarkEnd w:id="19"/>
      <w:bookmarkEnd w:id="20"/>
      <w:bookmarkEnd w:id="21"/>
      <w:bookmarkEnd w:id="22"/>
      <w:bookmarkEnd w:id="23"/>
      <w:bookmarkEnd w:id="24"/>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440" w:lineRule="exact"/>
        <w:ind w:firstLine="420" w:firstLineChars="200"/>
        <w:outlineLvl w:val="2"/>
        <w:rPr>
          <w:rFonts w:hint="eastAsia" w:ascii="Times New Roman" w:hAnsi="Times New Roman" w:cs="Times New Roman"/>
          <w:szCs w:val="22"/>
          <w:u w:val="none"/>
        </w:rPr>
      </w:pPr>
      <w:r>
        <w:rPr>
          <w:rFonts w:hint="eastAsia" w:ascii="Times New Roman" w:hAnsi="Times New Roman" w:cs="Times New Roman"/>
          <w:szCs w:val="22"/>
          <w:u w:val="none"/>
        </w:rPr>
        <w:t>（1）资质最低要求</w:t>
      </w:r>
    </w:p>
    <w:p>
      <w:pPr>
        <w:snapToGrid w:val="0"/>
        <w:spacing w:line="440" w:lineRule="exact"/>
        <w:ind w:firstLine="422" w:firstLineChars="200"/>
        <w:rPr>
          <w:rFonts w:hint="eastAsia" w:ascii="Times New Roman" w:hAnsi="Times New Roman" w:cs="Times New Roman"/>
          <w:b/>
          <w:bCs/>
          <w:szCs w:val="22"/>
          <w:u w:val="single"/>
          <w:lang w:eastAsia="zh-CN"/>
        </w:rPr>
      </w:pPr>
      <w:r>
        <w:rPr>
          <w:rFonts w:hint="eastAsia" w:ascii="Times New Roman" w:hAnsi="Times New Roman" w:cs="Times New Roman"/>
          <w:b/>
          <w:bCs/>
          <w:szCs w:val="22"/>
          <w:u w:val="single"/>
        </w:rPr>
        <w:t>具备独立法人资格，持有有效的营业执照</w:t>
      </w:r>
      <w:r>
        <w:rPr>
          <w:rFonts w:hint="eastAsia" w:ascii="Times New Roman" w:hAnsi="Times New Roman" w:cs="Times New Roman"/>
          <w:b/>
          <w:bCs/>
          <w:szCs w:val="22"/>
          <w:u w:val="single"/>
          <w:lang w:eastAsia="zh-CN"/>
        </w:rPr>
        <w:t>，</w:t>
      </w:r>
      <w:r>
        <w:rPr>
          <w:rFonts w:hint="eastAsia" w:ascii="Times New Roman" w:hAnsi="Times New Roman" w:cs="Times New Roman"/>
          <w:b/>
          <w:bCs/>
          <w:szCs w:val="22"/>
          <w:u w:val="single"/>
          <w:lang w:val="en-US" w:eastAsia="zh-CN"/>
        </w:rPr>
        <w:t>且经营范围包含</w:t>
      </w:r>
      <w:r>
        <w:rPr>
          <w:rFonts w:hint="eastAsia" w:ascii="Times New Roman" w:hAnsi="Times New Roman" w:cs="Times New Roman"/>
          <w:b/>
          <w:bCs/>
          <w:szCs w:val="22"/>
          <w:u w:val="single"/>
        </w:rPr>
        <w:t>计算机软件开发或软件服务或</w:t>
      </w:r>
      <w:r>
        <w:rPr>
          <w:rFonts w:hint="eastAsia" w:ascii="Times New Roman" w:hAnsi="Times New Roman" w:cs="Times New Roman"/>
          <w:b/>
          <w:bCs/>
          <w:szCs w:val="22"/>
          <w:u w:val="single"/>
          <w:lang w:val="en-US" w:eastAsia="zh-CN"/>
        </w:rPr>
        <w:t>计算机系统集成</w:t>
      </w:r>
      <w:r>
        <w:rPr>
          <w:rFonts w:hint="eastAsia" w:ascii="Times New Roman" w:hAnsi="Times New Roman" w:cs="Times New Roman"/>
          <w:b/>
          <w:bCs/>
          <w:szCs w:val="22"/>
          <w:u w:val="single"/>
        </w:rPr>
        <w:t>等</w:t>
      </w:r>
      <w:r>
        <w:rPr>
          <w:rFonts w:hint="eastAsia" w:ascii="Times New Roman" w:hAnsi="Times New Roman" w:cs="Times New Roman"/>
          <w:b/>
          <w:bCs/>
          <w:szCs w:val="22"/>
          <w:u w:val="single"/>
          <w:lang w:eastAsia="zh-CN"/>
        </w:rPr>
        <w:t>；</w:t>
      </w:r>
      <w:r>
        <w:rPr>
          <w:rFonts w:hint="eastAsia" w:ascii="Times New Roman" w:hAnsi="Times New Roman" w:cs="Times New Roman"/>
          <w:b/>
          <w:bCs/>
          <w:szCs w:val="22"/>
          <w:u w:val="single"/>
          <w:lang w:val="en-US" w:eastAsia="zh-CN"/>
        </w:rPr>
        <w:t>且须具备双软企业资格和软件服务商交付能力证书三级及以上资质。</w:t>
      </w:r>
    </w:p>
    <w:p>
      <w:pPr>
        <w:numPr>
          <w:ilvl w:val="255"/>
          <w:numId w:val="0"/>
        </w:numPr>
        <w:snapToGrid w:val="0"/>
        <w:spacing w:line="440" w:lineRule="exact"/>
        <w:ind w:firstLine="420" w:firstLineChars="200"/>
        <w:outlineLvl w:val="2"/>
        <w:rPr>
          <w:rFonts w:ascii="Times New Roman" w:hAnsi="Times New Roman" w:cs="Times New Roman"/>
          <w:szCs w:val="22"/>
        </w:rPr>
      </w:pPr>
      <w:r>
        <w:rPr>
          <w:rFonts w:hint="eastAsia" w:ascii="Times New Roman" w:hAnsi="Times New Roman" w:cs="Times New Roman"/>
          <w:szCs w:val="22"/>
        </w:rPr>
        <w:t>（2）</w:t>
      </w:r>
      <w:r>
        <w:rPr>
          <w:rFonts w:ascii="Times New Roman" w:hAnsi="Times New Roman" w:cs="Times New Roman"/>
          <w:szCs w:val="22"/>
        </w:rPr>
        <w:t>业绩最低要求</w:t>
      </w:r>
    </w:p>
    <w:p>
      <w:pPr>
        <w:snapToGrid w:val="0"/>
        <w:spacing w:line="440" w:lineRule="exact"/>
        <w:ind w:firstLine="422" w:firstLineChars="200"/>
        <w:rPr>
          <w:rFonts w:hint="eastAsia" w:ascii="Times New Roman" w:hAnsi="Times New Roman" w:cs="Times New Roman"/>
          <w:b/>
          <w:bCs/>
          <w:szCs w:val="22"/>
          <w:u w:val="single"/>
          <w:lang w:val="en-US" w:eastAsia="zh-CN"/>
        </w:rPr>
      </w:pPr>
      <w:r>
        <w:rPr>
          <w:rFonts w:hint="eastAsia" w:ascii="Times New Roman" w:hAnsi="Times New Roman" w:cs="Times New Roman"/>
          <w:b/>
          <w:bCs/>
          <w:szCs w:val="22"/>
          <w:u w:val="single"/>
          <w:lang w:val="en-US" w:eastAsia="zh-CN"/>
        </w:rPr>
        <w:t>近3年（指2018年1月1日至响应文件递交截止日期，以合同签订时间为准）至少独立完成过一个公路工程项目信息化或信息化管理平台服务或信息化管理系统项目业绩，且业绩单项合同金额不低于50万元（包含本数）。</w:t>
      </w:r>
    </w:p>
    <w:p>
      <w:pPr>
        <w:rPr>
          <w:rFonts w:hint="eastAsia" w:ascii="Times New Roman" w:hAnsi="Times New Roman" w:cs="Times New Roman"/>
          <w:b/>
          <w:bCs/>
          <w:szCs w:val="22"/>
        </w:rPr>
      </w:pPr>
    </w:p>
    <w:p>
      <w:pPr>
        <w:rPr>
          <w:rFonts w:hint="eastAsia"/>
        </w:rPr>
      </w:pPr>
    </w:p>
    <w:p>
      <w:pPr>
        <w:numPr>
          <w:ilvl w:val="255"/>
          <w:numId w:val="0"/>
        </w:numPr>
        <w:snapToGrid w:val="0"/>
        <w:spacing w:line="440" w:lineRule="exact"/>
        <w:ind w:firstLine="420" w:firstLineChars="200"/>
        <w:outlineLvl w:val="2"/>
        <w:rPr>
          <w:rFonts w:hint="default" w:ascii="Times New Roman" w:hAnsi="Times New Roman" w:cs="Times New Roman"/>
          <w:szCs w:val="22"/>
          <w:lang w:val="en-US" w:eastAsia="zh-CN"/>
        </w:rPr>
      </w:pPr>
      <w:r>
        <w:rPr>
          <w:rFonts w:hint="eastAsia" w:ascii="Times New Roman" w:hAnsi="Times New Roman" w:cs="Times New Roman"/>
          <w:szCs w:val="22"/>
        </w:rPr>
        <w:t>（3）</w:t>
      </w:r>
      <w:r>
        <w:rPr>
          <w:rFonts w:hint="eastAsia" w:ascii="Times New Roman" w:hAnsi="Times New Roman" w:cs="Times New Roman"/>
          <w:szCs w:val="22"/>
          <w:lang w:val="en-US" w:eastAsia="zh-CN"/>
        </w:rPr>
        <w:t>本地化服务</w:t>
      </w:r>
    </w:p>
    <w:p>
      <w:pPr>
        <w:snapToGrid w:val="0"/>
        <w:spacing w:line="440" w:lineRule="exact"/>
        <w:ind w:firstLine="422" w:firstLineChars="200"/>
        <w:rPr>
          <w:rFonts w:hint="default" w:ascii="Times New Roman" w:hAnsi="Times New Roman" w:cs="Times New Roman"/>
          <w:b/>
          <w:bCs/>
          <w:szCs w:val="22"/>
          <w:u w:val="single"/>
          <w:lang w:val="en-US" w:eastAsia="zh-CN"/>
        </w:rPr>
      </w:pPr>
      <w:r>
        <w:rPr>
          <w:rFonts w:hint="eastAsia" w:ascii="Times New Roman" w:hAnsi="Times New Roman" w:cs="Times New Roman"/>
          <w:b/>
          <w:bCs/>
          <w:szCs w:val="22"/>
          <w:u w:val="single"/>
          <w:lang w:val="en-US" w:eastAsia="zh-CN"/>
        </w:rPr>
        <w:t>需在采购人服务地点设有本地化服务机构，注册地为合肥市。</w:t>
      </w:r>
    </w:p>
    <w:p>
      <w:pPr>
        <w:numPr>
          <w:ilvl w:val="255"/>
          <w:numId w:val="0"/>
        </w:numPr>
        <w:snapToGrid w:val="0"/>
        <w:spacing w:line="440" w:lineRule="exact"/>
        <w:ind w:firstLine="420" w:firstLineChars="200"/>
        <w:outlineLvl w:val="2"/>
        <w:rPr>
          <w:rFonts w:ascii="Times New Roman" w:hAnsi="Times New Roman" w:cs="Times New Roman"/>
          <w:szCs w:val="22"/>
        </w:rPr>
      </w:pPr>
      <w:r>
        <w:rPr>
          <w:rFonts w:hint="eastAsia" w:ascii="Times New Roman" w:hAnsi="Times New Roman" w:cs="Times New Roman"/>
          <w:szCs w:val="22"/>
        </w:rPr>
        <w:t>（4）</w:t>
      </w:r>
      <w:r>
        <w:rPr>
          <w:rFonts w:ascii="Times New Roman" w:hAnsi="Times New Roman" w:cs="Times New Roman"/>
          <w:szCs w:val="22"/>
        </w:rPr>
        <w:t>信誉要求最低要求：</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440" w:lineRule="exact"/>
        <w:ind w:firstLine="420" w:firstLineChars="200"/>
        <w:rPr>
          <w:rFonts w:ascii="Times New Roman" w:hAnsi="Times New Roman" w:cs="Times New Roman"/>
          <w:sz w:val="18"/>
          <w:szCs w:val="21"/>
        </w:rPr>
      </w:pPr>
      <w:r>
        <w:rPr>
          <w:rFonts w:ascii="Times New Roman" w:hAnsi="Times New Roman" w:cs="Times New Roman"/>
          <w:szCs w:val="22"/>
        </w:rPr>
        <w:t>3.2联合体：</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440" w:lineRule="exact"/>
        <w:ind w:firstLine="420" w:firstLineChars="200"/>
        <w:rPr>
          <w:rFonts w:ascii="Times New Roman" w:hAnsi="Times New Roman" w:cs="Times New Roman"/>
          <w:sz w:val="18"/>
          <w:szCs w:val="21"/>
        </w:rPr>
      </w:pPr>
      <w:r>
        <w:rPr>
          <w:rFonts w:ascii="Times New Roman" w:hAnsi="Times New Roman" w:cs="Times New Roman"/>
          <w:szCs w:val="22"/>
        </w:rPr>
        <w:t>3.3 单位负责人为同一人或者存在控股、管理关系的不同单位，不得同时参加同一合同包报价，否则相关响应文件均无效。</w:t>
      </w:r>
    </w:p>
    <w:p>
      <w:pPr>
        <w:pStyle w:val="4"/>
        <w:snapToGrid w:val="0"/>
        <w:spacing w:before="120" w:after="120" w:line="240" w:lineRule="auto"/>
        <w:ind w:firstLine="403"/>
        <w:rPr>
          <w:rFonts w:ascii="Times New Roman" w:hAnsi="Times New Roman" w:eastAsia="黑体" w:cs="Times New Roman"/>
          <w:b w:val="0"/>
          <w:sz w:val="22"/>
          <w:szCs w:val="15"/>
        </w:rPr>
      </w:pPr>
      <w:bookmarkStart w:id="25" w:name="_Toc525632588"/>
      <w:bookmarkStart w:id="26" w:name="_Toc2996_WPSOffice_Level2"/>
      <w:bookmarkStart w:id="27" w:name="_Toc1994"/>
      <w:bookmarkStart w:id="28" w:name="_Toc4751"/>
      <w:bookmarkStart w:id="29" w:name="_Toc4109_WPSOffice_Level2"/>
      <w:bookmarkStart w:id="30" w:name="_Toc29452_WPSOffice_Level2"/>
      <w:bookmarkStart w:id="31" w:name="_Toc25666_WPSOffice_Level2"/>
      <w:r>
        <w:rPr>
          <w:rFonts w:hint="eastAsia" w:ascii="Times New Roman" w:hAnsi="Times New Roman" w:eastAsia="黑体" w:cs="Times New Roman"/>
          <w:b w:val="0"/>
          <w:sz w:val="22"/>
          <w:szCs w:val="15"/>
        </w:rPr>
        <w:t>询比文件</w:t>
      </w:r>
      <w:r>
        <w:rPr>
          <w:rFonts w:ascii="Times New Roman" w:hAnsi="Times New Roman" w:eastAsia="黑体" w:cs="Times New Roman"/>
          <w:b w:val="0"/>
          <w:sz w:val="22"/>
          <w:szCs w:val="15"/>
        </w:rPr>
        <w:t>的获取</w:t>
      </w:r>
      <w:bookmarkEnd w:id="25"/>
      <w:bookmarkEnd w:id="26"/>
      <w:bookmarkEnd w:id="27"/>
      <w:bookmarkEnd w:id="28"/>
      <w:bookmarkEnd w:id="29"/>
      <w:bookmarkEnd w:id="30"/>
      <w:bookmarkEnd w:id="31"/>
    </w:p>
    <w:p>
      <w:pPr>
        <w:snapToGrid w:val="0"/>
        <w:spacing w:line="44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w:t>
      </w:r>
      <w:r>
        <w:rPr>
          <w:rFonts w:ascii="Times New Roman" w:hAnsi="Times New Roman" w:cs="Times New Roman"/>
          <w:szCs w:val="21"/>
        </w:rPr>
        <w:t>时间前登录</w:t>
      </w:r>
      <w:r>
        <w:rPr>
          <w:rFonts w:hint="eastAsia" w:ascii="Times New Roman" w:hAnsi="Times New Roman" w:cs="Times New Roman"/>
          <w:szCs w:val="21"/>
        </w:rPr>
        <w:t>高速检测官网（http://www.ahgsjc.com/）公司公告栏</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。未按规定在</w:t>
      </w:r>
      <w:r>
        <w:rPr>
          <w:rFonts w:hint="eastAsia" w:ascii="Times New Roman" w:hAnsi="Times New Roman" w:cs="Times New Roman"/>
          <w:szCs w:val="21"/>
        </w:rPr>
        <w:t>高速检测官网（http://www.ahgsjc.com/）公司公告栏下载询比文件</w:t>
      </w:r>
      <w:r>
        <w:rPr>
          <w:rFonts w:ascii="Times New Roman" w:hAnsi="Times New Roman" w:cs="Times New Roman"/>
          <w:szCs w:val="22"/>
        </w:rPr>
        <w:t>的，后续将不予接受其响应文件。</w:t>
      </w:r>
    </w:p>
    <w:p>
      <w:pPr>
        <w:pStyle w:val="4"/>
        <w:snapToGrid w:val="0"/>
        <w:spacing w:before="120" w:after="120" w:line="240" w:lineRule="auto"/>
        <w:ind w:firstLine="403"/>
        <w:rPr>
          <w:rFonts w:ascii="Times New Roman" w:hAnsi="Times New Roman" w:eastAsia="黑体" w:cs="Times New Roman"/>
          <w:b w:val="0"/>
          <w:sz w:val="22"/>
          <w:szCs w:val="15"/>
        </w:rPr>
      </w:pPr>
      <w:bookmarkStart w:id="32" w:name="_Toc525632589"/>
      <w:bookmarkStart w:id="33" w:name="_Toc726"/>
      <w:r>
        <w:rPr>
          <w:rFonts w:ascii="Times New Roman" w:hAnsi="Times New Roman" w:eastAsia="黑体" w:cs="Times New Roman"/>
          <w:b w:val="0"/>
          <w:sz w:val="22"/>
          <w:szCs w:val="15"/>
        </w:rPr>
        <w:t>响应文件的递交</w:t>
      </w:r>
      <w:bookmarkEnd w:id="32"/>
      <w:bookmarkEnd w:id="33"/>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2021</w:t>
      </w:r>
      <w:r>
        <w:rPr>
          <w:rFonts w:ascii="Times New Roman" w:hAnsi="Times New Roman" w:cs="Times New Roman"/>
          <w:szCs w:val="22"/>
          <w:u w:val="single"/>
        </w:rPr>
        <w:t>年12月</w:t>
      </w:r>
      <w:r>
        <w:rPr>
          <w:rFonts w:hint="eastAsia" w:ascii="Times New Roman" w:hAnsi="Times New Roman" w:cs="Times New Roman"/>
          <w:szCs w:val="22"/>
          <w:u w:val="single"/>
          <w:lang w:val="en-US" w:eastAsia="zh-CN"/>
        </w:rPr>
        <w:t>10</w:t>
      </w:r>
      <w:r>
        <w:rPr>
          <w:rFonts w:ascii="Times New Roman" w:hAnsi="Times New Roman" w:cs="Times New Roman"/>
          <w:szCs w:val="22"/>
          <w:u w:val="single"/>
        </w:rPr>
        <w:t>日</w:t>
      </w:r>
      <w:r>
        <w:rPr>
          <w:rFonts w:hint="eastAsia" w:ascii="Times New Roman" w:hAnsi="Times New Roman" w:cs="Times New Roman"/>
          <w:szCs w:val="22"/>
          <w:u w:val="single"/>
        </w:rPr>
        <w:t xml:space="preserve">14 </w:t>
      </w:r>
      <w:r>
        <w:rPr>
          <w:rFonts w:ascii="Times New Roman" w:hAnsi="Times New Roman" w:cs="Times New Roman"/>
          <w:szCs w:val="22"/>
          <w:u w:val="single"/>
        </w:rPr>
        <w:t>时</w:t>
      </w:r>
      <w:r>
        <w:rPr>
          <w:rFonts w:hint="eastAsia" w:ascii="Times New Roman" w:hAnsi="Times New Roman" w:cs="Times New Roman"/>
          <w:szCs w:val="22"/>
          <w:u w:val="single"/>
          <w:lang w:val="en-US" w:eastAsia="zh-CN"/>
        </w:rPr>
        <w:t>3</w:t>
      </w:r>
      <w:r>
        <w:rPr>
          <w:rFonts w:hint="eastAsia" w:ascii="Times New Roman" w:hAnsi="Times New Roman" w:cs="Times New Roman"/>
          <w:szCs w:val="22"/>
          <w:u w:val="single"/>
        </w:rPr>
        <w:t>0</w:t>
      </w:r>
      <w:r>
        <w:rPr>
          <w:rFonts w:ascii="Times New Roman" w:hAnsi="Times New Roman" w:cs="Times New Roman"/>
          <w:szCs w:val="22"/>
          <w:u w:val="single"/>
        </w:rPr>
        <w:t>分</w:t>
      </w:r>
      <w:r>
        <w:rPr>
          <w:rFonts w:ascii="Times New Roman" w:hAnsi="Times New Roman" w:cs="Times New Roman"/>
          <w:szCs w:val="22"/>
        </w:rPr>
        <w:t>，供应商的法定代表人或其授权代理人应于递交的截止时间前将响应文件递交至</w:t>
      </w:r>
      <w:r>
        <w:rPr>
          <w:rFonts w:ascii="Times New Roman" w:hAnsi="Times New Roman" w:cs="Times New Roman"/>
          <w:color w:val="auto"/>
          <w:szCs w:val="22"/>
          <w:u w:val="single"/>
        </w:rPr>
        <w:t>安徽省高速公路试验检测科研中心有限公司一楼会议室（地点</w:t>
      </w:r>
      <w:r>
        <w:rPr>
          <w:rFonts w:hint="eastAsia" w:ascii="Times New Roman" w:hAnsi="Times New Roman" w:cs="Times New Roman"/>
          <w:color w:val="auto"/>
          <w:szCs w:val="22"/>
          <w:u w:val="single"/>
          <w:lang w:eastAsia="zh-CN"/>
        </w:rPr>
        <w:t>：办公楼正南侧，南门东侧平房</w:t>
      </w:r>
      <w:r>
        <w:rPr>
          <w:rFonts w:ascii="Times New Roman" w:hAnsi="Times New Roman" w:cs="Times New Roman"/>
          <w:color w:val="auto"/>
          <w:szCs w:val="22"/>
          <w:u w:val="single"/>
        </w:rPr>
        <w:t>）</w:t>
      </w:r>
      <w:r>
        <w:rPr>
          <w:rFonts w:ascii="Times New Roman" w:hAnsi="Times New Roman" w:cs="Times New Roman"/>
          <w:color w:val="auto"/>
          <w:szCs w:val="22"/>
          <w:u w:val="none"/>
        </w:rPr>
        <w:t>。</w:t>
      </w:r>
    </w:p>
    <w:p>
      <w:pPr>
        <w:pStyle w:val="4"/>
        <w:snapToGrid w:val="0"/>
        <w:spacing w:before="120" w:after="120" w:line="240" w:lineRule="auto"/>
        <w:ind w:firstLine="403"/>
        <w:rPr>
          <w:rFonts w:ascii="Times New Roman" w:hAnsi="Times New Roman" w:eastAsia="黑体" w:cs="Times New Roman"/>
          <w:b w:val="0"/>
          <w:sz w:val="22"/>
          <w:szCs w:val="15"/>
        </w:rPr>
      </w:pPr>
      <w:bookmarkStart w:id="34" w:name="_Toc22719"/>
      <w:bookmarkStart w:id="35" w:name="_Toc525632591"/>
      <w:r>
        <w:rPr>
          <w:rFonts w:ascii="Times New Roman" w:hAnsi="Times New Roman" w:eastAsia="黑体" w:cs="Times New Roman"/>
          <w:b w:val="0"/>
          <w:sz w:val="22"/>
          <w:szCs w:val="15"/>
        </w:rPr>
        <w:t>响应文件启封</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ascii="Times New Roman" w:hAnsi="Times New Roman" w:cs="Times New Roman"/>
          <w:color w:val="auto"/>
          <w:szCs w:val="22"/>
          <w:u w:val="single"/>
        </w:rPr>
        <w:t>安徽省高速公路试验检测科研中心有限公司一楼会议室（地点</w:t>
      </w:r>
      <w:r>
        <w:rPr>
          <w:rFonts w:hint="eastAsia" w:ascii="Times New Roman" w:hAnsi="Times New Roman" w:cs="Times New Roman"/>
          <w:color w:val="auto"/>
          <w:szCs w:val="22"/>
          <w:u w:val="single"/>
          <w:lang w:eastAsia="zh-CN"/>
        </w:rPr>
        <w:t>：办公楼正南侧，南门东侧平房</w:t>
      </w:r>
      <w:r>
        <w:rPr>
          <w:rFonts w:ascii="Times New Roman" w:hAnsi="Times New Roman" w:cs="Times New Roman"/>
          <w:color w:val="auto"/>
          <w:szCs w:val="22"/>
          <w:u w:val="single"/>
        </w:rPr>
        <w:t>）</w:t>
      </w:r>
      <w:r>
        <w:rPr>
          <w:rFonts w:ascii="Times New Roman" w:hAnsi="Times New Roman" w:cs="Times New Roman"/>
          <w:color w:val="auto"/>
          <w:szCs w:val="22"/>
          <w:u w:val="none"/>
        </w:rPr>
        <w:t>。</w:t>
      </w:r>
      <w:r>
        <w:rPr>
          <w:rFonts w:ascii="Times New Roman" w:hAnsi="Times New Roman" w:cs="Times New Roman"/>
          <w:szCs w:val="22"/>
        </w:rPr>
        <w:t>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240" w:lineRule="auto"/>
        <w:ind w:firstLine="403"/>
        <w:rPr>
          <w:rFonts w:ascii="Times New Roman" w:hAnsi="Times New Roman" w:eastAsia="黑体" w:cs="Times New Roman"/>
          <w:b w:val="0"/>
          <w:color w:val="auto"/>
          <w:sz w:val="22"/>
          <w:szCs w:val="15"/>
        </w:rPr>
      </w:pPr>
      <w:r>
        <w:rPr>
          <w:rFonts w:hint="eastAsia" w:ascii="Times New Roman" w:hAnsi="Times New Roman" w:eastAsia="黑体" w:cs="Times New Roman"/>
          <w:b w:val="0"/>
          <w:color w:val="auto"/>
          <w:sz w:val="22"/>
          <w:szCs w:val="15"/>
        </w:rPr>
        <w:t>响应保证金</w:t>
      </w:r>
    </w:p>
    <w:p>
      <w:pPr>
        <w:widowControl/>
        <w:snapToGrid w:val="0"/>
        <w:spacing w:line="440" w:lineRule="exact"/>
        <w:ind w:firstLine="422" w:firstLineChars="200"/>
        <w:rPr>
          <w:rFonts w:ascii="Times New Roman" w:hAnsi="Times New Roman"/>
          <w:b/>
          <w:bCs/>
          <w:color w:val="auto"/>
        </w:rPr>
      </w:pPr>
      <w:r>
        <w:rPr>
          <w:rFonts w:hint="eastAsia" w:ascii="Times New Roman" w:hAnsi="Times New Roman"/>
          <w:b/>
          <w:bCs/>
          <w:color w:val="auto"/>
        </w:rPr>
        <w:t>响应保证金的金额</w:t>
      </w:r>
      <w:r>
        <w:rPr>
          <w:rFonts w:ascii="Times New Roman" w:hAnsi="Times New Roman" w:cs="Times New Roman"/>
          <w:b/>
          <w:bCs/>
          <w:color w:val="auto"/>
          <w:szCs w:val="22"/>
        </w:rPr>
        <w:t>：</w:t>
      </w:r>
      <w:r>
        <w:rPr>
          <w:rFonts w:hint="eastAsia" w:ascii="Times New Roman" w:hAnsi="Times New Roman" w:cs="Times New Roman"/>
          <w:b/>
          <w:bCs/>
          <w:color w:val="auto"/>
          <w:szCs w:val="22"/>
          <w:u w:val="single"/>
        </w:rPr>
        <w:t>人民币</w:t>
      </w:r>
      <w:r>
        <w:rPr>
          <w:rFonts w:hint="eastAsia" w:ascii="Times New Roman" w:hAnsi="Times New Roman" w:cs="Times New Roman"/>
          <w:b/>
          <w:bCs/>
          <w:color w:val="auto"/>
          <w:szCs w:val="22"/>
          <w:u w:val="single"/>
          <w:lang w:val="en-US" w:eastAsia="zh-CN"/>
        </w:rPr>
        <w:t>5</w:t>
      </w:r>
      <w:r>
        <w:rPr>
          <w:rFonts w:ascii="Times New Roman" w:hAnsi="Times New Roman" w:cs="Times New Roman"/>
          <w:b/>
          <w:bCs/>
          <w:color w:val="auto"/>
          <w:szCs w:val="22"/>
          <w:u w:val="single"/>
        </w:rPr>
        <w:t>000元</w:t>
      </w:r>
    </w:p>
    <w:p>
      <w:pPr>
        <w:widowControl/>
        <w:snapToGrid w:val="0"/>
        <w:spacing w:line="440" w:lineRule="exact"/>
        <w:ind w:firstLine="422" w:firstLineChars="200"/>
        <w:rPr>
          <w:rFonts w:ascii="Times New Roman" w:hAnsi="Times New Roman"/>
          <w:b/>
          <w:bCs/>
          <w:color w:val="auto"/>
        </w:rPr>
      </w:pPr>
      <w:r>
        <w:rPr>
          <w:rFonts w:hint="eastAsia" w:ascii="Times New Roman" w:hAnsi="Times New Roman"/>
          <w:b/>
          <w:bCs/>
          <w:color w:val="auto"/>
        </w:rPr>
        <w:t>响应保证金的递交形式：银行转账</w:t>
      </w:r>
    </w:p>
    <w:p>
      <w:pPr>
        <w:widowControl/>
        <w:snapToGrid w:val="0"/>
        <w:spacing w:line="440" w:lineRule="exact"/>
        <w:ind w:firstLine="422" w:firstLineChars="200"/>
        <w:rPr>
          <w:rFonts w:ascii="Times New Roman" w:hAnsi="Times New Roman"/>
          <w:b/>
          <w:bCs/>
          <w:color w:val="auto"/>
          <w:u w:val="single"/>
        </w:rPr>
      </w:pPr>
      <w:r>
        <w:rPr>
          <w:rFonts w:hint="eastAsia" w:ascii="Times New Roman" w:hAnsi="Times New Roman"/>
          <w:b/>
          <w:bCs/>
          <w:color w:val="auto"/>
        </w:rPr>
        <w:t>递交账号：</w:t>
      </w:r>
      <w:r>
        <w:rPr>
          <w:rFonts w:hint="eastAsia" w:ascii="Times New Roman" w:hAnsi="Times New Roman"/>
          <w:b/>
          <w:bCs/>
          <w:color w:val="auto"/>
          <w:u w:val="single"/>
        </w:rPr>
        <w:t>087672120100330002507</w:t>
      </w:r>
    </w:p>
    <w:p>
      <w:pPr>
        <w:widowControl/>
        <w:snapToGrid w:val="0"/>
        <w:spacing w:line="440" w:lineRule="exact"/>
        <w:ind w:firstLine="422" w:firstLineChars="200"/>
        <w:rPr>
          <w:rFonts w:ascii="Times New Roman" w:hAnsi="Times New Roman"/>
          <w:b/>
          <w:bCs/>
          <w:color w:val="auto"/>
          <w:u w:val="single"/>
        </w:rPr>
      </w:pPr>
      <w:r>
        <w:rPr>
          <w:rFonts w:hint="eastAsia" w:ascii="Times New Roman" w:hAnsi="Times New Roman"/>
          <w:b/>
          <w:bCs/>
          <w:color w:val="auto"/>
        </w:rPr>
        <w:t>开户行：</w:t>
      </w:r>
      <w:r>
        <w:rPr>
          <w:rFonts w:hint="eastAsia" w:ascii="Times New Roman" w:hAnsi="Times New Roman"/>
          <w:b/>
          <w:bCs/>
          <w:color w:val="auto"/>
          <w:u w:val="single"/>
        </w:rPr>
        <w:t>光大银行合肥经济开发区支行</w:t>
      </w:r>
    </w:p>
    <w:p>
      <w:pPr>
        <w:widowControl/>
        <w:snapToGrid w:val="0"/>
        <w:spacing w:line="440" w:lineRule="exact"/>
        <w:ind w:firstLine="422" w:firstLineChars="200"/>
        <w:rPr>
          <w:rFonts w:hint="eastAsia" w:ascii="Times New Roman" w:hAnsi="Times New Roman"/>
          <w:b/>
          <w:bCs/>
          <w:color w:val="auto"/>
          <w:u w:val="single"/>
          <w:lang w:val="en-US" w:eastAsia="zh-CN"/>
        </w:rPr>
      </w:pPr>
      <w:r>
        <w:rPr>
          <w:rFonts w:hint="eastAsia" w:ascii="Times New Roman" w:hAnsi="Times New Roman"/>
          <w:b/>
          <w:bCs/>
          <w:color w:val="auto"/>
          <w:u w:val="none"/>
          <w:lang w:val="en-US" w:eastAsia="zh-CN"/>
        </w:rPr>
        <w:t>账户名称：</w:t>
      </w:r>
      <w:r>
        <w:rPr>
          <w:rFonts w:hint="eastAsia" w:ascii="Times New Roman" w:hAnsi="Times New Roman"/>
          <w:b/>
          <w:bCs/>
          <w:color w:val="auto"/>
          <w:u w:val="single"/>
          <w:lang w:val="en-US" w:eastAsia="zh-CN"/>
        </w:rPr>
        <w:t>安徽省高速公路试验检测科研中心有限公司</w:t>
      </w:r>
    </w:p>
    <w:p>
      <w:pPr>
        <w:widowControl/>
        <w:snapToGrid w:val="0"/>
        <w:spacing w:line="440" w:lineRule="exact"/>
        <w:ind w:firstLine="422" w:firstLineChars="200"/>
        <w:rPr>
          <w:rFonts w:hint="default" w:ascii="Times New Roman" w:hAnsi="Times New Roman"/>
          <w:b/>
          <w:bCs/>
          <w:color w:val="auto"/>
          <w:u w:val="single"/>
          <w:lang w:val="en-US" w:eastAsia="zh-CN"/>
        </w:rPr>
      </w:pPr>
      <w:r>
        <w:rPr>
          <w:rFonts w:hint="eastAsia" w:ascii="Times New Roman" w:hAnsi="Times New Roman"/>
          <w:b/>
          <w:bCs/>
          <w:color w:val="auto"/>
          <w:u w:val="none"/>
          <w:lang w:val="en-US" w:eastAsia="zh-CN"/>
        </w:rPr>
        <w:t>备注栏填写：</w:t>
      </w:r>
      <w:r>
        <w:rPr>
          <w:rFonts w:hint="eastAsia" w:ascii="Times New Roman" w:hAnsi="Times New Roman"/>
          <w:b/>
          <w:bCs/>
          <w:color w:val="auto"/>
          <w:u w:val="single"/>
          <w:lang w:val="en-US" w:eastAsia="zh-CN"/>
        </w:rPr>
        <w:t>外检数据处理信息化响应保证金</w:t>
      </w:r>
    </w:p>
    <w:p>
      <w:pPr>
        <w:widowControl/>
        <w:numPr>
          <w:ilvl w:val="255"/>
          <w:numId w:val="0"/>
        </w:numPr>
        <w:snapToGrid w:val="0"/>
        <w:spacing w:line="440" w:lineRule="exact"/>
        <w:ind w:firstLine="422" w:firstLineChars="200"/>
        <w:rPr>
          <w:rFonts w:ascii="Times New Roman" w:hAnsi="Times New Roman"/>
          <w:b/>
          <w:bCs/>
          <w:color w:val="auto"/>
          <w:u w:val="single"/>
        </w:rPr>
      </w:pPr>
      <w:r>
        <w:rPr>
          <w:rFonts w:hint="eastAsia" w:ascii="Times New Roman" w:hAnsi="Times New Roman"/>
          <w:b/>
          <w:bCs/>
          <w:color w:val="auto"/>
        </w:rPr>
        <w:t>递交截止时间：</w:t>
      </w:r>
      <w:r>
        <w:rPr>
          <w:rFonts w:hint="eastAsia" w:ascii="Times New Roman" w:hAnsi="Times New Roman" w:cs="Times New Roman"/>
          <w:b/>
          <w:bCs/>
          <w:color w:val="auto"/>
          <w:szCs w:val="22"/>
          <w:u w:val="single"/>
        </w:rPr>
        <w:t>2021</w:t>
      </w:r>
      <w:r>
        <w:rPr>
          <w:rFonts w:ascii="Times New Roman" w:hAnsi="Times New Roman" w:cs="Times New Roman"/>
          <w:b/>
          <w:bCs/>
          <w:color w:val="auto"/>
          <w:szCs w:val="22"/>
          <w:u w:val="single"/>
        </w:rPr>
        <w:t>年</w:t>
      </w:r>
      <w:r>
        <w:rPr>
          <w:rFonts w:hint="eastAsia" w:ascii="Times New Roman" w:hAnsi="Times New Roman" w:cs="Times New Roman"/>
          <w:b/>
          <w:bCs/>
          <w:color w:val="auto"/>
          <w:szCs w:val="22"/>
          <w:u w:val="single"/>
          <w:lang w:val="en-US" w:eastAsia="zh-CN"/>
        </w:rPr>
        <w:t>12</w:t>
      </w:r>
      <w:r>
        <w:rPr>
          <w:rFonts w:ascii="Times New Roman" w:hAnsi="Times New Roman" w:cs="Times New Roman"/>
          <w:b/>
          <w:bCs/>
          <w:color w:val="auto"/>
          <w:szCs w:val="22"/>
          <w:u w:val="single"/>
        </w:rPr>
        <w:t>月</w:t>
      </w:r>
      <w:r>
        <w:rPr>
          <w:rFonts w:hint="eastAsia" w:ascii="Times New Roman" w:hAnsi="Times New Roman" w:cs="Times New Roman"/>
          <w:b/>
          <w:bCs/>
          <w:color w:val="auto"/>
          <w:szCs w:val="22"/>
          <w:u w:val="single"/>
          <w:lang w:val="en-US" w:eastAsia="zh-CN"/>
        </w:rPr>
        <w:t>10</w:t>
      </w:r>
      <w:r>
        <w:rPr>
          <w:rFonts w:ascii="Times New Roman" w:hAnsi="Times New Roman" w:cs="Times New Roman"/>
          <w:b/>
          <w:bCs/>
          <w:color w:val="auto"/>
          <w:szCs w:val="22"/>
          <w:u w:val="single"/>
        </w:rPr>
        <w:t>日</w:t>
      </w:r>
      <w:r>
        <w:rPr>
          <w:rFonts w:hint="eastAsia" w:ascii="Times New Roman" w:hAnsi="Times New Roman" w:cs="Times New Roman"/>
          <w:b/>
          <w:bCs/>
          <w:color w:val="auto"/>
          <w:szCs w:val="22"/>
          <w:u w:val="single"/>
          <w:lang w:val="en-US" w:eastAsia="zh-CN"/>
        </w:rPr>
        <w:t>14</w:t>
      </w:r>
      <w:r>
        <w:rPr>
          <w:rFonts w:hint="eastAsia" w:ascii="Times New Roman" w:hAnsi="Times New Roman" w:cs="Times New Roman"/>
          <w:b/>
          <w:bCs/>
          <w:color w:val="auto"/>
          <w:szCs w:val="22"/>
          <w:u w:val="single"/>
        </w:rPr>
        <w:t xml:space="preserve"> </w:t>
      </w:r>
      <w:r>
        <w:rPr>
          <w:rFonts w:ascii="Times New Roman" w:hAnsi="Times New Roman" w:cs="Times New Roman"/>
          <w:b/>
          <w:bCs/>
          <w:color w:val="auto"/>
          <w:szCs w:val="22"/>
          <w:u w:val="single"/>
        </w:rPr>
        <w:t>时</w:t>
      </w:r>
      <w:r>
        <w:rPr>
          <w:rFonts w:hint="eastAsia" w:ascii="Times New Roman" w:hAnsi="Times New Roman" w:cs="Times New Roman"/>
          <w:b/>
          <w:bCs/>
          <w:color w:val="auto"/>
          <w:szCs w:val="22"/>
          <w:u w:val="single"/>
          <w:lang w:val="en-US" w:eastAsia="zh-CN"/>
        </w:rPr>
        <w:t>3</w:t>
      </w:r>
      <w:r>
        <w:rPr>
          <w:rFonts w:hint="eastAsia" w:ascii="Times New Roman" w:hAnsi="Times New Roman" w:cs="Times New Roman"/>
          <w:b/>
          <w:bCs/>
          <w:color w:val="auto"/>
          <w:szCs w:val="22"/>
          <w:u w:val="single"/>
        </w:rPr>
        <w:t>0</w:t>
      </w:r>
      <w:r>
        <w:rPr>
          <w:rFonts w:ascii="Times New Roman" w:hAnsi="Times New Roman" w:cs="Times New Roman"/>
          <w:b/>
          <w:bCs/>
          <w:color w:val="auto"/>
          <w:szCs w:val="22"/>
          <w:u w:val="single"/>
        </w:rPr>
        <w:t>分</w:t>
      </w:r>
    </w:p>
    <w:p>
      <w:pPr>
        <w:pStyle w:val="4"/>
        <w:keepNext/>
        <w:keepLines/>
        <w:pageBreakBefore w:val="0"/>
        <w:widowControl/>
        <w:numPr>
          <w:ilvl w:val="0"/>
          <w:numId w:val="0"/>
        </w:numPr>
        <w:kinsoku/>
        <w:wordWrap/>
        <w:overflowPunct/>
        <w:topLinePunct w:val="0"/>
        <w:autoSpaceDE/>
        <w:autoSpaceDN/>
        <w:bidi w:val="0"/>
        <w:adjustRightInd/>
        <w:snapToGrid w:val="0"/>
        <w:spacing w:before="120" w:after="120" w:line="240" w:lineRule="auto"/>
        <w:ind w:left="420" w:leftChars="0" w:firstLine="0" w:firstLineChars="0"/>
        <w:textAlignment w:val="auto"/>
        <w:rPr>
          <w:rFonts w:ascii="Times New Roman" w:hAnsi="Times New Roman"/>
          <w:b/>
          <w:bCs/>
          <w:color w:val="auto"/>
        </w:rPr>
      </w:pPr>
      <w:r>
        <w:rPr>
          <w:rFonts w:hint="eastAsia" w:ascii="Times New Roman" w:hAnsi="Times New Roman" w:eastAsia="宋体" w:cs="Times New Roman"/>
          <w:b/>
          <w:bCs/>
          <w:color w:val="auto"/>
          <w:kern w:val="2"/>
          <w:sz w:val="21"/>
          <w:szCs w:val="24"/>
          <w:lang w:val="en-US" w:eastAsia="zh-CN" w:bidi="ar-SA"/>
        </w:rPr>
        <w:t>具体情况以递交截止时间我公司财务查询为准。</w:t>
      </w:r>
    </w:p>
    <w:p>
      <w:pPr>
        <w:pStyle w:val="2"/>
        <w:rPr>
          <w:rFonts w:hint="default" w:eastAsiaTheme="minorEastAsia"/>
          <w:lang w:val="en-US" w:eastAsia="zh-CN"/>
        </w:rPr>
      </w:pPr>
    </w:p>
    <w:p>
      <w:pPr>
        <w:pStyle w:val="4"/>
        <w:snapToGrid w:val="0"/>
        <w:spacing w:before="120" w:after="120" w:line="240" w:lineRule="auto"/>
        <w:ind w:firstLine="403"/>
        <w:rPr>
          <w:rFonts w:ascii="Times New Roman" w:hAnsi="Times New Roman" w:eastAsia="黑体" w:cs="Times New Roman"/>
          <w:b w:val="0"/>
          <w:sz w:val="22"/>
          <w:szCs w:val="15"/>
        </w:rPr>
      </w:pPr>
      <w:r>
        <w:rPr>
          <w:rFonts w:ascii="Times New Roman" w:hAnsi="Times New Roman" w:eastAsia="黑体" w:cs="Times New Roman"/>
          <w:b w:val="0"/>
          <w:sz w:val="22"/>
          <w:szCs w:val="15"/>
        </w:rPr>
        <w:t>发布公告的媒介</w:t>
      </w:r>
      <w:bookmarkEnd w:id="34"/>
      <w:bookmarkEnd w:id="35"/>
    </w:p>
    <w:p>
      <w:pPr>
        <w:snapToGrid w:val="0"/>
        <w:spacing w:line="440" w:lineRule="exact"/>
        <w:ind w:firstLine="420" w:firstLineChars="200"/>
        <w:rPr>
          <w:rFonts w:ascii="Times New Roman" w:hAnsi="Times New Roman" w:eastAsia="黑体" w:cs="Times New Roman"/>
          <w:sz w:val="22"/>
          <w:szCs w:val="15"/>
        </w:rPr>
      </w:pPr>
      <w:r>
        <w:rPr>
          <w:rFonts w:ascii="Times New Roman" w:hAnsi="Times New Roman" w:cs="Times New Roman"/>
          <w:szCs w:val="22"/>
        </w:rPr>
        <w:t>本次采购公告在</w:t>
      </w:r>
      <w:r>
        <w:rPr>
          <w:rFonts w:hint="eastAsia" w:ascii="Times New Roman" w:hAnsi="Times New Roman" w:cs="Times New Roman"/>
          <w:szCs w:val="21"/>
          <w:u w:val="single"/>
        </w:rPr>
        <w:t>高速检测官网（http://www.ahgsjc.com/）</w:t>
      </w:r>
      <w:r>
        <w:rPr>
          <w:rFonts w:hint="eastAsia" w:ascii="Times New Roman" w:hAnsi="Times New Roman" w:cs="Times New Roman"/>
          <w:szCs w:val="21"/>
        </w:rPr>
        <w:t>公司公告栏</w:t>
      </w:r>
      <w:r>
        <w:rPr>
          <w:rFonts w:ascii="Times New Roman" w:hAnsi="Times New Roman" w:cs="Times New Roman"/>
          <w:szCs w:val="22"/>
        </w:rPr>
        <w:t>上发布。</w:t>
      </w:r>
    </w:p>
    <w:p>
      <w:pPr>
        <w:pStyle w:val="4"/>
        <w:snapToGrid w:val="0"/>
        <w:spacing w:before="120" w:after="120" w:line="240" w:lineRule="auto"/>
        <w:ind w:firstLine="403"/>
        <w:rPr>
          <w:rFonts w:ascii="Times New Roman" w:hAnsi="Times New Roman" w:eastAsia="黑体" w:cs="Times New Roman"/>
          <w:b w:val="0"/>
          <w:sz w:val="22"/>
          <w:szCs w:val="15"/>
        </w:rPr>
      </w:pPr>
      <w:bookmarkStart w:id="36" w:name="_Toc321_WPSOffice_Level2"/>
      <w:bookmarkStart w:id="37" w:name="_Toc8501"/>
      <w:bookmarkStart w:id="38" w:name="_Toc26829"/>
      <w:bookmarkStart w:id="39" w:name="_Toc525632592"/>
      <w:bookmarkStart w:id="40" w:name="_Toc14943_WPSOffice_Level2"/>
      <w:bookmarkStart w:id="41" w:name="_Toc28571_WPSOffice_Level2"/>
      <w:bookmarkStart w:id="42" w:name="_Toc20572_WPSOffice_Level2"/>
      <w:r>
        <w:rPr>
          <w:rFonts w:ascii="Times New Roman" w:hAnsi="Times New Roman" w:eastAsia="黑体" w:cs="Times New Roman"/>
          <w:b w:val="0"/>
          <w:sz w:val="22"/>
          <w:szCs w:val="15"/>
        </w:rPr>
        <w:t>采购人联系方式</w:t>
      </w:r>
      <w:bookmarkEnd w:id="36"/>
      <w:bookmarkEnd w:id="37"/>
      <w:bookmarkEnd w:id="38"/>
      <w:bookmarkEnd w:id="39"/>
      <w:bookmarkEnd w:id="40"/>
      <w:bookmarkEnd w:id="41"/>
      <w:bookmarkEnd w:id="42"/>
    </w:p>
    <w:p>
      <w:pPr>
        <w:spacing w:line="440" w:lineRule="exact"/>
        <w:ind w:firstLine="420" w:firstLineChars="200"/>
        <w:rPr>
          <w:rFonts w:ascii="Times New Roman" w:hAnsi="Times New Roman" w:cs="Times New Roman"/>
          <w:szCs w:val="22"/>
        </w:rPr>
      </w:pPr>
      <w:r>
        <w:rPr>
          <w:rFonts w:ascii="Times New Roman" w:hAnsi="Times New Roman" w:cs="Times New Roman"/>
          <w:szCs w:val="22"/>
        </w:rPr>
        <w:t>采 购 人：</w:t>
      </w:r>
      <w:r>
        <w:rPr>
          <w:rFonts w:ascii="Times New Roman" w:hAnsi="Times New Roman" w:cs="Times New Roman"/>
          <w:szCs w:val="22"/>
          <w:u w:val="single"/>
        </w:rPr>
        <w:t>安徽省高速公路试验检测科研中心有限公司</w:t>
      </w:r>
    </w:p>
    <w:p>
      <w:pPr>
        <w:spacing w:line="440" w:lineRule="exact"/>
        <w:ind w:firstLine="420" w:firstLineChars="200"/>
        <w:rPr>
          <w:rFonts w:ascii="Times New Roman" w:hAnsi="Times New Roman" w:cs="Times New Roman"/>
          <w:szCs w:val="22"/>
        </w:rPr>
      </w:pPr>
      <w:r>
        <w:rPr>
          <w:rFonts w:ascii="Times New Roman" w:hAnsi="Times New Roman" w:cs="Times New Roman"/>
          <w:szCs w:val="22"/>
        </w:rPr>
        <w:t>地    址：</w:t>
      </w:r>
      <w:r>
        <w:rPr>
          <w:rFonts w:ascii="Times New Roman" w:hAnsi="Times New Roman" w:cs="Times New Roman"/>
          <w:szCs w:val="22"/>
          <w:u w:val="single"/>
        </w:rPr>
        <w:t>安徽省合肥市经济技术开发区金寨南路18号</w:t>
      </w:r>
    </w:p>
    <w:p>
      <w:pPr>
        <w:spacing w:line="440" w:lineRule="exact"/>
        <w:ind w:firstLine="420" w:firstLineChars="200"/>
        <w:rPr>
          <w:rFonts w:ascii="Times New Roman" w:hAnsi="Times New Roman" w:cs="Times New Roman"/>
          <w:szCs w:val="22"/>
        </w:rPr>
      </w:pPr>
      <w:r>
        <w:rPr>
          <w:rFonts w:ascii="Times New Roman" w:hAnsi="Times New Roman" w:cs="Times New Roman"/>
          <w:szCs w:val="22"/>
        </w:rPr>
        <w:t>联 系 人：</w:t>
      </w:r>
      <w:r>
        <w:rPr>
          <w:rFonts w:ascii="Times New Roman" w:hAnsi="Times New Roman" w:cs="Times New Roman"/>
          <w:szCs w:val="22"/>
          <w:u w:val="single"/>
        </w:rPr>
        <w:t xml:space="preserve">黄  工 </w:t>
      </w:r>
    </w:p>
    <w:p>
      <w:pPr>
        <w:spacing w:line="440" w:lineRule="exact"/>
        <w:ind w:firstLine="420" w:firstLineChars="200"/>
        <w:rPr>
          <w:rFonts w:ascii="Times New Roman" w:hAnsi="Times New Roman" w:cs="Times New Roman"/>
          <w:szCs w:val="22"/>
        </w:rPr>
      </w:pPr>
      <w:r>
        <w:rPr>
          <w:rFonts w:ascii="Times New Roman" w:hAnsi="Times New Roman" w:cs="Times New Roman"/>
          <w:szCs w:val="22"/>
        </w:rPr>
        <w:t>电    话：</w:t>
      </w:r>
      <w:r>
        <w:rPr>
          <w:rFonts w:ascii="Times New Roman" w:hAnsi="Times New Roman" w:cs="Times New Roman"/>
          <w:szCs w:val="22"/>
          <w:u w:val="single"/>
        </w:rPr>
        <w:t>0551-63817770</w:t>
      </w:r>
    </w:p>
    <w:p>
      <w:pPr>
        <w:pStyle w:val="28"/>
        <w:jc w:val="both"/>
        <w:rPr>
          <w:rFonts w:hint="default" w:ascii="Times New Roman" w:hAnsi="Times New Roman" w:eastAsiaTheme="minorEastAsia" w:cstheme="minorBidi"/>
          <w:color w:val="auto"/>
          <w:kern w:val="2"/>
          <w:sz w:val="21"/>
          <w:szCs w:val="24"/>
        </w:rPr>
      </w:pPr>
    </w:p>
    <w:p>
      <w:pPr>
        <w:pStyle w:val="28"/>
        <w:jc w:val="right"/>
        <w:rPr>
          <w:rFonts w:hint="default" w:ascii="Times New Roman" w:hAnsi="Times New Roman" w:eastAsiaTheme="minorEastAsia" w:cstheme="minorBidi"/>
          <w:color w:val="auto"/>
          <w:kern w:val="2"/>
          <w:sz w:val="21"/>
          <w:szCs w:val="24"/>
        </w:rPr>
      </w:pPr>
      <w:r>
        <w:rPr>
          <w:rFonts w:ascii="Times New Roman" w:hAnsi="Times New Roman" w:eastAsiaTheme="minorEastAsia" w:cstheme="minorBidi"/>
          <w:color w:val="auto"/>
          <w:kern w:val="2"/>
          <w:sz w:val="21"/>
          <w:szCs w:val="24"/>
        </w:rPr>
        <w:t>2021</w:t>
      </w:r>
      <w:r>
        <w:rPr>
          <w:rFonts w:hint="default" w:ascii="Times New Roman" w:hAnsi="Times New Roman" w:eastAsiaTheme="minorEastAsia" w:cstheme="minorBidi"/>
          <w:color w:val="auto"/>
          <w:kern w:val="2"/>
          <w:sz w:val="21"/>
          <w:szCs w:val="24"/>
        </w:rPr>
        <w:t>年1</w:t>
      </w:r>
      <w:r>
        <w:rPr>
          <w:rFonts w:hint="eastAsia" w:ascii="Times New Roman" w:hAnsi="Times New Roman" w:eastAsiaTheme="minorEastAsia" w:cstheme="minorBidi"/>
          <w:color w:val="auto"/>
          <w:kern w:val="2"/>
          <w:sz w:val="21"/>
          <w:szCs w:val="24"/>
          <w:lang w:val="en-US" w:eastAsia="zh-CN"/>
        </w:rPr>
        <w:t>2</w:t>
      </w:r>
      <w:r>
        <w:rPr>
          <w:rFonts w:hint="default" w:ascii="Times New Roman" w:hAnsi="Times New Roman" w:eastAsiaTheme="minorEastAsia" w:cstheme="minorBidi"/>
          <w:color w:val="auto"/>
          <w:kern w:val="2"/>
          <w:sz w:val="21"/>
          <w:szCs w:val="24"/>
        </w:rPr>
        <w:t>月</w:t>
      </w:r>
      <w:r>
        <w:rPr>
          <w:rFonts w:hint="eastAsia" w:ascii="Times New Roman" w:hAnsi="Times New Roman" w:eastAsiaTheme="minorEastAsia" w:cstheme="minorBidi"/>
          <w:color w:val="auto"/>
          <w:kern w:val="2"/>
          <w:sz w:val="21"/>
          <w:szCs w:val="24"/>
          <w:lang w:val="en-US" w:eastAsia="zh-CN"/>
        </w:rPr>
        <w:t>3</w:t>
      </w:r>
      <w:r>
        <w:rPr>
          <w:rFonts w:hint="default" w:ascii="Times New Roman" w:hAnsi="Times New Roman" w:eastAsiaTheme="minorEastAsia" w:cstheme="minorBidi"/>
          <w:color w:val="auto"/>
          <w:kern w:val="2"/>
          <w:sz w:val="21"/>
          <w:szCs w:val="24"/>
        </w:rPr>
        <w:t>日</w:t>
      </w:r>
    </w:p>
    <w:p>
      <w:pPr>
        <w:pStyle w:val="28"/>
        <w:jc w:val="both"/>
        <w:rPr>
          <w:rFonts w:hint="default" w:ascii="Times New Roman" w:hAnsi="Times New Roman"/>
          <w:color w:val="auto"/>
          <w:szCs w:val="28"/>
        </w:rPr>
      </w:pPr>
    </w:p>
    <w:p>
      <w:pPr>
        <w:pStyle w:val="28"/>
        <w:jc w:val="both"/>
        <w:rPr>
          <w:rFonts w:hint="default" w:ascii="Times New Roman" w:hAnsi="Times New Roman"/>
          <w:color w:val="auto"/>
          <w:szCs w:val="28"/>
        </w:rPr>
      </w:pPr>
    </w:p>
    <w:p>
      <w:pPr>
        <w:pStyle w:val="28"/>
        <w:jc w:val="both"/>
        <w:rPr>
          <w:rFonts w:hint="default" w:ascii="Times New Roman" w:hAnsi="Times New Roman"/>
          <w:color w:val="auto"/>
          <w:szCs w:val="28"/>
        </w:rPr>
      </w:pPr>
    </w:p>
    <w:p>
      <w:pPr>
        <w:pStyle w:val="28"/>
        <w:jc w:val="both"/>
        <w:rPr>
          <w:rFonts w:hint="default" w:ascii="Times New Roman" w:hAnsi="Times New Roman"/>
          <w:color w:val="auto"/>
          <w:szCs w:val="28"/>
        </w:rPr>
      </w:pPr>
    </w:p>
    <w:p>
      <w:pPr>
        <w:pStyle w:val="28"/>
        <w:jc w:val="both"/>
        <w:rPr>
          <w:rFonts w:hint="default" w:ascii="Times New Roman" w:hAnsi="Times New Roman"/>
          <w:color w:val="auto"/>
          <w:szCs w:val="28"/>
        </w:rPr>
      </w:pPr>
    </w:p>
    <w:p>
      <w:pPr>
        <w:pStyle w:val="28"/>
        <w:jc w:val="both"/>
        <w:rPr>
          <w:rFonts w:hint="default" w:ascii="Times New Roman" w:hAnsi="Times New Roman"/>
          <w:color w:val="auto"/>
          <w:szCs w:val="28"/>
        </w:rPr>
      </w:pPr>
    </w:p>
    <w:p>
      <w:pPr>
        <w:pStyle w:val="28"/>
        <w:jc w:val="both"/>
        <w:rPr>
          <w:rFonts w:hint="default" w:ascii="Times New Roman" w:hAnsi="Times New Roman"/>
          <w:color w:val="auto"/>
          <w:szCs w:val="28"/>
        </w:rPr>
      </w:pPr>
    </w:p>
    <w:p>
      <w:pPr>
        <w:pStyle w:val="28"/>
        <w:jc w:val="both"/>
        <w:rPr>
          <w:rFonts w:hint="default" w:ascii="Times New Roman" w:hAnsi="Times New Roman"/>
          <w:color w:val="auto"/>
          <w:szCs w:val="28"/>
        </w:rPr>
      </w:pPr>
    </w:p>
    <w:p>
      <w:pPr>
        <w:pStyle w:val="28"/>
        <w:jc w:val="both"/>
        <w:rPr>
          <w:rFonts w:hint="default" w:ascii="Times New Roman" w:hAnsi="Times New Roman"/>
          <w:color w:val="auto"/>
          <w:szCs w:val="28"/>
        </w:rPr>
      </w:pPr>
    </w:p>
    <w:p>
      <w:pPr>
        <w:pStyle w:val="28"/>
        <w:jc w:val="both"/>
        <w:rPr>
          <w:rFonts w:hint="default" w:ascii="Times New Roman" w:hAnsi="Times New Roman"/>
          <w:color w:val="auto"/>
          <w:szCs w:val="28"/>
        </w:rPr>
      </w:pPr>
    </w:p>
    <w:p>
      <w:pPr>
        <w:pStyle w:val="28"/>
        <w:jc w:val="both"/>
        <w:rPr>
          <w:rFonts w:hint="default" w:ascii="Times New Roman" w:hAnsi="Times New Roman"/>
          <w:color w:val="auto"/>
          <w:szCs w:val="28"/>
        </w:rPr>
      </w:pPr>
    </w:p>
    <w:p>
      <w:pPr>
        <w:pStyle w:val="28"/>
        <w:jc w:val="both"/>
        <w:rPr>
          <w:rFonts w:hint="default" w:ascii="Times New Roman" w:hAnsi="Times New Roman"/>
          <w:color w:val="auto"/>
          <w:szCs w:val="28"/>
        </w:rPr>
      </w:pPr>
    </w:p>
    <w:p>
      <w:pPr>
        <w:pStyle w:val="28"/>
        <w:jc w:val="both"/>
        <w:rPr>
          <w:rFonts w:hint="default" w:ascii="Times New Roman" w:hAnsi="Times New Roman"/>
          <w:color w:val="auto"/>
          <w:szCs w:val="28"/>
        </w:rPr>
      </w:pPr>
    </w:p>
    <w:p>
      <w:pPr>
        <w:pStyle w:val="28"/>
        <w:jc w:val="both"/>
        <w:rPr>
          <w:rFonts w:hint="default" w:ascii="Times New Roman" w:hAnsi="Times New Roman"/>
          <w:color w:val="auto"/>
          <w:szCs w:val="28"/>
        </w:rPr>
      </w:pPr>
    </w:p>
    <w:p>
      <w:pPr>
        <w:pStyle w:val="28"/>
        <w:jc w:val="both"/>
        <w:rPr>
          <w:rFonts w:hint="default" w:ascii="Times New Roman" w:hAnsi="Times New Roman"/>
          <w:color w:val="auto"/>
          <w:szCs w:val="28"/>
        </w:rPr>
      </w:pPr>
    </w:p>
    <w:p>
      <w:pPr>
        <w:pStyle w:val="28"/>
        <w:jc w:val="both"/>
        <w:rPr>
          <w:rFonts w:hint="default" w:ascii="Times New Roman" w:hAnsi="Times New Roman"/>
          <w:color w:val="auto"/>
          <w:szCs w:val="28"/>
        </w:rPr>
      </w:pPr>
    </w:p>
    <w:p>
      <w:pPr>
        <w:pStyle w:val="28"/>
        <w:jc w:val="both"/>
        <w:rPr>
          <w:rFonts w:hint="default" w:ascii="Times New Roman" w:hAnsi="Times New Roman"/>
          <w:color w:val="auto"/>
          <w:szCs w:val="28"/>
        </w:rPr>
      </w:pPr>
    </w:p>
    <w:p>
      <w:pPr>
        <w:pStyle w:val="28"/>
        <w:jc w:val="both"/>
        <w:rPr>
          <w:rFonts w:hint="default" w:ascii="Times New Roman" w:hAnsi="Times New Roman"/>
          <w:color w:val="auto"/>
          <w:szCs w:val="28"/>
        </w:rPr>
      </w:pPr>
    </w:p>
    <w:p>
      <w:pPr>
        <w:pStyle w:val="28"/>
        <w:jc w:val="both"/>
        <w:rPr>
          <w:rFonts w:hint="default" w:ascii="Times New Roman" w:hAnsi="Times New Roman"/>
          <w:color w:val="auto"/>
          <w:szCs w:val="28"/>
        </w:rPr>
      </w:pPr>
    </w:p>
    <w:p>
      <w:pPr>
        <w:pStyle w:val="28"/>
        <w:jc w:val="both"/>
        <w:rPr>
          <w:rFonts w:hint="default" w:ascii="Times New Roman" w:hAnsi="Times New Roman"/>
          <w:color w:val="auto"/>
          <w:szCs w:val="28"/>
        </w:rPr>
      </w:pPr>
    </w:p>
    <w:p>
      <w:pPr>
        <w:pStyle w:val="28"/>
        <w:jc w:val="both"/>
        <w:rPr>
          <w:rFonts w:hint="default" w:ascii="Times New Roman" w:hAnsi="Times New Roman"/>
          <w:color w:val="auto"/>
          <w:szCs w:val="28"/>
        </w:rPr>
      </w:pPr>
    </w:p>
    <w:p>
      <w:pPr>
        <w:pStyle w:val="28"/>
        <w:jc w:val="both"/>
        <w:rPr>
          <w:rFonts w:hint="default" w:ascii="Times New Roman" w:hAnsi="Times New Roman"/>
          <w:color w:val="auto"/>
          <w:szCs w:val="28"/>
        </w:rPr>
      </w:pPr>
    </w:p>
    <w:p>
      <w:pPr>
        <w:rPr>
          <w:rFonts w:ascii="Times New Roman" w:hAnsi="Times New Roman" w:cs="Times New Roman"/>
          <w:sz w:val="24"/>
          <w:szCs w:val="28"/>
        </w:rPr>
      </w:pPr>
    </w:p>
    <w:p>
      <w:pPr>
        <w:pStyle w:val="3"/>
        <w:numPr>
          <w:ilvl w:val="0"/>
          <w:numId w:val="0"/>
        </w:numPr>
        <w:spacing w:before="312" w:after="312"/>
        <w:outlineLvl w:val="9"/>
        <w:rPr>
          <w:rFonts w:hint="eastAsia" w:ascii="Times New Roman" w:hAnsi="Times New Roman" w:eastAsia="宋体" w:cs="Times New Roman"/>
        </w:rPr>
      </w:pPr>
      <w:bookmarkStart w:id="43" w:name="_Toc12694_WPSOffice_Level1"/>
    </w:p>
    <w:p>
      <w:pPr>
        <w:pStyle w:val="3"/>
        <w:numPr>
          <w:ilvl w:val="0"/>
          <w:numId w:val="0"/>
        </w:numPr>
        <w:spacing w:before="312" w:after="312"/>
        <w:outlineLvl w:val="9"/>
        <w:rPr>
          <w:rFonts w:hint="eastAsia" w:ascii="Times New Roman" w:hAnsi="Times New Roman" w:eastAsia="宋体" w:cs="Times New Roman"/>
        </w:rPr>
      </w:pPr>
    </w:p>
    <w:p>
      <w:pPr>
        <w:pStyle w:val="3"/>
        <w:numPr>
          <w:ilvl w:val="0"/>
          <w:numId w:val="0"/>
        </w:numPr>
        <w:spacing w:before="312" w:after="312"/>
        <w:outlineLvl w:val="9"/>
        <w:rPr>
          <w:rFonts w:hint="eastAsia" w:ascii="Times New Roman" w:hAnsi="Times New Roman" w:eastAsia="宋体" w:cs="Times New Roman"/>
        </w:rPr>
      </w:pPr>
    </w:p>
    <w:p>
      <w:pPr>
        <w:pStyle w:val="3"/>
        <w:numPr>
          <w:ilvl w:val="0"/>
          <w:numId w:val="0"/>
        </w:numPr>
        <w:spacing w:before="312" w:after="312"/>
        <w:outlineLvl w:val="9"/>
        <w:rPr>
          <w:rFonts w:hint="eastAsia" w:ascii="Times New Roman" w:hAnsi="Times New Roman" w:eastAsia="宋体" w:cs="Times New Roman"/>
        </w:rPr>
      </w:pPr>
    </w:p>
    <w:p>
      <w:pPr>
        <w:pStyle w:val="3"/>
        <w:numPr>
          <w:ilvl w:val="0"/>
          <w:numId w:val="0"/>
        </w:numPr>
        <w:spacing w:before="312" w:after="312"/>
        <w:outlineLvl w:val="9"/>
        <w:rPr>
          <w:rFonts w:hint="eastAsia" w:ascii="Times New Roman" w:hAnsi="Times New Roman" w:eastAsia="宋体" w:cs="Times New Roman"/>
        </w:rPr>
      </w:pPr>
    </w:p>
    <w:p>
      <w:pPr>
        <w:pStyle w:val="3"/>
        <w:numPr>
          <w:ilvl w:val="0"/>
          <w:numId w:val="0"/>
        </w:numPr>
        <w:spacing w:before="312" w:after="312"/>
        <w:outlineLvl w:val="9"/>
        <w:rPr>
          <w:rFonts w:hint="eastAsia" w:ascii="Times New Roman" w:hAnsi="Times New Roman" w:eastAsia="宋体" w:cs="Times New Roman"/>
        </w:rPr>
      </w:pPr>
    </w:p>
    <w:p>
      <w:pPr>
        <w:pStyle w:val="3"/>
        <w:numPr>
          <w:ilvl w:val="0"/>
          <w:numId w:val="0"/>
        </w:numPr>
        <w:spacing w:before="312" w:after="312"/>
        <w:outlineLvl w:val="9"/>
        <w:rPr>
          <w:rFonts w:hint="eastAsia" w:ascii="Times New Roman" w:hAnsi="Times New Roman" w:eastAsia="宋体" w:cs="Times New Roman"/>
        </w:rPr>
      </w:pPr>
    </w:p>
    <w:p>
      <w:pPr>
        <w:pStyle w:val="3"/>
        <w:numPr>
          <w:ilvl w:val="0"/>
          <w:numId w:val="0"/>
        </w:numPr>
        <w:spacing w:before="312" w:after="312"/>
        <w:outlineLvl w:val="9"/>
        <w:rPr>
          <w:rFonts w:hint="eastAsia" w:ascii="Times New Roman" w:hAnsi="Times New Roman" w:eastAsia="宋体" w:cs="Times New Roman"/>
        </w:rPr>
      </w:pPr>
    </w:p>
    <w:p>
      <w:pPr>
        <w:pStyle w:val="3"/>
        <w:numPr>
          <w:ilvl w:val="0"/>
          <w:numId w:val="0"/>
        </w:numPr>
        <w:spacing w:before="312" w:after="312"/>
        <w:jc w:val="center"/>
        <w:rPr>
          <w:rFonts w:ascii="Times New Roman" w:hAnsi="Times New Roman" w:eastAsia="宋体" w:cs="Times New Roman"/>
        </w:rPr>
      </w:pPr>
      <w:r>
        <w:rPr>
          <w:rFonts w:hint="eastAsia" w:ascii="Times New Roman" w:hAnsi="Times New Roman" w:eastAsia="宋体" w:cs="Times New Roman"/>
        </w:rPr>
        <w:t xml:space="preserve">第二章 </w:t>
      </w:r>
      <w:r>
        <w:rPr>
          <w:rFonts w:ascii="Times New Roman" w:hAnsi="Times New Roman" w:eastAsia="宋体" w:cs="Times New Roman"/>
        </w:rPr>
        <w:t>供应商须知</w:t>
      </w:r>
      <w:bookmarkEnd w:id="43"/>
    </w:p>
    <w:p/>
    <w:p/>
    <w:p>
      <w:pPr>
        <w:rPr>
          <w:rFonts w:ascii="Times New Roman" w:hAnsi="Times New Roman" w:eastAsia="宋体" w:cs="Times New Roman"/>
        </w:rPr>
      </w:pPr>
    </w:p>
    <w:p>
      <w:pPr>
        <w:pStyle w:val="2"/>
        <w:rPr>
          <w:rFonts w:ascii="Times New Roman" w:hAnsi="Times New Roman" w:eastAsia="宋体" w:cs="Times New Roman"/>
        </w:rPr>
      </w:pPr>
    </w:p>
    <w:p>
      <w:pPr>
        <w:pStyle w:val="20"/>
        <w:outlineLvl w:val="9"/>
        <w:rPr>
          <w:rFonts w:ascii="Times New Roman" w:hAnsi="Times New Roman" w:eastAsia="宋体" w:cs="Times New Roman"/>
        </w:rPr>
      </w:pPr>
    </w:p>
    <w:p/>
    <w:p>
      <w:pPr>
        <w:pStyle w:val="20"/>
        <w:outlineLvl w:val="9"/>
        <w:rPr>
          <w:rFonts w:ascii="Times New Roman" w:hAnsi="Times New Roman" w:eastAsia="宋体" w:cs="Times New Roman"/>
        </w:rPr>
      </w:pPr>
    </w:p>
    <w:p>
      <w:pPr>
        <w:rPr>
          <w:rFonts w:ascii="Times New Roman" w:hAnsi="Times New Roman" w:eastAsia="宋体" w:cs="Times New Roman"/>
        </w:rPr>
      </w:pPr>
    </w:p>
    <w:p>
      <w:pPr>
        <w:pStyle w:val="2"/>
      </w:pPr>
    </w:p>
    <w:p>
      <w:pPr>
        <w:rPr>
          <w:rFonts w:ascii="Times New Roman" w:hAnsi="Times New Roman" w:eastAsia="宋体" w:cs="Times New Roman"/>
        </w:rPr>
      </w:pPr>
    </w:p>
    <w:p>
      <w:pPr>
        <w:pStyle w:val="2"/>
      </w:pPr>
    </w:p>
    <w:p>
      <w:pPr>
        <w:rPr>
          <w:rFonts w:ascii="Times New Roman" w:hAnsi="Times New Roman" w:eastAsia="宋体" w:cs="Times New Roman"/>
        </w:rPr>
      </w:pPr>
    </w:p>
    <w:p>
      <w:pPr>
        <w:pStyle w:val="2"/>
      </w:pPr>
    </w:p>
    <w:p>
      <w:pPr>
        <w:keepNext/>
        <w:keepLines/>
        <w:spacing w:before="156" w:beforeLines="50" w:after="156" w:afterLines="50" w:line="360" w:lineRule="auto"/>
        <w:outlineLvl w:val="1"/>
        <w:rPr>
          <w:rFonts w:ascii="Times New Roman" w:hAnsi="Times New Roman" w:eastAsia="黑体" w:cs="Times New Roman"/>
          <w:bCs/>
          <w:sz w:val="24"/>
          <w:szCs w:val="32"/>
        </w:rPr>
      </w:pPr>
      <w:bookmarkStart w:id="44" w:name="_Toc9067720"/>
      <w:bookmarkStart w:id="45" w:name="_Toc26656938"/>
      <w:bookmarkStart w:id="46" w:name="_Toc14201207"/>
      <w:r>
        <w:rPr>
          <w:rFonts w:ascii="Times New Roman" w:hAnsi="Times New Roman" w:eastAsia="黑体" w:cs="Times New Roman"/>
          <w:bCs/>
          <w:sz w:val="24"/>
          <w:szCs w:val="32"/>
        </w:rPr>
        <w:t>1. 总则</w:t>
      </w:r>
      <w:bookmarkEnd w:id="44"/>
      <w:bookmarkEnd w:id="45"/>
      <w:bookmarkEnd w:id="46"/>
    </w:p>
    <w:p>
      <w:pPr>
        <w:keepNext/>
        <w:keepLines/>
        <w:spacing w:before="120" w:after="120"/>
        <w:outlineLvl w:val="2"/>
        <w:rPr>
          <w:rFonts w:ascii="Times New Roman" w:hAnsi="Times New Roman" w:eastAsia="黑体" w:cs="Times New Roman"/>
          <w:bCs/>
          <w:sz w:val="24"/>
          <w:szCs w:val="32"/>
        </w:rPr>
      </w:pPr>
      <w:bookmarkStart w:id="47" w:name="_Toc14201208"/>
      <w:bookmarkStart w:id="48" w:name="_Toc26656939"/>
      <w:r>
        <w:rPr>
          <w:rFonts w:ascii="Times New Roman" w:hAnsi="Times New Roman" w:eastAsia="黑体" w:cs="Times New Roman"/>
          <w:bCs/>
          <w:sz w:val="24"/>
          <w:szCs w:val="32"/>
        </w:rPr>
        <w:t xml:space="preserve">1.1 </w:t>
      </w:r>
      <w:bookmarkEnd w:id="47"/>
      <w:bookmarkEnd w:id="48"/>
      <w:bookmarkStart w:id="49" w:name="_Toc26656941"/>
      <w:bookmarkStart w:id="50" w:name="_Toc14201210"/>
      <w:r>
        <w:rPr>
          <w:rFonts w:ascii="Times New Roman" w:hAnsi="Times New Roman" w:eastAsia="黑体" w:cs="Times New Roman"/>
          <w:bCs/>
          <w:sz w:val="24"/>
          <w:szCs w:val="32"/>
        </w:rPr>
        <w:t>质量要求和</w:t>
      </w:r>
      <w:bookmarkEnd w:id="49"/>
      <w:bookmarkEnd w:id="50"/>
      <w:r>
        <w:rPr>
          <w:rFonts w:hint="eastAsia" w:ascii="Times New Roman" w:hAnsi="Times New Roman" w:eastAsia="黑体" w:cs="Times New Roman"/>
          <w:bCs/>
          <w:sz w:val="24"/>
          <w:szCs w:val="32"/>
        </w:rPr>
        <w:t>成果要求</w:t>
      </w:r>
    </w:p>
    <w:p>
      <w:pPr>
        <w:spacing w:line="440" w:lineRule="exact"/>
        <w:ind w:firstLine="420"/>
        <w:rPr>
          <w:rFonts w:ascii="Times New Roman" w:hAnsi="Times New Roman" w:cs="Times New Roman"/>
          <w:szCs w:val="21"/>
        </w:rPr>
      </w:pPr>
      <w:r>
        <w:rPr>
          <w:rFonts w:ascii="Times New Roman" w:hAnsi="Times New Roman" w:cs="Times New Roman"/>
          <w:szCs w:val="21"/>
        </w:rPr>
        <w:t>1.1.1 本合同包的质量要求：</w:t>
      </w:r>
      <w:r>
        <w:rPr>
          <w:rFonts w:ascii="Times New Roman" w:hAnsi="Times New Roman" w:cs="Times New Roman"/>
          <w:color w:val="000000"/>
          <w:szCs w:val="21"/>
          <w:u w:val="single"/>
        </w:rPr>
        <w:t>满足</w:t>
      </w:r>
      <w:r>
        <w:rPr>
          <w:rFonts w:hint="eastAsia" w:ascii="Times New Roman" w:hAnsi="Times New Roman" w:cs="Times New Roman"/>
          <w:color w:val="000000"/>
          <w:szCs w:val="21"/>
          <w:u w:val="single"/>
        </w:rPr>
        <w:t>本次采购范围、内容</w:t>
      </w:r>
      <w:r>
        <w:rPr>
          <w:rFonts w:hint="eastAsia" w:ascii="Times New Roman" w:hAnsi="Times New Roman" w:cs="Times New Roman"/>
          <w:color w:val="000000"/>
          <w:szCs w:val="21"/>
          <w:u w:val="single"/>
          <w:lang w:val="en-US" w:eastAsia="zh-CN"/>
        </w:rPr>
        <w:t>及</w:t>
      </w:r>
      <w:r>
        <w:rPr>
          <w:rFonts w:hint="eastAsia" w:ascii="Times New Roman" w:hAnsi="Times New Roman" w:cs="Times New Roman"/>
          <w:color w:val="000000"/>
          <w:szCs w:val="21"/>
          <w:u w:val="single"/>
        </w:rPr>
        <w:t>要求。</w:t>
      </w:r>
    </w:p>
    <w:p>
      <w:pPr>
        <w:spacing w:line="440" w:lineRule="exact"/>
        <w:ind w:firstLine="420"/>
        <w:rPr>
          <w:rFonts w:ascii="Times New Roman" w:hAnsi="Times New Roman" w:cs="Times New Roman"/>
          <w:color w:val="auto"/>
          <w:szCs w:val="21"/>
        </w:rPr>
      </w:pPr>
      <w:bookmarkStart w:id="51" w:name="_Toc26656942"/>
      <w:bookmarkStart w:id="52" w:name="_Toc14201211"/>
      <w:r>
        <w:rPr>
          <w:rFonts w:ascii="Times New Roman" w:hAnsi="Times New Roman" w:cs="Times New Roman"/>
          <w:color w:val="auto"/>
          <w:szCs w:val="21"/>
        </w:rPr>
        <w:t>1.1.2 本合同包的安全目标：</w:t>
      </w:r>
      <w:r>
        <w:rPr>
          <w:rFonts w:ascii="Times New Roman" w:hAnsi="Times New Roman" w:cs="Times New Roman"/>
          <w:color w:val="auto"/>
          <w:szCs w:val="21"/>
          <w:u w:val="single"/>
        </w:rPr>
        <w:t>安全</w:t>
      </w:r>
      <w:r>
        <w:rPr>
          <w:rFonts w:hint="eastAsia" w:ascii="Times New Roman" w:hAnsi="Times New Roman" w:cs="Times New Roman"/>
          <w:color w:val="auto"/>
          <w:szCs w:val="21"/>
          <w:u w:val="single"/>
        </w:rPr>
        <w:t>无</w:t>
      </w:r>
      <w:r>
        <w:rPr>
          <w:rFonts w:ascii="Times New Roman" w:hAnsi="Times New Roman" w:cs="Times New Roman"/>
          <w:color w:val="auto"/>
          <w:szCs w:val="21"/>
          <w:u w:val="single"/>
        </w:rPr>
        <w:t>事故。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bookmarkEnd w:id="51"/>
      <w:bookmarkEnd w:id="52"/>
    </w:p>
    <w:p>
      <w:pPr>
        <w:spacing w:line="440" w:lineRule="exact"/>
        <w:ind w:firstLine="420"/>
        <w:rPr>
          <w:rFonts w:ascii="Times New Roman" w:hAnsi="Times New Roman" w:cs="Times New Roman"/>
          <w:szCs w:val="21"/>
        </w:rPr>
      </w:pPr>
      <w:r>
        <w:rPr>
          <w:rFonts w:ascii="Times New Roman" w:hAnsi="Times New Roman" w:cs="Times New Roman"/>
          <w:szCs w:val="21"/>
        </w:rPr>
        <w:t>供应商应具备承担本合同包</w:t>
      </w:r>
      <w:r>
        <w:rPr>
          <w:rFonts w:hint="eastAsia" w:ascii="Times New Roman" w:hAnsi="Times New Roman" w:cs="Times New Roman"/>
          <w:szCs w:val="21"/>
        </w:rPr>
        <w:t>服务</w:t>
      </w:r>
      <w:r>
        <w:rPr>
          <w:rFonts w:ascii="Times New Roman" w:hAnsi="Times New Roman" w:cs="Times New Roman"/>
          <w:szCs w:val="21"/>
        </w:rPr>
        <w:t>的资质条件、</w:t>
      </w:r>
      <w:r>
        <w:rPr>
          <w:rFonts w:hint="eastAsia" w:ascii="Times New Roman" w:hAnsi="Times New Roman" w:cs="Times New Roman"/>
          <w:szCs w:val="21"/>
          <w:lang w:val="en-US" w:eastAsia="zh-CN"/>
        </w:rPr>
        <w:t>业绩</w:t>
      </w:r>
      <w:r>
        <w:rPr>
          <w:rFonts w:ascii="Times New Roman" w:hAnsi="Times New Roman" w:cs="Times New Roman"/>
          <w:szCs w:val="21"/>
        </w:rPr>
        <w:t>和信誉：见第一章</w:t>
      </w:r>
      <w:r>
        <w:rPr>
          <w:rFonts w:hint="eastAsia" w:ascii="Times New Roman" w:hAnsi="Times New Roman" w:cs="Times New Roman"/>
          <w:szCs w:val="21"/>
        </w:rPr>
        <w:t>采购公告第3.1款要求</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bookmarkStart w:id="53" w:name="_Toc14201212"/>
      <w:bookmarkStart w:id="54" w:name="_Toc26656943"/>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bookmarkEnd w:id="53"/>
      <w:bookmarkEnd w:id="54"/>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bookmarkStart w:id="55" w:name="_Toc14201213"/>
      <w:bookmarkStart w:id="56" w:name="_Toc26656944"/>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bookmarkEnd w:id="55"/>
      <w:bookmarkEnd w:id="56"/>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bookmarkStart w:id="57" w:name="_Toc14201215"/>
      <w:bookmarkStart w:id="58" w:name="_Toc26656946"/>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bookmarkEnd w:id="57"/>
      <w:bookmarkEnd w:id="58"/>
    </w:p>
    <w:p>
      <w:pPr>
        <w:spacing w:line="440" w:lineRule="exact"/>
        <w:ind w:firstLine="420"/>
        <w:rPr>
          <w:rFonts w:ascii="Times New Roman" w:hAnsi="Times New Roman" w:cs="Times New Roman"/>
        </w:rPr>
      </w:pPr>
      <w:r>
        <w:rPr>
          <w:rFonts w:ascii="Times New Roman" w:hAnsi="Times New Roman" w:cs="Times New Roman"/>
        </w:rPr>
        <w:t>均采用中华人民共和国法定计量单位。</w:t>
      </w:r>
    </w:p>
    <w:p>
      <w:pPr>
        <w:keepNext/>
        <w:keepLines/>
        <w:spacing w:before="120" w:after="120"/>
        <w:outlineLvl w:val="2"/>
        <w:rPr>
          <w:rFonts w:ascii="Times New Roman" w:hAnsi="Times New Roman" w:eastAsia="黑体" w:cs="Times New Roman"/>
          <w:bCs/>
          <w:sz w:val="24"/>
          <w:szCs w:val="32"/>
        </w:rPr>
      </w:pPr>
      <w:bookmarkStart w:id="59" w:name="_Toc26656947"/>
      <w:bookmarkStart w:id="60" w:name="_Toc14201216"/>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bookmarkEnd w:id="59"/>
      <w:bookmarkEnd w:id="60"/>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bookmarkStart w:id="61" w:name="_Toc26656949"/>
      <w:bookmarkStart w:id="62" w:name="_Toc14201218"/>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bookmarkEnd w:id="61"/>
      <w:bookmarkEnd w:id="62"/>
    </w:p>
    <w:p>
      <w:pPr>
        <w:spacing w:line="440" w:lineRule="exact"/>
        <w:ind w:firstLine="420"/>
        <w:rPr>
          <w:rFonts w:ascii="Times New Roman" w:hAnsi="Times New Roman" w:cs="Times New Roman"/>
        </w:rPr>
      </w:pPr>
      <w:r>
        <w:rPr>
          <w:rFonts w:hint="eastAsia" w:ascii="Times New Roman" w:hAnsi="Times New Roman" w:cs="Times New Roman"/>
        </w:rPr>
        <w:t xml:space="preserve">不允许分包。        </w:t>
      </w:r>
    </w:p>
    <w:p>
      <w:pPr>
        <w:keepNext/>
        <w:keepLines/>
        <w:spacing w:before="120" w:after="120"/>
        <w:outlineLvl w:val="2"/>
        <w:rPr>
          <w:rFonts w:ascii="Times New Roman" w:hAnsi="Times New Roman" w:eastAsia="黑体" w:cs="Times New Roman"/>
          <w:bCs/>
          <w:sz w:val="24"/>
          <w:szCs w:val="32"/>
        </w:rPr>
      </w:pPr>
      <w:bookmarkStart w:id="63" w:name="_Toc26656950"/>
      <w:bookmarkStart w:id="64" w:name="_Toc14201219"/>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bookmarkEnd w:id="63"/>
      <w:bookmarkEnd w:id="64"/>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bookmarkStart w:id="65" w:name="_Toc26656951"/>
      <w:bookmarkStart w:id="66" w:name="_Toc14201220"/>
      <w:bookmarkStart w:id="67" w:name="_Toc9067721"/>
      <w:r>
        <w:rPr>
          <w:rFonts w:ascii="Times New Roman" w:hAnsi="Times New Roman" w:eastAsia="黑体" w:cs="Times New Roman"/>
          <w:bCs/>
          <w:sz w:val="24"/>
          <w:szCs w:val="32"/>
        </w:rPr>
        <w:t xml:space="preserve">2. </w:t>
      </w:r>
      <w:bookmarkEnd w:id="65"/>
      <w:bookmarkEnd w:id="66"/>
      <w:bookmarkEnd w:id="67"/>
      <w:r>
        <w:rPr>
          <w:rFonts w:ascii="Times New Roman" w:hAnsi="Times New Roman" w:eastAsia="黑体" w:cs="Times New Roman"/>
          <w:bCs/>
          <w:sz w:val="24"/>
          <w:szCs w:val="32"/>
        </w:rPr>
        <w:t>询比文件</w:t>
      </w:r>
    </w:p>
    <w:p>
      <w:pPr>
        <w:keepNext/>
        <w:keepLines/>
        <w:spacing w:before="120" w:after="120"/>
        <w:outlineLvl w:val="2"/>
        <w:rPr>
          <w:rFonts w:ascii="Times New Roman" w:hAnsi="Times New Roman" w:eastAsia="黑体" w:cs="Times New Roman"/>
          <w:bCs/>
          <w:sz w:val="24"/>
          <w:szCs w:val="32"/>
        </w:rPr>
      </w:pPr>
      <w:bookmarkStart w:id="68" w:name="_Toc26656952"/>
      <w:bookmarkStart w:id="69" w:name="_Toc14201221"/>
      <w:r>
        <w:rPr>
          <w:rFonts w:ascii="Times New Roman" w:hAnsi="Times New Roman" w:eastAsia="黑体" w:cs="Times New Roman"/>
          <w:bCs/>
          <w:sz w:val="24"/>
          <w:szCs w:val="32"/>
        </w:rPr>
        <w:t>2.1 询比文件的组成</w:t>
      </w:r>
      <w:bookmarkEnd w:id="68"/>
      <w:bookmarkEnd w:id="69"/>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bookmarkStart w:id="70" w:name="_Toc14201222"/>
      <w:bookmarkStart w:id="71" w:name="_Toc26656953"/>
      <w:r>
        <w:rPr>
          <w:rFonts w:ascii="Times New Roman" w:hAnsi="Times New Roman" w:eastAsia="黑体" w:cs="Times New Roman"/>
          <w:bCs/>
          <w:sz w:val="24"/>
          <w:szCs w:val="32"/>
        </w:rPr>
        <w:t>2.2 询比文件的澄清</w:t>
      </w:r>
      <w:bookmarkEnd w:id="70"/>
      <w:bookmarkEnd w:id="71"/>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通过书面形式</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 xml:space="preserve"> 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bookmarkStart w:id="72" w:name="_Toc14201225"/>
      <w:bookmarkStart w:id="73" w:name="_Toc26656956"/>
      <w:bookmarkStart w:id="74" w:name="_Toc9067722"/>
      <w:r>
        <w:rPr>
          <w:rFonts w:ascii="Times New Roman" w:hAnsi="Times New Roman" w:eastAsia="黑体" w:cs="Times New Roman"/>
          <w:bCs/>
          <w:sz w:val="24"/>
          <w:szCs w:val="32"/>
        </w:rPr>
        <w:t xml:space="preserve">3. </w:t>
      </w:r>
      <w:bookmarkEnd w:id="72"/>
      <w:bookmarkEnd w:id="73"/>
      <w:bookmarkEnd w:id="74"/>
      <w:r>
        <w:rPr>
          <w:rFonts w:ascii="Times New Roman" w:hAnsi="Times New Roman" w:eastAsia="黑体" w:cs="Times New Roman"/>
          <w:bCs/>
          <w:sz w:val="24"/>
          <w:szCs w:val="32"/>
        </w:rPr>
        <w:t>响应文件</w:t>
      </w:r>
    </w:p>
    <w:p>
      <w:pPr>
        <w:keepNext/>
        <w:keepLines/>
        <w:spacing w:before="120" w:after="120"/>
        <w:outlineLvl w:val="2"/>
        <w:rPr>
          <w:rFonts w:ascii="Times New Roman" w:hAnsi="Times New Roman" w:eastAsia="黑体" w:cs="Times New Roman"/>
          <w:bCs/>
          <w:sz w:val="24"/>
          <w:szCs w:val="32"/>
        </w:rPr>
      </w:pPr>
      <w:bookmarkStart w:id="75" w:name="_Toc26656957"/>
      <w:bookmarkStart w:id="76" w:name="_Toc14201226"/>
      <w:r>
        <w:rPr>
          <w:rFonts w:ascii="Times New Roman" w:hAnsi="Times New Roman" w:eastAsia="黑体" w:cs="Times New Roman"/>
          <w:bCs/>
          <w:sz w:val="24"/>
          <w:szCs w:val="32"/>
        </w:rPr>
        <w:t>3.1响应文件的组成</w:t>
      </w:r>
      <w:bookmarkEnd w:id="75"/>
      <w:bookmarkEnd w:id="76"/>
    </w:p>
    <w:p>
      <w:pPr>
        <w:spacing w:line="440" w:lineRule="exact"/>
        <w:ind w:firstLine="420"/>
        <w:rPr>
          <w:rFonts w:ascii="Times New Roman" w:hAnsi="Times New Roman" w:cs="Times New Roman"/>
        </w:rPr>
      </w:pPr>
      <w:r>
        <w:rPr>
          <w:rFonts w:ascii="Times New Roman" w:hAnsi="Times New Roman" w:cs="Times New Roman"/>
        </w:rPr>
        <w:t>响应文件应包括下列内容：</w:t>
      </w:r>
    </w:p>
    <w:p>
      <w:pPr>
        <w:spacing w:line="440" w:lineRule="exact"/>
        <w:ind w:firstLine="420"/>
        <w:rPr>
          <w:rFonts w:ascii="Times New Roman" w:hAnsi="Times New Roman" w:cs="Times New Roman"/>
        </w:rPr>
      </w:pPr>
      <w:r>
        <w:rPr>
          <w:rFonts w:hint="eastAsia" w:ascii="Times New Roman" w:hAnsi="Times New Roman" w:cs="Times New Roman"/>
        </w:rPr>
        <w:t>（1）报价函；</w:t>
      </w:r>
    </w:p>
    <w:p>
      <w:pPr>
        <w:spacing w:line="440" w:lineRule="exact"/>
        <w:ind w:firstLine="420"/>
        <w:rPr>
          <w:rFonts w:ascii="Times New Roman" w:hAnsi="Times New Roman" w:cs="Times New Roman"/>
        </w:rPr>
      </w:pPr>
      <w:r>
        <w:rPr>
          <w:rFonts w:hint="eastAsia" w:ascii="Times New Roman" w:hAnsi="Times New Roman" w:cs="Times New Roman"/>
        </w:rPr>
        <w:t>（2）法定代表人身份证明及授权委托书；</w:t>
      </w:r>
    </w:p>
    <w:p>
      <w:pPr>
        <w:spacing w:line="440" w:lineRule="exact"/>
        <w:ind w:firstLine="420"/>
        <w:rPr>
          <w:rFonts w:ascii="Times New Roman" w:hAnsi="Times New Roman" w:cs="Times New Roman"/>
        </w:rPr>
      </w:pPr>
      <w:r>
        <w:rPr>
          <w:rFonts w:hint="eastAsia" w:ascii="Times New Roman" w:hAnsi="Times New Roman" w:cs="Times New Roman"/>
        </w:rPr>
        <w:t>（3）报价清单；</w:t>
      </w:r>
    </w:p>
    <w:p>
      <w:pPr>
        <w:spacing w:line="440" w:lineRule="exact"/>
        <w:ind w:firstLine="420"/>
        <w:rPr>
          <w:rFonts w:ascii="Times New Roman" w:hAnsi="Times New Roman" w:cs="Times New Roman"/>
        </w:rPr>
      </w:pPr>
      <w:r>
        <w:rPr>
          <w:rFonts w:hint="eastAsia" w:ascii="Times New Roman" w:hAnsi="Times New Roman" w:cs="Times New Roman"/>
        </w:rPr>
        <w:t>（4）供应商基本情况；</w:t>
      </w:r>
    </w:p>
    <w:p>
      <w:pPr>
        <w:spacing w:line="440" w:lineRule="exact"/>
        <w:ind w:firstLine="420"/>
        <w:rPr>
          <w:rFonts w:ascii="Times New Roman" w:hAnsi="Times New Roman" w:cs="Times New Roman"/>
        </w:rPr>
      </w:pPr>
      <w:r>
        <w:rPr>
          <w:rFonts w:hint="eastAsia" w:ascii="Times New Roman" w:hAnsi="Times New Roman" w:cs="Times New Roman"/>
        </w:rPr>
        <w:t>（5）近五年类似业绩情况；</w:t>
      </w:r>
    </w:p>
    <w:p>
      <w:pPr>
        <w:spacing w:line="440" w:lineRule="exact"/>
        <w:ind w:firstLine="420"/>
        <w:rPr>
          <w:rFonts w:ascii="Times New Roman" w:hAnsi="Times New Roman" w:cs="Times New Roman"/>
        </w:rPr>
      </w:pPr>
      <w:r>
        <w:rPr>
          <w:rFonts w:hint="eastAsia" w:ascii="Times New Roman" w:hAnsi="Times New Roman" w:cs="Times New Roman"/>
        </w:rPr>
        <w:t>（</w:t>
      </w:r>
      <w:r>
        <w:rPr>
          <w:rFonts w:hint="eastAsia" w:ascii="Times New Roman" w:hAnsi="Times New Roman" w:cs="Times New Roman"/>
          <w:lang w:val="en-US" w:eastAsia="zh-CN"/>
        </w:rPr>
        <w:t>6</w:t>
      </w:r>
      <w:r>
        <w:rPr>
          <w:rFonts w:hint="eastAsia" w:ascii="Times New Roman" w:hAnsi="Times New Roman" w:cs="Times New Roman"/>
        </w:rPr>
        <w:t>）信誉情况；</w:t>
      </w:r>
    </w:p>
    <w:p>
      <w:pPr>
        <w:spacing w:line="440" w:lineRule="exact"/>
        <w:ind w:firstLine="420"/>
        <w:rPr>
          <w:rFonts w:ascii="Times New Roman" w:hAnsi="Times New Roman" w:cs="Times New Roman"/>
        </w:rPr>
      </w:pPr>
      <w:r>
        <w:rPr>
          <w:rFonts w:hint="eastAsia" w:ascii="Times New Roman" w:hAnsi="Times New Roman" w:cs="Times New Roman"/>
        </w:rPr>
        <w:t>（</w:t>
      </w:r>
      <w:r>
        <w:rPr>
          <w:rFonts w:hint="eastAsia" w:ascii="Times New Roman" w:hAnsi="Times New Roman" w:cs="Times New Roman"/>
          <w:lang w:val="en-US" w:eastAsia="zh-CN"/>
        </w:rPr>
        <w:t>7</w:t>
      </w:r>
      <w:r>
        <w:rPr>
          <w:rFonts w:hint="eastAsia" w:ascii="Times New Roman" w:hAnsi="Times New Roman" w:cs="Times New Roman"/>
        </w:rPr>
        <w:t>）其他材料。</w:t>
      </w:r>
    </w:p>
    <w:p>
      <w:pPr>
        <w:keepNext/>
        <w:keepLines/>
        <w:spacing w:before="120" w:after="120"/>
        <w:outlineLvl w:val="2"/>
        <w:rPr>
          <w:rFonts w:ascii="Times New Roman" w:hAnsi="Times New Roman" w:eastAsia="黑体" w:cs="Times New Roman"/>
          <w:bCs/>
          <w:sz w:val="24"/>
          <w:szCs w:val="32"/>
        </w:rPr>
      </w:pPr>
      <w:bookmarkStart w:id="77" w:name="_Toc26656958"/>
      <w:bookmarkStart w:id="78" w:name="_Toc14201227"/>
      <w:r>
        <w:rPr>
          <w:rFonts w:ascii="Times New Roman" w:hAnsi="Times New Roman" w:eastAsia="黑体" w:cs="Times New Roman"/>
          <w:bCs/>
          <w:sz w:val="24"/>
          <w:szCs w:val="32"/>
        </w:rPr>
        <w:t>3.2 报价</w:t>
      </w:r>
      <w:bookmarkEnd w:id="77"/>
      <w:bookmarkEnd w:id="78"/>
      <w:r>
        <w:rPr>
          <w:rFonts w:ascii="Times New Roman" w:hAnsi="Times New Roman" w:eastAsia="黑体" w:cs="Times New Roman"/>
          <w:bCs/>
          <w:sz w:val="24"/>
          <w:szCs w:val="32"/>
        </w:rPr>
        <w:t>要求</w:t>
      </w:r>
    </w:p>
    <w:p>
      <w:pPr>
        <w:spacing w:line="440" w:lineRule="exact"/>
        <w:ind w:firstLine="420"/>
        <w:rPr>
          <w:rFonts w:ascii="Times New Roman" w:hAnsi="Times New Roman" w:cs="Times New Roman"/>
        </w:rPr>
      </w:pPr>
      <w:r>
        <w:rPr>
          <w:rFonts w:hint="eastAsia" w:ascii="Times New Roman" w:hAnsi="Times New Roman" w:cs="Times New Roman"/>
        </w:rPr>
        <w:t>3.2.1 报价应包括国家规定的增值税税金，供应商应提供符合采购人财务要求的增值税专用发票。</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 xml:space="preserve"> 总价 </w:t>
      </w:r>
      <w:r>
        <w:rPr>
          <w:rFonts w:ascii="Times New Roman" w:hAnsi="Times New Roman" w:cs="Times New Roman"/>
        </w:rPr>
        <w:t>。</w:t>
      </w:r>
    </w:p>
    <w:p>
      <w:pPr>
        <w:spacing w:line="440" w:lineRule="exact"/>
        <w:ind w:firstLine="420"/>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r>
        <w:rPr>
          <w:rFonts w:ascii="Times New Roman" w:hAnsi="Times New Roman" w:cs="Times New Roman"/>
          <w:u w:val="single"/>
        </w:rPr>
        <w:t>本次报价</w:t>
      </w:r>
      <w:r>
        <w:rPr>
          <w:rFonts w:hint="eastAsia" w:ascii="Times New Roman" w:hAnsi="Times New Roman" w:cs="Times New Roman"/>
          <w:u w:val="single"/>
        </w:rPr>
        <w:t>不得超过最高限价。</w:t>
      </w:r>
    </w:p>
    <w:p>
      <w:pPr>
        <w:keepNext/>
        <w:keepLines/>
        <w:spacing w:before="120" w:after="120"/>
        <w:outlineLvl w:val="2"/>
        <w:rPr>
          <w:rFonts w:ascii="Times New Roman" w:hAnsi="Times New Roman" w:eastAsia="黑体" w:cs="Times New Roman"/>
          <w:bCs/>
          <w:sz w:val="24"/>
          <w:szCs w:val="32"/>
        </w:rPr>
      </w:pPr>
      <w:bookmarkStart w:id="79" w:name="_Toc14201228"/>
      <w:bookmarkStart w:id="80" w:name="_Toc26656959"/>
      <w:r>
        <w:rPr>
          <w:rFonts w:ascii="Times New Roman" w:hAnsi="Times New Roman" w:eastAsia="黑体" w:cs="Times New Roman"/>
          <w:bCs/>
          <w:sz w:val="24"/>
          <w:szCs w:val="32"/>
        </w:rPr>
        <w:t>3.3</w:t>
      </w:r>
      <w:bookmarkEnd w:id="79"/>
      <w:bookmarkEnd w:id="80"/>
      <w:r>
        <w:rPr>
          <w:rFonts w:ascii="Times New Roman" w:hAnsi="Times New Roman" w:eastAsia="黑体" w:cs="Times New Roman"/>
          <w:bCs/>
          <w:sz w:val="24"/>
          <w:szCs w:val="32"/>
        </w:rPr>
        <w:t>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color w:val="auto"/>
          <w:sz w:val="24"/>
          <w:szCs w:val="32"/>
        </w:rPr>
      </w:pPr>
      <w:bookmarkStart w:id="81" w:name="_Toc26656960"/>
      <w:bookmarkStart w:id="82" w:name="_Toc14201229"/>
      <w:bookmarkStart w:id="83" w:name="_Toc14201230"/>
      <w:bookmarkStart w:id="84" w:name="_Toc26656961"/>
      <w:r>
        <w:rPr>
          <w:rFonts w:ascii="Times New Roman" w:hAnsi="Times New Roman" w:eastAsia="黑体" w:cs="Times New Roman"/>
          <w:bCs/>
          <w:color w:val="auto"/>
          <w:sz w:val="24"/>
          <w:szCs w:val="32"/>
        </w:rPr>
        <w:t>3.4</w:t>
      </w:r>
      <w:bookmarkEnd w:id="81"/>
      <w:bookmarkEnd w:id="82"/>
      <w:r>
        <w:rPr>
          <w:rFonts w:ascii="Times New Roman" w:hAnsi="Times New Roman" w:eastAsia="黑体" w:cs="Times New Roman"/>
          <w:bCs/>
          <w:color w:val="auto"/>
          <w:sz w:val="24"/>
          <w:szCs w:val="32"/>
        </w:rPr>
        <w:t>响应保证金</w:t>
      </w:r>
    </w:p>
    <w:p>
      <w:pPr>
        <w:spacing w:line="440" w:lineRule="exact"/>
        <w:ind w:firstLine="420"/>
        <w:rPr>
          <w:rFonts w:ascii="Times New Roman" w:hAnsi="Times New Roman"/>
          <w:color w:val="auto"/>
        </w:rPr>
      </w:pPr>
      <w:r>
        <w:rPr>
          <w:rFonts w:ascii="Times New Roman" w:hAnsi="Times New Roman" w:cs="Times New Roman"/>
          <w:color w:val="auto"/>
        </w:rPr>
        <w:t>3.4.1 供应商在递交响应文件的同时，应按</w:t>
      </w:r>
      <w:r>
        <w:rPr>
          <w:rFonts w:hint="eastAsia" w:ascii="Times New Roman" w:hAnsi="Times New Roman" w:cs="Times New Roman"/>
          <w:color w:val="auto"/>
        </w:rPr>
        <w:t>第一章</w:t>
      </w:r>
      <w:r>
        <w:rPr>
          <w:rFonts w:ascii="Times New Roman" w:hAnsi="Times New Roman" w:cs="Times New Roman"/>
          <w:color w:val="auto"/>
        </w:rPr>
        <w:t>“</w:t>
      </w:r>
      <w:r>
        <w:rPr>
          <w:rFonts w:hint="eastAsia" w:ascii="Times New Roman" w:hAnsi="Times New Roman" w:cs="Times New Roman"/>
          <w:color w:val="auto"/>
          <w:szCs w:val="21"/>
        </w:rPr>
        <w:t>采购公告</w:t>
      </w:r>
      <w:r>
        <w:rPr>
          <w:rFonts w:ascii="Times New Roman" w:hAnsi="Times New Roman" w:cs="Times New Roman"/>
          <w:color w:val="auto"/>
        </w:rPr>
        <w:t>”</w:t>
      </w:r>
      <w:r>
        <w:rPr>
          <w:rFonts w:hint="eastAsia" w:ascii="Times New Roman" w:hAnsi="Times New Roman" w:cs="Times New Roman"/>
          <w:color w:val="auto"/>
        </w:rPr>
        <w:t>第7条的要求</w:t>
      </w:r>
      <w:r>
        <w:rPr>
          <w:rFonts w:ascii="Times New Roman" w:hAnsi="Times New Roman" w:cs="Times New Roman"/>
          <w:color w:val="auto"/>
        </w:rPr>
        <w:t>递交响应保证金</w:t>
      </w:r>
      <w:r>
        <w:rPr>
          <w:rFonts w:hint="eastAsia" w:ascii="Times New Roman" w:hAnsi="Times New Roman" w:cs="Times New Roman"/>
          <w:color w:val="auto"/>
        </w:rPr>
        <w:t>及填写备注栏</w:t>
      </w:r>
      <w:r>
        <w:rPr>
          <w:rFonts w:ascii="Times New Roman" w:hAnsi="Times New Roman" w:cs="Times New Roman"/>
          <w:color w:val="auto"/>
        </w:rPr>
        <w:t>，并作为其响应文件的组成部分。</w:t>
      </w:r>
    </w:p>
    <w:p>
      <w:pPr>
        <w:spacing w:line="440" w:lineRule="exact"/>
        <w:ind w:firstLine="420"/>
        <w:rPr>
          <w:rFonts w:ascii="Times New Roman" w:hAnsi="Times New Roman" w:cs="Times New Roman"/>
          <w:color w:val="auto"/>
        </w:rPr>
      </w:pPr>
      <w:r>
        <w:rPr>
          <w:rFonts w:ascii="Times New Roman" w:hAnsi="Times New Roman" w:cs="Times New Roman"/>
          <w:color w:val="auto"/>
        </w:rPr>
        <w:t>无论采取何种形式的响应保证金，响应保证金有效期均应与响应有效期一致。</w:t>
      </w:r>
    </w:p>
    <w:p>
      <w:pPr>
        <w:spacing w:line="440" w:lineRule="exact"/>
        <w:ind w:firstLine="420"/>
        <w:rPr>
          <w:rFonts w:ascii="Times New Roman" w:hAnsi="Times New Roman" w:cs="Times New Roman"/>
          <w:color w:val="auto"/>
        </w:rPr>
      </w:pPr>
      <w:r>
        <w:rPr>
          <w:rFonts w:ascii="Times New Roman" w:hAnsi="Times New Roman" w:cs="Times New Roman"/>
          <w:color w:val="auto"/>
        </w:rPr>
        <w:t>3.4.2 供应商不按本章第3.4.1项要求提交响应保证金的，</w:t>
      </w:r>
      <w:r>
        <w:rPr>
          <w:rFonts w:hint="eastAsia" w:ascii="Times New Roman" w:hAnsi="Times New Roman" w:cs="Times New Roman"/>
          <w:color w:val="auto"/>
        </w:rPr>
        <w:t>评审小组</w:t>
      </w:r>
      <w:r>
        <w:rPr>
          <w:rFonts w:ascii="Times New Roman" w:hAnsi="Times New Roman" w:cs="Times New Roman"/>
          <w:color w:val="auto"/>
        </w:rPr>
        <w:t>将否决其</w:t>
      </w:r>
      <w:r>
        <w:rPr>
          <w:rFonts w:hint="eastAsia" w:ascii="Times New Roman" w:hAnsi="Times New Roman" w:cs="Times New Roman"/>
          <w:color w:val="auto"/>
        </w:rPr>
        <w:t>响应文件</w:t>
      </w:r>
      <w:r>
        <w:rPr>
          <w:rFonts w:ascii="Times New Roman" w:hAnsi="Times New Roman" w:cs="Times New Roman"/>
          <w:color w:val="auto"/>
        </w:rPr>
        <w:t>。</w:t>
      </w:r>
    </w:p>
    <w:p>
      <w:pPr>
        <w:spacing w:line="440" w:lineRule="exact"/>
        <w:ind w:firstLine="420"/>
        <w:rPr>
          <w:rFonts w:ascii="Times New Roman" w:hAnsi="Times New Roman" w:cs="Times New Roman"/>
          <w:color w:val="auto"/>
        </w:rPr>
      </w:pPr>
      <w:r>
        <w:rPr>
          <w:rFonts w:ascii="Times New Roman" w:hAnsi="Times New Roman" w:cs="Times New Roman"/>
          <w:color w:val="auto"/>
        </w:rPr>
        <w:t>3.4.3 采购人在与成交人签订合同后</w:t>
      </w:r>
      <w:r>
        <w:rPr>
          <w:rFonts w:hint="eastAsia" w:ascii="Times New Roman" w:hAnsi="Times New Roman" w:cs="Times New Roman"/>
          <w:color w:val="auto"/>
        </w:rPr>
        <w:t>7</w:t>
      </w:r>
      <w:r>
        <w:rPr>
          <w:rFonts w:ascii="Times New Roman" w:hAnsi="Times New Roman" w:cs="Times New Roman"/>
          <w:color w:val="auto"/>
        </w:rPr>
        <w:t>日内办理退还响应保证金手续。</w:t>
      </w:r>
    </w:p>
    <w:p>
      <w:pPr>
        <w:spacing w:line="440" w:lineRule="exact"/>
        <w:ind w:firstLine="420"/>
        <w:rPr>
          <w:rFonts w:ascii="Times New Roman" w:hAnsi="Times New Roman" w:cs="Times New Roman"/>
          <w:color w:val="auto"/>
        </w:rPr>
      </w:pPr>
      <w:r>
        <w:rPr>
          <w:rFonts w:ascii="Times New Roman" w:hAnsi="Times New Roman" w:cs="Times New Roman"/>
          <w:color w:val="auto"/>
        </w:rPr>
        <w:t>3.4.4 有下列情形之一的，响应保证金将不予退还：</w:t>
      </w:r>
    </w:p>
    <w:p>
      <w:pPr>
        <w:spacing w:line="440" w:lineRule="exact"/>
        <w:ind w:firstLine="420"/>
        <w:rPr>
          <w:rFonts w:ascii="Times New Roman" w:hAnsi="Times New Roman" w:cs="Times New Roman"/>
          <w:color w:val="auto"/>
        </w:rPr>
      </w:pPr>
      <w:r>
        <w:rPr>
          <w:rFonts w:ascii="Times New Roman" w:hAnsi="Times New Roman" w:cs="Times New Roman"/>
          <w:color w:val="auto"/>
        </w:rPr>
        <w:t>（1）供应商在规定的响应有效期内撤销其响应文件；</w:t>
      </w:r>
    </w:p>
    <w:p>
      <w:pPr>
        <w:spacing w:line="440" w:lineRule="exact"/>
        <w:ind w:firstLine="420"/>
        <w:rPr>
          <w:rFonts w:ascii="Times New Roman" w:hAnsi="Times New Roman" w:eastAsia="黑体" w:cs="Times New Roman"/>
          <w:bCs/>
          <w:sz w:val="24"/>
          <w:szCs w:val="32"/>
        </w:rPr>
      </w:pPr>
      <w:r>
        <w:rPr>
          <w:rFonts w:ascii="Times New Roman" w:hAnsi="Times New Roman" w:cs="Times New Roman"/>
          <w:color w:val="auto"/>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r>
        <w:rPr>
          <w:rFonts w:hint="eastAsia" w:ascii="Times New Roman" w:hAnsi="Times New Roman" w:cs="Times New Roman"/>
          <w:color w:val="auto"/>
          <w:lang w:eastAsia="zh-C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lang w:val="en-US" w:eastAsia="zh-CN"/>
        </w:rPr>
        <w:t>.5</w:t>
      </w:r>
      <w:r>
        <w:rPr>
          <w:rFonts w:ascii="Times New Roman" w:hAnsi="Times New Roman" w:eastAsia="黑体" w:cs="Times New Roman"/>
          <w:bCs/>
          <w:sz w:val="24"/>
          <w:szCs w:val="32"/>
        </w:rPr>
        <w:t>资格审查资料</w:t>
      </w:r>
      <w:bookmarkEnd w:id="83"/>
      <w:bookmarkEnd w:id="84"/>
    </w:p>
    <w:p>
      <w:pPr>
        <w:spacing w:line="440" w:lineRule="exact"/>
        <w:ind w:firstLine="420"/>
        <w:rPr>
          <w:rFonts w:ascii="Times New Roman" w:hAnsi="Times New Roman" w:cs="Times New Roman"/>
        </w:rPr>
      </w:pPr>
      <w:r>
        <w:rPr>
          <w:rFonts w:ascii="Times New Roman" w:hAnsi="Times New Roman" w:cs="Times New Roman"/>
        </w:rPr>
        <w:t>供应商应按第六章“响应文件格式”</w:t>
      </w:r>
      <w:r>
        <w:rPr>
          <w:rFonts w:hint="eastAsia" w:ascii="Times New Roman" w:hAnsi="Times New Roman" w:cs="Times New Roman"/>
        </w:rPr>
        <w:t>的</w:t>
      </w:r>
      <w:r>
        <w:rPr>
          <w:rFonts w:ascii="Times New Roman" w:hAnsi="Times New Roman" w:cs="Times New Roman"/>
        </w:rPr>
        <w:t>规定提供资格审查资料，以证明其满足本章第1.</w:t>
      </w:r>
      <w:r>
        <w:rPr>
          <w:rFonts w:hint="eastAsia" w:ascii="Times New Roman" w:hAnsi="Times New Roman" w:cs="Times New Roman"/>
        </w:rPr>
        <w:t>2</w:t>
      </w:r>
      <w:r>
        <w:rPr>
          <w:rFonts w:ascii="Times New Roman" w:hAnsi="Times New Roman"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85" w:name="_Toc14201232"/>
      <w:bookmarkStart w:id="86" w:name="_Toc26656963"/>
      <w:r>
        <w:rPr>
          <w:rFonts w:ascii="Times New Roman" w:hAnsi="Times New Roman" w:eastAsia="黑体" w:cs="Times New Roman"/>
          <w:bCs/>
          <w:sz w:val="24"/>
          <w:szCs w:val="32"/>
        </w:rPr>
        <w:t>3.</w:t>
      </w:r>
      <w:r>
        <w:rPr>
          <w:rFonts w:hint="eastAsia" w:ascii="Times New Roman" w:hAnsi="Times New Roman" w:eastAsia="黑体" w:cs="Times New Roman"/>
          <w:bCs/>
          <w:sz w:val="24"/>
          <w:szCs w:val="32"/>
          <w:lang w:val="en-US" w:eastAsia="zh-CN"/>
        </w:rPr>
        <w:t>6</w:t>
      </w:r>
      <w:r>
        <w:rPr>
          <w:rFonts w:ascii="Times New Roman" w:hAnsi="Times New Roman" w:eastAsia="黑体" w:cs="Times New Roman"/>
          <w:bCs/>
          <w:sz w:val="24"/>
          <w:szCs w:val="32"/>
        </w:rPr>
        <w:t>响应文件的编制</w:t>
      </w:r>
      <w:bookmarkEnd w:id="85"/>
      <w:bookmarkEnd w:id="86"/>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lang w:val="en-US" w:eastAsia="zh-CN"/>
        </w:rPr>
        <w:t>5</w:t>
      </w:r>
      <w:r>
        <w:rPr>
          <w:rFonts w:ascii="Times New Roman" w:hAnsi="Times New Roman" w:cs="Times New Roman"/>
        </w:rPr>
        <w:t>.1响应文件应按第六章“响应文件格式”进行编写，如有必要，可以增加附页，作为响应文件的组成部分。</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lang w:val="en-US" w:eastAsia="zh-CN"/>
        </w:rPr>
        <w:t>5</w:t>
      </w:r>
      <w:r>
        <w:rPr>
          <w:rFonts w:ascii="Times New Roman" w:hAnsi="Times New Roman" w:cs="Times New Roman"/>
        </w:rPr>
        <w:t>.2 响应文件应当对询比文件有关服务期、响应有效期、质量要求、安全目标、技术标准和要求、采购范围等实质性内容作出响应。</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lang w:val="en-US" w:eastAsia="zh-CN"/>
        </w:rPr>
        <w:t>5</w:t>
      </w:r>
      <w:r>
        <w:rPr>
          <w:rFonts w:ascii="Times New Roman" w:hAnsi="Times New Roman" w:cs="Times New Roman"/>
        </w:rPr>
        <w:t>.3响应文件的制作应满足以下规定：</w:t>
      </w:r>
    </w:p>
    <w:p>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响应文件份数及其他要求：响应文件正本一份，副本一份</w:t>
      </w:r>
    </w:p>
    <w:p>
      <w:pPr>
        <w:spacing w:line="440" w:lineRule="exact"/>
        <w:ind w:firstLine="420"/>
        <w:rPr>
          <w:rFonts w:ascii="Times New Roman" w:hAnsi="Times New Roman" w:cs="Times New Roman"/>
        </w:rPr>
      </w:pPr>
      <w:r>
        <w:rPr>
          <w:rFonts w:ascii="Times New Roman" w:hAnsi="Times New Roman" w:cs="Times New Roman"/>
        </w:rPr>
        <w:t>（2）电子版U盘：U盘上贴注所投项目名称为</w:t>
      </w:r>
      <w:r>
        <w:rPr>
          <w:rFonts w:hint="eastAsia" w:ascii="Times New Roman" w:hAnsi="Times New Roman" w:cs="Times New Roman"/>
          <w:b/>
          <w:bCs/>
          <w:szCs w:val="22"/>
          <w:u w:val="single"/>
          <w:lang w:val="en-US" w:eastAsia="zh-CN"/>
        </w:rPr>
        <w:t>外检数据处理信息化</w:t>
      </w:r>
      <w:r>
        <w:rPr>
          <w:rFonts w:hint="eastAsia" w:ascii="Times New Roman" w:hAnsi="Times New Roman" w:cs="Times New Roman"/>
          <w:b/>
          <w:bCs/>
          <w:szCs w:val="22"/>
          <w:u w:val="single"/>
        </w:rPr>
        <w:t>采购</w:t>
      </w:r>
      <w:r>
        <w:rPr>
          <w:rFonts w:ascii="Times New Roman" w:hAnsi="Times New Roman" w:cs="Times New Roman"/>
        </w:rPr>
        <w:t>且供应商填写的响应文件（盖章扫描件）备查</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（3）装订要求：响应文件应</w:t>
      </w:r>
      <w:r>
        <w:rPr>
          <w:rFonts w:hint="eastAsia" w:ascii="Times New Roman" w:hAnsi="Times New Roman" w:cs="Times New Roman"/>
        </w:rPr>
        <w:t>用A4纸</w:t>
      </w:r>
      <w:r>
        <w:rPr>
          <w:rFonts w:ascii="Times New Roman" w:hAnsi="Times New Roman" w:cs="Times New Roman"/>
        </w:rPr>
        <w:t>胶装成册并标注连续页码，不允许活页装订，并逐页加盖公章，</w:t>
      </w:r>
      <w:r>
        <w:rPr>
          <w:rFonts w:hint="eastAsia" w:ascii="Times New Roman" w:hAnsi="Times New Roman" w:cs="Times New Roman"/>
        </w:rPr>
        <w:t>采购人不承担因此造成的任何后果。</w:t>
      </w:r>
    </w:p>
    <w:p>
      <w:pPr>
        <w:spacing w:line="440" w:lineRule="exact"/>
        <w:ind w:firstLine="420"/>
        <w:rPr>
          <w:rFonts w:ascii="Times New Roman" w:hAnsi="Times New Roman" w:cs="Times New Roman"/>
        </w:rPr>
      </w:pPr>
      <w:r>
        <w:rPr>
          <w:rFonts w:ascii="Times New Roman" w:hAnsi="Times New Roman" w:cs="Times New Roman"/>
        </w:rPr>
        <w:t>（4）密封包装：响应文件正本、副本统一密封在信封封套中。</w:t>
      </w:r>
    </w:p>
    <w:p>
      <w:pPr>
        <w:spacing w:line="440" w:lineRule="exact"/>
        <w:ind w:firstLine="420"/>
        <w:rPr>
          <w:rFonts w:ascii="Times New Roman" w:hAnsi="Times New Roman" w:cs="Times New Roman"/>
        </w:rPr>
      </w:pPr>
      <w:r>
        <w:rPr>
          <w:rFonts w:ascii="Times New Roman" w:hAnsi="Times New Roman" w:cs="Times New Roman"/>
        </w:rPr>
        <w:t>（5）封套上应载明的信息：信封封套表面应标明供应商名称。封套的封口处加盖</w:t>
      </w:r>
      <w:r>
        <w:rPr>
          <w:rFonts w:hint="eastAsia" w:ascii="Times New Roman" w:hAnsi="Times New Roman" w:cs="Times New Roman"/>
        </w:rPr>
        <w:t>供应商</w:t>
      </w:r>
      <w:r>
        <w:rPr>
          <w:rFonts w:ascii="Times New Roman" w:hAnsi="Times New Roman" w:cs="Times New Roman"/>
        </w:rPr>
        <w:t>单位</w:t>
      </w:r>
      <w:r>
        <w:rPr>
          <w:rFonts w:hint="eastAsia" w:ascii="Times New Roman" w:hAnsi="Times New Roman" w:cs="Times New Roman"/>
        </w:rPr>
        <w:t>公</w:t>
      </w:r>
      <w:r>
        <w:rPr>
          <w:rFonts w:ascii="Times New Roman" w:hAnsi="Times New Roman" w:cs="Times New Roman"/>
        </w:rPr>
        <w:t>章或由法定代表人（单位负责人）或其授权的代理人签字。</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6</w:t>
      </w:r>
      <w:r>
        <w:rPr>
          <w:rFonts w:ascii="Times New Roman" w:hAnsi="Times New Roman" w:cs="Times New Roman"/>
        </w:rPr>
        <w:t>）封套上应载明的信息：信封封套表面应标明供应商名称。封套的封口处加盖</w:t>
      </w:r>
      <w:r>
        <w:rPr>
          <w:rFonts w:hint="eastAsia" w:ascii="Times New Roman" w:hAnsi="Times New Roman" w:cs="Times New Roman"/>
        </w:rPr>
        <w:t>供应商</w:t>
      </w:r>
      <w:r>
        <w:rPr>
          <w:rFonts w:ascii="Times New Roman" w:hAnsi="Times New Roman" w:cs="Times New Roman"/>
        </w:rPr>
        <w:t>单位</w:t>
      </w:r>
      <w:r>
        <w:rPr>
          <w:rFonts w:hint="eastAsia" w:ascii="Times New Roman" w:hAnsi="Times New Roman" w:cs="Times New Roman"/>
        </w:rPr>
        <w:t>公</w:t>
      </w:r>
      <w:r>
        <w:rPr>
          <w:rFonts w:ascii="Times New Roman" w:hAnsi="Times New Roman" w:cs="Times New Roman"/>
        </w:rPr>
        <w:t>章或由法定代表人（单位负责人）或其授权的代理人签字。</w:t>
      </w:r>
    </w:p>
    <w:p>
      <w:pPr>
        <w:keepNext/>
        <w:keepLines/>
        <w:spacing w:before="156" w:beforeLines="50" w:after="156" w:afterLines="50"/>
        <w:outlineLvl w:val="1"/>
        <w:rPr>
          <w:rFonts w:ascii="Times New Roman" w:hAnsi="Times New Roman" w:eastAsia="黑体" w:cs="Times New Roman"/>
          <w:bCs/>
          <w:sz w:val="24"/>
          <w:szCs w:val="32"/>
        </w:rPr>
      </w:pPr>
      <w:bookmarkStart w:id="87" w:name="_Toc14201233"/>
      <w:bookmarkStart w:id="88" w:name="_Toc9067723"/>
      <w:bookmarkStart w:id="89" w:name="_Toc26656964"/>
      <w:r>
        <w:rPr>
          <w:rFonts w:ascii="Times New Roman" w:hAnsi="Times New Roman" w:eastAsia="黑体" w:cs="Times New Roman"/>
          <w:bCs/>
          <w:sz w:val="24"/>
          <w:szCs w:val="32"/>
        </w:rPr>
        <w:t xml:space="preserve">4. </w:t>
      </w:r>
      <w:bookmarkEnd w:id="87"/>
      <w:bookmarkEnd w:id="88"/>
      <w:bookmarkEnd w:id="89"/>
      <w:r>
        <w:rPr>
          <w:rFonts w:ascii="Times New Roman" w:hAnsi="Times New Roman" w:eastAsia="黑体" w:cs="Times New Roman"/>
          <w:bCs/>
          <w:sz w:val="24"/>
          <w:szCs w:val="32"/>
        </w:rPr>
        <w:t>响应文件的递交</w:t>
      </w:r>
    </w:p>
    <w:p>
      <w:pPr>
        <w:keepNext/>
        <w:keepLines/>
        <w:spacing w:before="120" w:after="120"/>
        <w:outlineLvl w:val="2"/>
        <w:rPr>
          <w:rFonts w:ascii="Times New Roman" w:hAnsi="Times New Roman" w:eastAsia="黑体" w:cs="Times New Roman"/>
          <w:bCs/>
          <w:sz w:val="24"/>
          <w:szCs w:val="32"/>
        </w:rPr>
      </w:pPr>
      <w:bookmarkStart w:id="90" w:name="_Toc26656965"/>
      <w:bookmarkStart w:id="91" w:name="_Toc14201234"/>
      <w:r>
        <w:rPr>
          <w:rFonts w:ascii="Times New Roman" w:hAnsi="Times New Roman" w:eastAsia="黑体" w:cs="Times New Roman"/>
          <w:bCs/>
          <w:sz w:val="24"/>
          <w:szCs w:val="32"/>
        </w:rPr>
        <w:t>4.1响应文件的密封和标记</w:t>
      </w:r>
      <w:bookmarkEnd w:id="90"/>
      <w:bookmarkEnd w:id="91"/>
    </w:p>
    <w:p>
      <w:pPr>
        <w:spacing w:line="440" w:lineRule="exact"/>
        <w:ind w:firstLine="420"/>
        <w:rPr>
          <w:rFonts w:ascii="Times New Roman" w:hAnsi="Times New Roman" w:cs="Times New Roman"/>
        </w:rPr>
      </w:pPr>
      <w:r>
        <w:rPr>
          <w:rFonts w:hint="eastAsia" w:ascii="Times New Roman" w:hAnsi="Times New Roman" w:cs="Times New Roman"/>
        </w:rPr>
        <w:t>4.1.1响应文件正、副本应密封包装在一个封套内，封套上注明：</w:t>
      </w:r>
    </w:p>
    <w:p>
      <w:pPr>
        <w:spacing w:line="440" w:lineRule="exact"/>
        <w:ind w:firstLine="420"/>
        <w:rPr>
          <w:rFonts w:ascii="Times New Roman" w:hAnsi="Times New Roman" w:cs="Times New Roman"/>
          <w:u w:val="single"/>
        </w:rPr>
      </w:pPr>
      <w:r>
        <w:rPr>
          <w:rFonts w:hint="eastAsia" w:ascii="Times New Roman" w:hAnsi="Times New Roman" w:cs="Times New Roman"/>
        </w:rPr>
        <w:t>供应商名称：</w:t>
      </w:r>
      <w:r>
        <w:rPr>
          <w:rFonts w:hint="eastAsia" w:ascii="Times New Roman" w:hAnsi="Times New Roman" w:eastAsia="黑体" w:cs="黑体"/>
          <w:bCs/>
          <w:snapToGrid w:val="0"/>
          <w:kern w:val="0"/>
          <w:szCs w:val="21"/>
          <w:u w:val="single"/>
        </w:rPr>
        <w:t>（供应商单位全称，自行填写）</w:t>
      </w:r>
    </w:p>
    <w:p>
      <w:pPr>
        <w:snapToGrid w:val="0"/>
        <w:spacing w:line="440" w:lineRule="exact"/>
        <w:ind w:firstLine="422" w:firstLineChars="200"/>
        <w:rPr>
          <w:rFonts w:ascii="Times New Roman" w:hAnsi="Times New Roman" w:cs="Times New Roman"/>
          <w:b/>
          <w:bCs/>
          <w:u w:val="single"/>
        </w:rPr>
      </w:pPr>
      <w:r>
        <w:rPr>
          <w:rFonts w:hint="eastAsia" w:ascii="Times New Roman" w:hAnsi="Times New Roman" w:cs="Times New Roman"/>
          <w:b/>
          <w:bCs/>
          <w:u w:val="single"/>
          <w:lang w:val="en-US" w:eastAsia="zh-CN"/>
        </w:rPr>
        <w:t>外检数据处理信息化项目研发及技术服务采购</w:t>
      </w:r>
      <w:r>
        <w:rPr>
          <w:rFonts w:hint="eastAsia" w:ascii="Times New Roman" w:hAnsi="Times New Roman" w:cs="Times New Roman"/>
          <w:b/>
          <w:bCs/>
          <w:u w:val="single"/>
        </w:rPr>
        <w:t>响应文件</w:t>
      </w:r>
    </w:p>
    <w:p>
      <w:pPr>
        <w:spacing w:line="440" w:lineRule="exact"/>
        <w:ind w:firstLine="420"/>
        <w:rPr>
          <w:rFonts w:ascii="Times New Roman" w:hAnsi="Times New Roman" w:cs="Times New Roman"/>
        </w:rPr>
      </w:pPr>
      <w:r>
        <w:rPr>
          <w:rFonts w:hint="eastAsia" w:ascii="Times New Roman" w:hAnsi="Times New Roman" w:cs="Times New Roman"/>
          <w:u w:val="single"/>
        </w:rPr>
        <w:t>在2021年</w:t>
      </w:r>
      <w:r>
        <w:rPr>
          <w:rFonts w:ascii="Times New Roman" w:hAnsi="Times New Roman" w:cs="Times New Roman"/>
          <w:u w:val="single"/>
        </w:rPr>
        <w:t>12</w:t>
      </w:r>
      <w:r>
        <w:rPr>
          <w:rFonts w:hint="eastAsia" w:ascii="Times New Roman" w:hAnsi="Times New Roman" w:cs="Times New Roman"/>
          <w:u w:val="single"/>
        </w:rPr>
        <w:t>月</w:t>
      </w:r>
      <w:r>
        <w:rPr>
          <w:rFonts w:hint="eastAsia" w:ascii="Times New Roman" w:hAnsi="Times New Roman" w:cs="Times New Roman"/>
          <w:u w:val="single"/>
          <w:lang w:val="en-US" w:eastAsia="zh-CN"/>
        </w:rPr>
        <w:t>10</w:t>
      </w:r>
      <w:r>
        <w:rPr>
          <w:rFonts w:hint="eastAsia" w:ascii="Times New Roman" w:hAnsi="Times New Roman" w:cs="Times New Roman"/>
          <w:u w:val="single"/>
        </w:rPr>
        <w:t>日1</w:t>
      </w:r>
      <w:r>
        <w:rPr>
          <w:rFonts w:hint="eastAsia" w:ascii="Times New Roman" w:hAnsi="Times New Roman" w:cs="Times New Roman"/>
          <w:u w:val="single"/>
          <w:lang w:val="en-US" w:eastAsia="zh-CN"/>
        </w:rPr>
        <w:t>4</w:t>
      </w:r>
      <w:r>
        <w:rPr>
          <w:rFonts w:hint="eastAsia" w:ascii="Times New Roman" w:hAnsi="Times New Roman" w:cs="Times New Roman"/>
          <w:u w:val="single"/>
        </w:rPr>
        <w:t>时</w:t>
      </w:r>
      <w:r>
        <w:rPr>
          <w:rFonts w:hint="eastAsia" w:ascii="Times New Roman" w:hAnsi="Times New Roman" w:cs="Times New Roman"/>
          <w:u w:val="single"/>
          <w:lang w:val="en-US" w:eastAsia="zh-CN"/>
        </w:rPr>
        <w:t>3</w:t>
      </w:r>
      <w:r>
        <w:rPr>
          <w:rFonts w:hint="eastAsia" w:ascii="Times New Roman" w:hAnsi="Times New Roman" w:cs="Times New Roman"/>
          <w:u w:val="single"/>
        </w:rPr>
        <w:t>0分</w:t>
      </w:r>
      <w:r>
        <w:rPr>
          <w:rFonts w:hint="eastAsia" w:ascii="Times New Roman" w:hAnsi="Times New Roman" w:cs="Times New Roman"/>
        </w:rPr>
        <w:t>（递交响应文件的截止时间）前不得开启</w:t>
      </w:r>
    </w:p>
    <w:p>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未按本章第4.1.1项</w:t>
      </w:r>
      <w:r>
        <w:rPr>
          <w:rFonts w:ascii="Times New Roman" w:hAnsi="Times New Roman" w:cs="Times New Roman"/>
        </w:rPr>
        <w:t>要求</w:t>
      </w:r>
      <w:r>
        <w:rPr>
          <w:rFonts w:ascii="Times New Roman" w:hAnsi="Times New Roman"/>
        </w:rPr>
        <w:t>密封的</w:t>
      </w:r>
      <w:r>
        <w:rPr>
          <w:rFonts w:hint="eastAsia" w:ascii="Times New Roman" w:hAnsi="Times New Roman"/>
        </w:rPr>
        <w:t>响应文件</w:t>
      </w:r>
      <w:r>
        <w:rPr>
          <w:rFonts w:ascii="Times New Roman" w:hAnsi="Times New Roman"/>
        </w:rPr>
        <w:t>，</w:t>
      </w:r>
      <w:r>
        <w:rPr>
          <w:rFonts w:hint="eastAsia" w:ascii="Times New Roman" w:hAnsi="Times New Roman"/>
        </w:rPr>
        <w:t>采购人</w:t>
      </w:r>
      <w:r>
        <w:rPr>
          <w:rFonts w:ascii="Times New Roman" w:hAnsi="Times New Roman"/>
        </w:rPr>
        <w:t>将予以拒收。</w:t>
      </w:r>
    </w:p>
    <w:p>
      <w:pPr>
        <w:keepNext/>
        <w:keepLines/>
        <w:spacing w:before="120" w:after="120"/>
        <w:outlineLvl w:val="2"/>
        <w:rPr>
          <w:rFonts w:ascii="Times New Roman" w:hAnsi="Times New Roman" w:eastAsia="黑体" w:cs="Times New Roman"/>
          <w:bCs/>
          <w:sz w:val="24"/>
          <w:szCs w:val="32"/>
        </w:rPr>
      </w:pPr>
      <w:bookmarkStart w:id="92" w:name="_Toc14201235"/>
      <w:bookmarkStart w:id="93" w:name="_Toc26656966"/>
      <w:r>
        <w:rPr>
          <w:rFonts w:ascii="Times New Roman" w:hAnsi="Times New Roman" w:eastAsia="黑体" w:cs="Times New Roman"/>
          <w:bCs/>
          <w:sz w:val="24"/>
          <w:szCs w:val="32"/>
        </w:rPr>
        <w:t>4.2 响应文件的递交</w:t>
      </w:r>
      <w:bookmarkEnd w:id="92"/>
      <w:bookmarkEnd w:id="93"/>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bookmarkStart w:id="94" w:name="_Toc26656968"/>
      <w:bookmarkStart w:id="95" w:name="_Toc14201237"/>
      <w:bookmarkStart w:id="96" w:name="_Toc9067724"/>
      <w:r>
        <w:rPr>
          <w:rFonts w:hint="eastAsia" w:ascii="Times New Roman" w:hAnsi="Times New Roman" w:cs="Times New Roman"/>
        </w:rPr>
        <w:t>4.2.3如通过初步评审的有效供应商数量不足3家的，则宣布本次采购无效。</w:t>
      </w:r>
    </w:p>
    <w:p>
      <w:pPr>
        <w:spacing w:line="440" w:lineRule="exact"/>
        <w:ind w:firstLine="420"/>
        <w:rPr>
          <w:rFonts w:ascii="Times New Roman" w:hAnsi="Times New Roman" w:cs="Times New Roman"/>
        </w:rPr>
      </w:pPr>
      <w:r>
        <w:rPr>
          <w:rFonts w:hint="eastAsia" w:ascii="Times New Roman" w:hAnsi="Times New Roman" w:cs="Times New Roman"/>
        </w:rPr>
        <w:t>4.2.4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5. </w:t>
      </w:r>
      <w:bookmarkEnd w:id="94"/>
      <w:bookmarkEnd w:id="95"/>
      <w:bookmarkEnd w:id="96"/>
      <w:r>
        <w:rPr>
          <w:rFonts w:ascii="Times New Roman" w:hAnsi="Times New Roman" w:eastAsia="黑体" w:cs="Times New Roman"/>
          <w:bCs/>
          <w:sz w:val="24"/>
          <w:szCs w:val="32"/>
        </w:rPr>
        <w:t>启封</w:t>
      </w:r>
    </w:p>
    <w:p>
      <w:pPr>
        <w:keepNext/>
        <w:keepLines/>
        <w:spacing w:before="120" w:after="120"/>
        <w:outlineLvl w:val="2"/>
        <w:rPr>
          <w:rFonts w:ascii="Times New Roman" w:hAnsi="Times New Roman" w:eastAsia="黑体" w:cs="Times New Roman"/>
          <w:bCs/>
          <w:sz w:val="24"/>
          <w:szCs w:val="32"/>
        </w:rPr>
      </w:pPr>
      <w:bookmarkStart w:id="97" w:name="_Toc14201238"/>
      <w:bookmarkStart w:id="98" w:name="_Toc26656969"/>
      <w:r>
        <w:rPr>
          <w:rFonts w:ascii="Times New Roman" w:hAnsi="Times New Roman" w:eastAsia="黑体" w:cs="Times New Roman"/>
          <w:bCs/>
          <w:sz w:val="24"/>
          <w:szCs w:val="32"/>
        </w:rPr>
        <w:t>5.1 启封时间和地点</w:t>
      </w:r>
      <w:bookmarkEnd w:id="97"/>
      <w:bookmarkEnd w:id="98"/>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bookmarkStart w:id="99" w:name="_Toc26656970"/>
      <w:bookmarkStart w:id="100" w:name="_Toc14201239"/>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bookmarkEnd w:id="99"/>
      <w:bookmarkEnd w:id="100"/>
    </w:p>
    <w:p>
      <w:pPr>
        <w:spacing w:line="440" w:lineRule="exact"/>
        <w:ind w:firstLine="420"/>
        <w:rPr>
          <w:rFonts w:ascii="Times New Roman" w:hAnsi="Times New Roman" w:cs="Times New Roman"/>
        </w:rPr>
      </w:pPr>
      <w:r>
        <w:rPr>
          <w:rFonts w:ascii="Times New Roman" w:hAnsi="Times New Roman" w:cs="Times New Roman"/>
        </w:rPr>
        <w:t xml:space="preserve">5.2.1主持人按下列程序进行启封： </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 xml:space="preserve">（2）由供应商推选的代表检查响应文件的密封情况； </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服务</w:t>
      </w:r>
      <w:r>
        <w:rPr>
          <w:rFonts w:ascii="Times New Roman" w:hAnsi="Times New Roman" w:cs="Times New Roman"/>
          <w:bCs/>
        </w:rPr>
        <w:t>期及其他内容；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启封</w:t>
      </w:r>
      <w:r>
        <w:rPr>
          <w:rFonts w:ascii="Times New Roman" w:hAnsi="Times New Roman"/>
        </w:rPr>
        <w:t>记录上</w:t>
      </w:r>
      <w:r>
        <w:rPr>
          <w:rFonts w:hint="eastAsia" w:ascii="Times New Roman" w:hAnsi="Times New Roman"/>
        </w:rPr>
        <w:t>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bCs/>
        </w:rPr>
      </w:pPr>
      <w:r>
        <w:rPr>
          <w:rFonts w:ascii="Times New Roman" w:hAnsi="Times New Roman" w:cs="Times New Roman"/>
          <w:bCs/>
        </w:rPr>
        <w:t>5.2.2若采购人发现响应文件出现以下任一情况，其报价将不再参加评审：</w:t>
      </w:r>
    </w:p>
    <w:p>
      <w:pPr>
        <w:spacing w:line="440" w:lineRule="exact"/>
        <w:ind w:firstLine="420"/>
        <w:rPr>
          <w:rFonts w:ascii="Times New Roman" w:hAnsi="Times New Roman" w:cs="Times New Roman"/>
          <w:bCs/>
        </w:rPr>
      </w:pPr>
      <w:r>
        <w:rPr>
          <w:rFonts w:ascii="Times New Roman" w:hAnsi="Times New Roman" w:cs="Times New Roman"/>
          <w:bCs/>
        </w:rPr>
        <w:t>（1）报价超出</w:t>
      </w:r>
      <w:r>
        <w:rPr>
          <w:rFonts w:hint="eastAsia" w:ascii="Times New Roman" w:hAnsi="Times New Roman" w:cs="Times New Roman"/>
          <w:bCs/>
        </w:rPr>
        <w:t>限价；</w:t>
      </w:r>
    </w:p>
    <w:p>
      <w:pPr>
        <w:spacing w:line="440" w:lineRule="exact"/>
        <w:ind w:firstLine="420"/>
        <w:rPr>
          <w:rFonts w:ascii="Times New Roman" w:hAnsi="Times New Roman" w:cs="Times New Roman"/>
          <w:bCs/>
        </w:rPr>
      </w:pPr>
      <w:r>
        <w:rPr>
          <w:rFonts w:hint="eastAsia" w:ascii="Times New Roman" w:hAnsi="Times New Roman" w:cs="Times New Roman"/>
          <w:bCs/>
        </w:rPr>
        <w:t>（2）</w:t>
      </w:r>
      <w:r>
        <w:rPr>
          <w:rFonts w:ascii="Times New Roman" w:hAnsi="Times New Roman" w:cs="Times New Roman"/>
          <w:bCs/>
        </w:rPr>
        <w:t>未在报价函上填写</w:t>
      </w:r>
      <w:r>
        <w:rPr>
          <w:rFonts w:hint="eastAsia" w:ascii="Times New Roman" w:hAnsi="Times New Roman" w:cs="Times New Roman"/>
          <w:bCs/>
        </w:rPr>
        <w:t>报价；</w:t>
      </w:r>
    </w:p>
    <w:p>
      <w:pPr>
        <w:spacing w:line="440" w:lineRule="exact"/>
        <w:ind w:firstLine="420"/>
        <w:rPr>
          <w:rFonts w:ascii="Times New Roman" w:hAnsi="Times New Roman" w:cs="Times New Roman"/>
          <w:bCs/>
        </w:rPr>
      </w:pPr>
      <w:r>
        <w:rPr>
          <w:rFonts w:hint="eastAsia" w:ascii="Times New Roman" w:hAnsi="Times New Roman" w:cs="Times New Roman"/>
          <w:bCs/>
        </w:rPr>
        <w:t>（3）报价函中的报价与报价清单总报价不一致（四舍五入除外）</w:t>
      </w:r>
      <w:r>
        <w:rPr>
          <w:rFonts w:ascii="Times New Roman" w:hAnsi="Times New Roman" w:cs="Times New Roman"/>
          <w:bCs/>
        </w:rPr>
        <w:t>；</w:t>
      </w:r>
    </w:p>
    <w:p>
      <w:pPr>
        <w:spacing w:line="440" w:lineRule="exact"/>
        <w:ind w:firstLine="420"/>
        <w:rPr>
          <w:rFonts w:ascii="Times New Roman" w:hAnsi="Times New Roman" w:cs="Times New Roman"/>
        </w:rPr>
      </w:pPr>
      <w:r>
        <w:rPr>
          <w:rFonts w:hint="eastAsia" w:ascii="Times New Roman" w:hAnsi="Times New Roman" w:cs="Times New Roman"/>
        </w:rPr>
        <w:t>5.2.3</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101" w:name="_Toc9067725"/>
      <w:bookmarkStart w:id="102" w:name="_Toc14201241"/>
      <w:bookmarkStart w:id="103" w:name="_Toc26656972"/>
      <w:r>
        <w:rPr>
          <w:rFonts w:ascii="Times New Roman" w:hAnsi="Times New Roman" w:eastAsia="黑体" w:cs="Times New Roman"/>
          <w:bCs/>
          <w:sz w:val="24"/>
          <w:szCs w:val="32"/>
        </w:rPr>
        <w:t>6. 评</w:t>
      </w:r>
      <w:bookmarkEnd w:id="101"/>
      <w:bookmarkEnd w:id="102"/>
      <w:bookmarkEnd w:id="103"/>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104" w:name="_Toc14201242"/>
      <w:bookmarkStart w:id="105" w:name="_Toc26656973"/>
      <w:r>
        <w:rPr>
          <w:rFonts w:ascii="Times New Roman" w:hAnsi="Times New Roman" w:eastAsia="黑体" w:cs="Times New Roman"/>
          <w:bCs/>
          <w:sz w:val="24"/>
          <w:szCs w:val="32"/>
        </w:rPr>
        <w:t>6.1</w:t>
      </w:r>
      <w:bookmarkEnd w:id="104"/>
      <w:bookmarkEnd w:id="105"/>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hint="eastAsia" w:ascii="Times New Roman" w:hAnsi="Times New Roman" w:cs="Times New Roman"/>
        </w:rPr>
        <w:t>评审小组由设计总院检测板块专家委员会或公司评、定标委员会的成员组成，人数</w:t>
      </w:r>
      <w:r>
        <w:rPr>
          <w:rFonts w:hint="eastAsia" w:ascii="Times New Roman" w:hAnsi="Times New Roman" w:cs="Times New Roman"/>
          <w:lang w:val="en-US" w:eastAsia="zh-CN"/>
        </w:rPr>
        <w:t>不少于</w:t>
      </w:r>
      <w:r>
        <w:rPr>
          <w:rFonts w:hint="eastAsia" w:ascii="Times New Roman" w:hAnsi="Times New Roman" w:cs="Times New Roman"/>
        </w:rPr>
        <w:t>3人。</w:t>
      </w:r>
    </w:p>
    <w:p>
      <w:pPr>
        <w:keepNext/>
        <w:keepLines/>
        <w:spacing w:before="120" w:after="120"/>
        <w:outlineLvl w:val="2"/>
        <w:rPr>
          <w:rFonts w:ascii="Times New Roman" w:hAnsi="Times New Roman" w:eastAsia="黑体" w:cs="Times New Roman"/>
          <w:bCs/>
          <w:sz w:val="24"/>
          <w:szCs w:val="32"/>
        </w:rPr>
      </w:pPr>
      <w:bookmarkStart w:id="106" w:name="_Toc14201244"/>
      <w:bookmarkStart w:id="107" w:name="_Toc26656975"/>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106"/>
      <w:bookmarkEnd w:id="107"/>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0000FF"/>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w:t>
      </w:r>
      <w:r>
        <w:rPr>
          <w:rFonts w:hint="eastAsia" w:ascii="Times New Roman" w:hAnsi="Times New Roman" w:cs="Times New Roman"/>
        </w:rPr>
        <w:t>荐成交候选人的人数为：1人。</w:t>
      </w:r>
    </w:p>
    <w:p>
      <w:pPr>
        <w:keepNext/>
        <w:keepLines/>
        <w:spacing w:before="156" w:beforeLines="50" w:after="156" w:afterLines="50"/>
        <w:outlineLvl w:val="1"/>
        <w:rPr>
          <w:rFonts w:ascii="Times New Roman" w:hAnsi="Times New Roman" w:eastAsia="黑体" w:cs="Times New Roman"/>
          <w:bCs/>
          <w:sz w:val="24"/>
          <w:szCs w:val="32"/>
        </w:rPr>
      </w:pPr>
      <w:bookmarkStart w:id="108" w:name="_Toc14201245"/>
      <w:bookmarkStart w:id="109" w:name="_Toc26656976"/>
      <w:bookmarkStart w:id="110" w:name="_Toc9067726"/>
      <w:r>
        <w:rPr>
          <w:rFonts w:ascii="Times New Roman" w:hAnsi="Times New Roman" w:eastAsia="黑体" w:cs="Times New Roman"/>
          <w:bCs/>
          <w:sz w:val="24"/>
          <w:szCs w:val="32"/>
        </w:rPr>
        <w:t>7. 合同授予</w:t>
      </w:r>
      <w:bookmarkEnd w:id="108"/>
      <w:bookmarkEnd w:id="109"/>
      <w:bookmarkEnd w:id="110"/>
    </w:p>
    <w:p>
      <w:pPr>
        <w:keepNext/>
        <w:keepLines/>
        <w:spacing w:before="120" w:after="120"/>
        <w:outlineLvl w:val="2"/>
        <w:rPr>
          <w:rFonts w:ascii="Times New Roman" w:hAnsi="Times New Roman" w:eastAsia="黑体" w:cs="Times New Roman"/>
          <w:bCs/>
          <w:sz w:val="24"/>
          <w:szCs w:val="32"/>
        </w:rPr>
      </w:pPr>
      <w:bookmarkStart w:id="111" w:name="_Toc14201246"/>
      <w:bookmarkStart w:id="112" w:name="_Toc26656977"/>
      <w:r>
        <w:rPr>
          <w:rFonts w:ascii="Times New Roman" w:hAnsi="Times New Roman" w:eastAsia="黑体" w:cs="Times New Roman"/>
          <w:bCs/>
          <w:sz w:val="24"/>
          <w:szCs w:val="32"/>
        </w:rPr>
        <w:t>7.1成交候选人公示</w:t>
      </w:r>
      <w:bookmarkEnd w:id="111"/>
      <w:bookmarkEnd w:id="112"/>
    </w:p>
    <w:p>
      <w:pPr>
        <w:spacing w:line="440" w:lineRule="exact"/>
        <w:ind w:firstLine="420"/>
        <w:rPr>
          <w:rFonts w:ascii="Times New Roman" w:hAnsi="Times New Roman" w:cs="Times New Roman"/>
        </w:rPr>
      </w:pPr>
      <w:r>
        <w:rPr>
          <w:rFonts w:ascii="Times New Roman" w:hAnsi="Times New Roman" w:cs="Times New Roman"/>
        </w:rPr>
        <w:t>公示期</w:t>
      </w:r>
      <w:r>
        <w:rPr>
          <w:rFonts w:hint="eastAsia" w:ascii="Times New Roman" w:hAnsi="Times New Roman" w:cs="Times New Roman"/>
        </w:rPr>
        <w:t>为2</w:t>
      </w:r>
      <w:r>
        <w:rPr>
          <w:rFonts w:ascii="Times New Roman" w:hAnsi="Times New Roman" w:cs="Times New Roman"/>
        </w:rPr>
        <w:t>日。</w:t>
      </w:r>
    </w:p>
    <w:p>
      <w:pPr>
        <w:keepNext/>
        <w:keepLines/>
        <w:spacing w:before="120" w:after="120"/>
        <w:outlineLvl w:val="2"/>
        <w:rPr>
          <w:rFonts w:ascii="Times New Roman" w:hAnsi="Times New Roman" w:eastAsia="黑体" w:cs="Times New Roman"/>
          <w:bCs/>
          <w:sz w:val="24"/>
          <w:szCs w:val="32"/>
        </w:rPr>
      </w:pPr>
      <w:bookmarkStart w:id="113" w:name="_Toc26656978"/>
      <w:bookmarkStart w:id="114" w:name="_Toc14201247"/>
      <w:r>
        <w:rPr>
          <w:rFonts w:ascii="Times New Roman" w:hAnsi="Times New Roman" w:eastAsia="黑体" w:cs="Times New Roman"/>
          <w:bCs/>
          <w:sz w:val="24"/>
          <w:szCs w:val="32"/>
        </w:rPr>
        <w:t>7.2评审结果异议</w:t>
      </w:r>
      <w:bookmarkEnd w:id="113"/>
      <w:bookmarkEnd w:id="114"/>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115" w:name="_Toc26656979"/>
      <w:bookmarkStart w:id="116" w:name="_Toc14201248"/>
      <w:r>
        <w:rPr>
          <w:rFonts w:ascii="Times New Roman" w:hAnsi="Times New Roman" w:eastAsia="黑体" w:cs="Times New Roman"/>
          <w:bCs/>
          <w:sz w:val="24"/>
          <w:szCs w:val="32"/>
        </w:rPr>
        <w:t>7.3成交候选人履约能力审查</w:t>
      </w:r>
      <w:bookmarkEnd w:id="115"/>
      <w:bookmarkEnd w:id="116"/>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117" w:name="_Toc26656984"/>
      <w:bookmarkStart w:id="118" w:name="_Toc14201253"/>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117"/>
      <w:bookmarkEnd w:id="118"/>
    </w:p>
    <w:p>
      <w:pPr>
        <w:spacing w:line="440" w:lineRule="exact"/>
        <w:ind w:firstLine="420"/>
        <w:rPr>
          <w:rFonts w:hint="eastAsia" w:ascii="Times New Roman" w:hAnsi="Times New Roman" w:cs="Times New Roman" w:eastAsiaTheme="minorEastAsia"/>
          <w:lang w:eastAsia="zh-CN"/>
        </w:rPr>
      </w:pPr>
      <w:r>
        <w:rPr>
          <w:rFonts w:ascii="Times New Roman" w:hAnsi="Times New Roman" w:cs="Times New Roman"/>
        </w:rPr>
        <w:t>采购人和成交人应在响应有效期内以及成交通知书发出之日起</w:t>
      </w:r>
      <w:r>
        <w:rPr>
          <w:rFonts w:hint="eastAsia" w:ascii="Times New Roman" w:hAnsi="Times New Roman" w:cs="Times New Roman"/>
        </w:rPr>
        <w:t>30</w:t>
      </w:r>
      <w:r>
        <w:rPr>
          <w:rFonts w:ascii="Times New Roman" w:hAnsi="Times New Roman" w:cs="Times New Roman"/>
        </w:rPr>
        <w:t>日内，根据询比文件和成交人的响应文件订立书面合同。成交人无正当理由拒签合同，在签订合同时向采购人提出附加条件，或不按照询比文件要求提交履约保证金的，采购人取消其成交资格</w:t>
      </w:r>
      <w:r>
        <w:rPr>
          <w:rFonts w:hint="eastAsia" w:ascii="Times New Roman" w:hAnsi="Times New Roman" w:cs="Times New Roman"/>
          <w:lang w:eastAsia="zh-CN"/>
        </w:rPr>
        <w:t>。</w:t>
      </w:r>
    </w:p>
    <w:p>
      <w:pPr>
        <w:keepNext/>
        <w:keepLines/>
        <w:spacing w:before="156" w:beforeLines="50" w:after="156" w:afterLines="50"/>
        <w:outlineLvl w:val="1"/>
        <w:rPr>
          <w:rFonts w:ascii="Times New Roman" w:hAnsi="Times New Roman" w:eastAsia="黑体" w:cs="Times New Roman"/>
          <w:bCs/>
          <w:sz w:val="24"/>
          <w:szCs w:val="32"/>
        </w:rPr>
      </w:pPr>
      <w:bookmarkStart w:id="119" w:name="_Toc26656988"/>
      <w:bookmarkStart w:id="120" w:name="_Toc9067727"/>
      <w:bookmarkStart w:id="121" w:name="_Toc14201257"/>
      <w:r>
        <w:rPr>
          <w:rFonts w:ascii="Times New Roman" w:hAnsi="Times New Roman" w:eastAsia="黑体" w:cs="Times New Roman"/>
          <w:bCs/>
          <w:sz w:val="24"/>
          <w:szCs w:val="32"/>
        </w:rPr>
        <w:t>8. 纪律和监督</w:t>
      </w:r>
      <w:bookmarkEnd w:id="119"/>
      <w:bookmarkEnd w:id="120"/>
      <w:bookmarkEnd w:id="121"/>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122" w:name="_Toc26656993"/>
      <w:bookmarkStart w:id="123" w:name="_Toc14201262"/>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 xml:space="preserve"> 投诉</w:t>
      </w:r>
      <w:bookmarkEnd w:id="122"/>
      <w:bookmarkEnd w:id="123"/>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.1 供应商或其他利害关系人认为询比活动不符合法律法规规定的，可以自知道或应当知道之日起10日内向有关部门投诉。投诉应有明确的请求和必要的证明材料。</w:t>
      </w:r>
    </w:p>
    <w:p>
      <w:pPr>
        <w:widowControl/>
        <w:spacing w:line="280" w:lineRule="exact"/>
        <w:jc w:val="left"/>
        <w:textAlignment w:val="center"/>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.2 部门</w:t>
      </w:r>
      <w:r>
        <w:rPr>
          <w:rFonts w:hint="eastAsia" w:ascii="Times New Roman" w:hAnsi="Times New Roman" w:cs="Times New Roman"/>
        </w:rPr>
        <w:t>及</w:t>
      </w:r>
      <w:r>
        <w:rPr>
          <w:rFonts w:ascii="Times New Roman" w:hAnsi="Times New Roman" w:cs="Times New Roman"/>
        </w:rPr>
        <w:t>联系方式</w:t>
      </w:r>
      <w:r>
        <w:rPr>
          <w:rFonts w:hint="eastAsia" w:ascii="Times New Roman" w:hAnsi="Times New Roman" w:cs="Times New Roman"/>
        </w:rPr>
        <w:t>：</w:t>
      </w:r>
    </w:p>
    <w:p>
      <w:pPr>
        <w:widowControl/>
        <w:spacing w:line="440" w:lineRule="exact"/>
        <w:ind w:firstLine="420"/>
        <w:jc w:val="left"/>
        <w:rPr>
          <w:rFonts w:ascii="Times New Roman" w:hAnsi="Times New Roman" w:cs="Times New Roman"/>
        </w:rPr>
      </w:pPr>
      <w:r>
        <w:rPr>
          <w:rFonts w:ascii="Times New Roman" w:hAnsi="Times New Roman" w:cs="Times New Roman"/>
        </w:rPr>
        <w:t>（1）部门：</w:t>
      </w:r>
      <w:r>
        <w:rPr>
          <w:rFonts w:ascii="Times New Roman" w:hAnsi="Times New Roman" w:cs="Times New Roman"/>
          <w:u w:val="single"/>
        </w:rPr>
        <w:t>安徽省高速公路试验检测科研中心有限公司党群工作部</w:t>
      </w:r>
    </w:p>
    <w:p>
      <w:pPr>
        <w:spacing w:line="440" w:lineRule="exac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联系方式：</w:t>
      </w:r>
      <w:r>
        <w:rPr>
          <w:rFonts w:ascii="Times New Roman" w:hAnsi="Times New Roman" w:cs="Times New Roman"/>
          <w:u w:val="single"/>
        </w:rPr>
        <w:t xml:space="preserve">0551-63813025 </w:t>
      </w: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pStyle w:val="20"/>
        <w:jc w:val="both"/>
        <w:outlineLvl w:val="9"/>
      </w:pPr>
    </w:p>
    <w:p/>
    <w:p>
      <w:pPr>
        <w:pStyle w:val="2"/>
      </w:pPr>
    </w:p>
    <w:p>
      <w:pPr>
        <w:pStyle w:val="2"/>
      </w:pP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 xml:space="preserve">第三章 </w:t>
      </w:r>
      <w:r>
        <w:rPr>
          <w:rFonts w:ascii="Times New Roman" w:hAnsi="Times New Roman" w:eastAsia="宋体" w:cs="Times New Roman"/>
        </w:rPr>
        <w:t>评审办法</w:t>
      </w:r>
    </w:p>
    <w:p>
      <w:pPr>
        <w:tabs>
          <w:tab w:val="left" w:pos="0"/>
        </w:tabs>
      </w:pPr>
    </w:p>
    <w:p>
      <w:pPr>
        <w:pStyle w:val="2"/>
      </w:pPr>
    </w:p>
    <w:p>
      <w:pPr>
        <w:pStyle w:val="20"/>
        <w:outlineLvl w:val="9"/>
      </w:pPr>
    </w:p>
    <w:p/>
    <w:p>
      <w:pPr>
        <w:pStyle w:val="2"/>
      </w:pPr>
    </w:p>
    <w:p>
      <w:pPr>
        <w:pStyle w:val="20"/>
        <w:outlineLvl w:val="9"/>
      </w:pPr>
    </w:p>
    <w:p/>
    <w:p>
      <w:pPr>
        <w:pStyle w:val="2"/>
      </w:pPr>
    </w:p>
    <w:p/>
    <w:p>
      <w:pPr>
        <w:pStyle w:val="2"/>
      </w:pPr>
    </w:p>
    <w:p/>
    <w:p>
      <w:pPr>
        <w:pStyle w:val="2"/>
      </w:pPr>
    </w:p>
    <w:p>
      <w:pPr>
        <w:pStyle w:val="20"/>
        <w:outlineLvl w:val="9"/>
      </w:pPr>
    </w:p>
    <w:p/>
    <w:tbl>
      <w:tblPr>
        <w:tblStyle w:val="21"/>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4"/>
        <w:gridCol w:w="1530"/>
        <w:gridCol w:w="2064"/>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2144" w:type="dxa"/>
            <w:gridSpan w:val="2"/>
            <w:vAlign w:val="center"/>
          </w:tcPr>
          <w:p>
            <w:pPr>
              <w:widowControl/>
              <w:jc w:val="center"/>
              <w:rPr>
                <w:rFonts w:ascii="Times New Roman" w:hAnsi="Times New Roman" w:cs="Times New Roman"/>
                <w:kern w:val="0"/>
                <w:szCs w:val="21"/>
              </w:rPr>
            </w:pPr>
            <w:r>
              <w:rPr>
                <w:rFonts w:ascii="Times New Roman" w:hAnsi="Times New Roman" w:eastAsia="宋体" w:cs="Times New Roman"/>
              </w:rPr>
              <w:br w:type="page"/>
            </w:r>
            <w:r>
              <w:rPr>
                <w:rFonts w:ascii="Times New Roman" w:hAnsi="Times New Roman" w:cs="Times New Roman"/>
                <w:b/>
                <w:bCs/>
                <w:kern w:val="0"/>
                <w:szCs w:val="21"/>
              </w:rPr>
              <w:t>条款号</w:t>
            </w:r>
          </w:p>
        </w:tc>
        <w:tc>
          <w:tcPr>
            <w:tcW w:w="2064" w:type="dxa"/>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997" w:type="dxa"/>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14"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1530"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评审</w:t>
            </w:r>
            <w:r>
              <w:rPr>
                <w:rFonts w:hint="eastAsia" w:ascii="Times New Roman" w:hAnsi="Times New Roman" w:cs="Times New Roman"/>
                <w:bCs/>
                <w:kern w:val="0"/>
                <w:szCs w:val="21"/>
              </w:rPr>
              <w:t>方</w:t>
            </w:r>
            <w:r>
              <w:rPr>
                <w:rFonts w:ascii="Times New Roman" w:hAnsi="Times New Roman" w:cs="Times New Roman"/>
                <w:bCs/>
                <w:kern w:val="0"/>
                <w:szCs w:val="21"/>
              </w:rPr>
              <w:t>法</w:t>
            </w:r>
          </w:p>
        </w:tc>
        <w:tc>
          <w:tcPr>
            <w:tcW w:w="2064" w:type="dxa"/>
            <w:tcMar>
              <w:left w:w="75" w:type="dxa"/>
            </w:tcMar>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成交候选人排序方法</w:t>
            </w:r>
          </w:p>
        </w:tc>
        <w:tc>
          <w:tcPr>
            <w:tcW w:w="5997" w:type="dxa"/>
            <w:tcMar>
              <w:left w:w="75" w:type="dxa"/>
            </w:tcMar>
            <w:vAlign w:val="center"/>
          </w:tcPr>
          <w:p>
            <w:pPr>
              <w:widowControl/>
              <w:adjustRightInd w:val="0"/>
              <w:snapToGrid w:val="0"/>
              <w:jc w:val="left"/>
            </w:pPr>
            <w:r>
              <w:rPr>
                <w:rFonts w:hint="eastAsia"/>
              </w:rPr>
              <w:t>按评审价由低到高的顺序依次推荐成交候选人：</w:t>
            </w:r>
          </w:p>
          <w:p>
            <w:pPr>
              <w:widowControl/>
              <w:adjustRightInd w:val="0"/>
              <w:snapToGrid w:val="0"/>
              <w:spacing w:line="360" w:lineRule="atLeast"/>
              <w:jc w:val="left"/>
              <w:rPr>
                <w:rFonts w:ascii="Times New Roman" w:hAnsi="Times New Roman" w:cs="Times New Roman"/>
                <w:kern w:val="0"/>
                <w:szCs w:val="21"/>
                <w:lang w:bidi="ar"/>
              </w:rPr>
            </w:pPr>
            <w:r>
              <w:rPr>
                <w:rFonts w:ascii="Times New Roman" w:hAnsi="Times New Roman" w:cs="Times New Roman"/>
                <w:kern w:val="0"/>
                <w:szCs w:val="21"/>
                <w:lang w:bidi="ar"/>
              </w:rPr>
              <w:t>（1）对满足询比文件要求的响应文件，按照报价由低到高的顺序推荐成交候选人；</w:t>
            </w:r>
          </w:p>
          <w:p>
            <w:pPr>
              <w:widowControl/>
              <w:adjustRightInd w:val="0"/>
              <w:snapToGrid w:val="0"/>
              <w:spacing w:line="360" w:lineRule="atLeast"/>
              <w:jc w:val="left"/>
            </w:pPr>
            <w:r>
              <w:rPr>
                <w:rFonts w:ascii="Times New Roman" w:hAnsi="Times New Roman" w:cs="Times New Roman"/>
                <w:kern w:val="0"/>
                <w:szCs w:val="21"/>
                <w:lang w:bidi="ar"/>
              </w:rPr>
              <w:t>（2）</w:t>
            </w:r>
            <w:r>
              <w:rPr>
                <w:rFonts w:ascii="Times New Roman" w:hAnsi="Times New Roman" w:cs="Times New Roman"/>
                <w:kern w:val="0"/>
                <w:szCs w:val="21"/>
                <w:lang w:val="zh-CN" w:bidi="ar"/>
              </w:rPr>
              <w:t>若出现报价相同的情况，按递交响应文件的时间先后顺序推荐成交候选人。</w:t>
            </w:r>
          </w:p>
        </w:tc>
      </w:tr>
    </w:tbl>
    <w:p>
      <w:pPr>
        <w:adjustRightInd w:val="0"/>
        <w:snapToGrid w:val="0"/>
        <w:spacing w:line="360" w:lineRule="auto"/>
        <w:textAlignment w:val="baseline"/>
        <w:rPr>
          <w:rFonts w:ascii="Times New Roman" w:hAnsi="Times New Roman" w:cs="Times New Roman"/>
          <w:szCs w:val="21"/>
        </w:rPr>
      </w:pPr>
    </w:p>
    <w:tbl>
      <w:tblPr>
        <w:tblStyle w:val="21"/>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1515"/>
        <w:gridCol w:w="2077"/>
        <w:gridCol w:w="5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2159" w:type="dxa"/>
            <w:gridSpan w:val="2"/>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2077" w:type="dxa"/>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969" w:type="dxa"/>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644"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2.1.1</w:t>
            </w:r>
          </w:p>
        </w:tc>
        <w:tc>
          <w:tcPr>
            <w:tcW w:w="1515"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形式评审标准</w:t>
            </w:r>
          </w:p>
        </w:tc>
        <w:tc>
          <w:tcPr>
            <w:tcW w:w="2077" w:type="dxa"/>
            <w:tcMar>
              <w:left w:w="75" w:type="dxa"/>
            </w:tcMar>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供应商名称</w:t>
            </w:r>
          </w:p>
        </w:tc>
        <w:tc>
          <w:tcPr>
            <w:tcW w:w="596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64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515"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2077" w:type="dxa"/>
            <w:tcMar>
              <w:left w:w="75" w:type="dxa"/>
            </w:tcMar>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响应文件格式</w:t>
            </w:r>
          </w:p>
        </w:tc>
        <w:tc>
          <w:tcPr>
            <w:tcW w:w="596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64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515"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2077" w:type="dxa"/>
            <w:tcMar>
              <w:left w:w="75" w:type="dxa"/>
            </w:tcMar>
            <w:vAlign w:val="center"/>
          </w:tcPr>
          <w:p>
            <w:pPr>
              <w:widowControl/>
              <w:adjustRightInd w:val="0"/>
              <w:snapToGrid w:val="0"/>
              <w:spacing w:line="360" w:lineRule="atLeast"/>
              <w:jc w:val="center"/>
              <w:rPr>
                <w:rFonts w:ascii="Times New Roman" w:hAnsi="Times New Roman" w:cs="Times New Roman"/>
                <w:kern w:val="0"/>
                <w:szCs w:val="21"/>
              </w:rPr>
            </w:pPr>
            <w:r>
              <w:rPr>
                <w:rFonts w:hint="eastAsia" w:ascii="Times New Roman" w:hAnsi="Times New Roman" w:cs="Times New Roman"/>
                <w:kern w:val="0"/>
                <w:szCs w:val="21"/>
              </w:rPr>
              <w:t>签名及</w:t>
            </w:r>
            <w:r>
              <w:rPr>
                <w:rFonts w:ascii="Times New Roman" w:hAnsi="Times New Roman" w:cs="Times New Roman"/>
                <w:kern w:val="0"/>
                <w:szCs w:val="21"/>
              </w:rPr>
              <w:t>盖章</w:t>
            </w:r>
          </w:p>
        </w:tc>
        <w:tc>
          <w:tcPr>
            <w:tcW w:w="596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bCs/>
                <w:kern w:val="0"/>
                <w:szCs w:val="21"/>
              </w:rPr>
              <w:t>符合第二章“供应商须知”规定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515"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2077" w:type="dxa"/>
            <w:tcMar>
              <w:left w:w="75" w:type="dxa"/>
            </w:tcMar>
            <w:vAlign w:val="center"/>
          </w:tcPr>
          <w:p>
            <w:pPr>
              <w:widowControl/>
              <w:adjustRightInd w:val="0"/>
              <w:snapToGrid w:val="0"/>
              <w:spacing w:line="360" w:lineRule="atLeast"/>
              <w:jc w:val="center"/>
              <w:rPr>
                <w:rFonts w:ascii="Times New Roman" w:hAnsi="Times New Roman" w:cs="Times New Roman"/>
                <w:kern w:val="0"/>
                <w:szCs w:val="21"/>
              </w:rPr>
            </w:pPr>
            <w:r>
              <w:rPr>
                <w:rFonts w:hint="eastAsia" w:ascii="Times New Roman" w:hAnsi="Times New Roman" w:cs="Times New Roman"/>
                <w:kern w:val="0"/>
                <w:szCs w:val="21"/>
              </w:rPr>
              <w:t>U盘及响应文件份数</w:t>
            </w:r>
          </w:p>
        </w:tc>
        <w:tc>
          <w:tcPr>
            <w:tcW w:w="5969" w:type="dxa"/>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hint="eastAsia" w:ascii="Times New Roman" w:hAnsi="Times New Roman" w:cs="Times New Roman"/>
                <w:bCs/>
                <w:kern w:val="0"/>
                <w:szCs w:val="21"/>
              </w:rPr>
              <w:t>符合第二章“供应商须知”规定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64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515"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2077" w:type="dxa"/>
            <w:tcMar>
              <w:left w:w="75" w:type="dxa"/>
            </w:tcMar>
            <w:vAlign w:val="center"/>
          </w:tcPr>
          <w:p>
            <w:pPr>
              <w:widowControl/>
              <w:adjustRightInd w:val="0"/>
              <w:snapToGrid w:val="0"/>
              <w:spacing w:line="360" w:lineRule="atLeast"/>
              <w:jc w:val="center"/>
              <w:rPr>
                <w:rFonts w:ascii="Times New Roman" w:hAnsi="Times New Roman" w:cs="Times New Roman"/>
                <w:kern w:val="0"/>
                <w:szCs w:val="21"/>
              </w:rPr>
            </w:pPr>
            <w:r>
              <w:rPr>
                <w:rFonts w:hint="eastAsia" w:ascii="Times New Roman" w:hAnsi="Times New Roman" w:cs="Times New Roman"/>
                <w:kern w:val="0"/>
                <w:szCs w:val="21"/>
              </w:rPr>
              <w:t>装订及密封</w:t>
            </w:r>
          </w:p>
        </w:tc>
        <w:tc>
          <w:tcPr>
            <w:tcW w:w="5969" w:type="dxa"/>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hint="eastAsia" w:ascii="Times New Roman" w:hAnsi="Times New Roman" w:cs="Times New Roman"/>
                <w:bCs/>
                <w:kern w:val="0"/>
                <w:szCs w:val="21"/>
              </w:rPr>
              <w:t>符合第二章“供应商须知”规定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644"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2.1.2</w:t>
            </w:r>
          </w:p>
        </w:tc>
        <w:tc>
          <w:tcPr>
            <w:tcW w:w="1515"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资格评审标准</w:t>
            </w:r>
          </w:p>
        </w:tc>
        <w:tc>
          <w:tcPr>
            <w:tcW w:w="2077" w:type="dxa"/>
            <w:tcMar>
              <w:left w:w="75" w:type="dxa"/>
            </w:tcMar>
            <w:vAlign w:val="center"/>
          </w:tcPr>
          <w:p>
            <w:pPr>
              <w:widowControl/>
              <w:adjustRightInd w:val="0"/>
              <w:snapToGrid w:val="0"/>
              <w:spacing w:line="360" w:lineRule="atLeast"/>
              <w:jc w:val="center"/>
              <w:rPr>
                <w:rFonts w:ascii="Times New Roman" w:hAnsi="Times New Roman" w:cs="Times New Roman"/>
                <w:kern w:val="0"/>
                <w:szCs w:val="21"/>
              </w:rPr>
            </w:pPr>
            <w:r>
              <w:rPr>
                <w:rFonts w:hint="eastAsia" w:ascii="Times New Roman" w:hAnsi="Times New Roman" w:cs="Times New Roman"/>
                <w:kern w:val="0"/>
                <w:szCs w:val="21"/>
              </w:rPr>
              <w:t>资质条件、能力、信誉</w:t>
            </w:r>
          </w:p>
        </w:tc>
        <w:tc>
          <w:tcPr>
            <w:tcW w:w="5969" w:type="dxa"/>
            <w:tcMar>
              <w:left w:w="75" w:type="dxa"/>
            </w:tcMar>
            <w:vAlign w:val="center"/>
          </w:tcPr>
          <w:p>
            <w:pPr>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bCs/>
                <w:kern w:val="0"/>
                <w:szCs w:val="21"/>
              </w:rPr>
              <w:t>符合第二章“供应商须知”规定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64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515"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2077" w:type="dxa"/>
            <w:tcMar>
              <w:left w:w="75" w:type="dxa"/>
            </w:tcMar>
            <w:vAlign w:val="center"/>
          </w:tcPr>
          <w:p>
            <w:pPr>
              <w:widowControl/>
              <w:adjustRightInd w:val="0"/>
              <w:snapToGrid w:val="0"/>
              <w:spacing w:line="360" w:lineRule="atLeast"/>
              <w:jc w:val="center"/>
              <w:rPr>
                <w:rFonts w:hint="eastAsia"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业绩</w:t>
            </w:r>
          </w:p>
        </w:tc>
        <w:tc>
          <w:tcPr>
            <w:tcW w:w="5969" w:type="dxa"/>
            <w:tcMar>
              <w:left w:w="75" w:type="dxa"/>
            </w:tcMar>
            <w:vAlign w:val="center"/>
          </w:tcPr>
          <w:p>
            <w:pPr>
              <w:widowControl/>
              <w:adjustRightInd w:val="0"/>
              <w:snapToGrid w:val="0"/>
              <w:spacing w:line="360" w:lineRule="atLeast"/>
              <w:jc w:val="left"/>
              <w:rPr>
                <w:rFonts w:ascii="Times New Roman" w:hAnsi="Times New Roman" w:cs="Times New Roman"/>
              </w:rPr>
            </w:pPr>
            <w:r>
              <w:rPr>
                <w:rFonts w:hint="eastAsia" w:ascii="Times New Roman" w:hAnsi="Times New Roman" w:cs="Times New Roman"/>
              </w:rPr>
              <w:t>符合第一章“采购公告”规定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jc w:val="center"/>
        </w:trPr>
        <w:tc>
          <w:tcPr>
            <w:tcW w:w="644" w:type="dxa"/>
            <w:vMerge w:val="restart"/>
            <w:vAlign w:val="center"/>
          </w:tcPr>
          <w:p>
            <w:pPr>
              <w:widowControl/>
              <w:adjustRightInd w:val="0"/>
              <w:snapToGrid w:val="0"/>
              <w:spacing w:line="360" w:lineRule="atLeast"/>
              <w:jc w:val="center"/>
              <w:rPr>
                <w:rFonts w:hint="eastAsia" w:ascii="Times New Roman" w:hAnsi="Times New Roman" w:cs="Times New Roman"/>
              </w:rPr>
            </w:pPr>
            <w:r>
              <w:rPr>
                <w:rFonts w:hint="eastAsia" w:ascii="Times New Roman" w:hAnsi="Times New Roman" w:cs="Times New Roman"/>
              </w:rPr>
              <w:t>2.1.3</w:t>
            </w:r>
          </w:p>
        </w:tc>
        <w:tc>
          <w:tcPr>
            <w:tcW w:w="1515" w:type="dxa"/>
            <w:vMerge w:val="restart"/>
            <w:vAlign w:val="center"/>
          </w:tcPr>
          <w:p>
            <w:pPr>
              <w:widowControl/>
              <w:adjustRightInd w:val="0"/>
              <w:snapToGrid w:val="0"/>
              <w:spacing w:line="360" w:lineRule="atLeast"/>
              <w:jc w:val="center"/>
              <w:rPr>
                <w:rFonts w:hint="eastAsia" w:ascii="Times New Roman" w:hAnsi="Times New Roman" w:cs="Times New Roman"/>
              </w:rPr>
            </w:pPr>
            <w:r>
              <w:rPr>
                <w:rFonts w:hint="eastAsia" w:ascii="Times New Roman" w:hAnsi="Times New Roman" w:cs="Times New Roman"/>
              </w:rPr>
              <w:t>响应性评审标准</w:t>
            </w:r>
          </w:p>
        </w:tc>
        <w:tc>
          <w:tcPr>
            <w:tcW w:w="2077" w:type="dxa"/>
            <w:tcMar>
              <w:left w:w="75" w:type="dxa"/>
            </w:tcMar>
            <w:vAlign w:val="center"/>
          </w:tcPr>
          <w:p>
            <w:pPr>
              <w:widowControl/>
              <w:adjustRightInd w:val="0"/>
              <w:snapToGrid w:val="0"/>
              <w:spacing w:line="360" w:lineRule="atLeast"/>
              <w:jc w:val="center"/>
              <w:rPr>
                <w:rFonts w:hint="eastAsia" w:ascii="Times New Roman" w:hAnsi="Times New Roman" w:cs="Times New Roman"/>
              </w:rPr>
            </w:pPr>
            <w:r>
              <w:rPr>
                <w:rFonts w:hint="eastAsia" w:ascii="Times New Roman" w:hAnsi="Times New Roman" w:cs="Times New Roman"/>
              </w:rPr>
              <w:t>报价内容</w:t>
            </w:r>
          </w:p>
        </w:tc>
        <w:tc>
          <w:tcPr>
            <w:tcW w:w="5969" w:type="dxa"/>
            <w:tcMar>
              <w:left w:w="75" w:type="dxa"/>
            </w:tcMar>
            <w:vAlign w:val="center"/>
          </w:tcPr>
          <w:p>
            <w:pPr>
              <w:widowControl/>
              <w:adjustRightInd w:val="0"/>
              <w:snapToGrid w:val="0"/>
              <w:spacing w:line="360" w:lineRule="atLeast"/>
              <w:jc w:val="left"/>
              <w:rPr>
                <w:rFonts w:hint="eastAsia" w:ascii="Times New Roman" w:hAnsi="Times New Roman" w:cs="Times New Roman"/>
              </w:rPr>
            </w:pPr>
            <w:r>
              <w:rPr>
                <w:rFonts w:hint="eastAsia" w:ascii="Times New Roman" w:hAnsi="Times New Roman" w:cs="Times New Roman"/>
              </w:rPr>
              <w:t>符合第一章“采购公告”规定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644" w:type="dxa"/>
            <w:vMerge w:val="continue"/>
            <w:vAlign w:val="center"/>
          </w:tcPr>
          <w:p>
            <w:pPr>
              <w:widowControl/>
              <w:adjustRightInd w:val="0"/>
              <w:snapToGrid w:val="0"/>
              <w:spacing w:line="360" w:lineRule="atLeast"/>
              <w:jc w:val="left"/>
              <w:rPr>
                <w:rFonts w:hint="eastAsia" w:ascii="Times New Roman" w:hAnsi="Times New Roman" w:cs="Times New Roman"/>
              </w:rPr>
            </w:pPr>
          </w:p>
        </w:tc>
        <w:tc>
          <w:tcPr>
            <w:tcW w:w="1515" w:type="dxa"/>
            <w:vMerge w:val="continue"/>
            <w:vAlign w:val="center"/>
          </w:tcPr>
          <w:p>
            <w:pPr>
              <w:widowControl/>
              <w:adjustRightInd w:val="0"/>
              <w:snapToGrid w:val="0"/>
              <w:spacing w:line="360" w:lineRule="atLeast"/>
              <w:jc w:val="left"/>
              <w:rPr>
                <w:rFonts w:hint="eastAsia" w:ascii="Times New Roman" w:hAnsi="Times New Roman" w:cs="Times New Roman"/>
              </w:rPr>
            </w:pPr>
          </w:p>
        </w:tc>
        <w:tc>
          <w:tcPr>
            <w:tcW w:w="2077" w:type="dxa"/>
            <w:tcMar>
              <w:left w:w="75" w:type="dxa"/>
            </w:tcMar>
            <w:vAlign w:val="center"/>
          </w:tcPr>
          <w:p>
            <w:pPr>
              <w:widowControl/>
              <w:adjustRightInd w:val="0"/>
              <w:snapToGrid w:val="0"/>
              <w:spacing w:line="360" w:lineRule="atLeast"/>
              <w:jc w:val="center"/>
              <w:rPr>
                <w:rFonts w:hint="eastAsia" w:ascii="Times New Roman" w:hAnsi="Times New Roman" w:cs="Times New Roman"/>
              </w:rPr>
            </w:pPr>
            <w:r>
              <w:rPr>
                <w:rFonts w:hint="eastAsia" w:ascii="Times New Roman" w:hAnsi="Times New Roman" w:cs="Times New Roman"/>
              </w:rPr>
              <w:t>询比文件的获取</w:t>
            </w:r>
          </w:p>
        </w:tc>
        <w:tc>
          <w:tcPr>
            <w:tcW w:w="5969" w:type="dxa"/>
            <w:tcMar>
              <w:left w:w="75" w:type="dxa"/>
            </w:tcMar>
            <w:vAlign w:val="center"/>
          </w:tcPr>
          <w:p>
            <w:pPr>
              <w:widowControl/>
              <w:adjustRightInd w:val="0"/>
              <w:snapToGrid w:val="0"/>
              <w:spacing w:line="360" w:lineRule="atLeast"/>
              <w:jc w:val="left"/>
              <w:rPr>
                <w:rFonts w:hint="eastAsia"/>
              </w:rPr>
            </w:pPr>
            <w:r>
              <w:rPr>
                <w:rFonts w:hint="eastAsia"/>
              </w:rPr>
              <w:t>符合第一章“采购公告”规定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644" w:type="dxa"/>
            <w:vMerge w:val="continue"/>
            <w:vAlign w:val="center"/>
          </w:tcPr>
          <w:p>
            <w:pPr>
              <w:widowControl/>
              <w:adjustRightInd w:val="0"/>
              <w:snapToGrid w:val="0"/>
              <w:spacing w:line="360" w:lineRule="atLeast"/>
              <w:jc w:val="left"/>
              <w:rPr>
                <w:rFonts w:hint="eastAsia" w:ascii="Times New Roman" w:hAnsi="Times New Roman" w:cs="Times New Roman"/>
              </w:rPr>
            </w:pPr>
          </w:p>
        </w:tc>
        <w:tc>
          <w:tcPr>
            <w:tcW w:w="1515" w:type="dxa"/>
            <w:vMerge w:val="continue"/>
            <w:vAlign w:val="center"/>
          </w:tcPr>
          <w:p>
            <w:pPr>
              <w:widowControl/>
              <w:adjustRightInd w:val="0"/>
              <w:snapToGrid w:val="0"/>
              <w:spacing w:line="360" w:lineRule="atLeast"/>
              <w:jc w:val="left"/>
              <w:rPr>
                <w:rFonts w:hint="eastAsia" w:ascii="Times New Roman" w:hAnsi="Times New Roman" w:cs="Times New Roman"/>
              </w:rPr>
            </w:pPr>
          </w:p>
        </w:tc>
        <w:tc>
          <w:tcPr>
            <w:tcW w:w="2077" w:type="dxa"/>
            <w:tcMar>
              <w:left w:w="75" w:type="dxa"/>
            </w:tcMar>
            <w:vAlign w:val="center"/>
          </w:tcPr>
          <w:p>
            <w:pPr>
              <w:widowControl/>
              <w:adjustRightInd w:val="0"/>
              <w:snapToGrid w:val="0"/>
              <w:spacing w:line="360" w:lineRule="atLeast"/>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响应保证金</w:t>
            </w:r>
          </w:p>
        </w:tc>
        <w:tc>
          <w:tcPr>
            <w:tcW w:w="5969" w:type="dxa"/>
            <w:tcMar>
              <w:left w:w="75" w:type="dxa"/>
            </w:tcMar>
            <w:vAlign w:val="center"/>
          </w:tcPr>
          <w:p>
            <w:pPr>
              <w:widowControl/>
              <w:adjustRightInd w:val="0"/>
              <w:snapToGrid w:val="0"/>
              <w:spacing w:line="360" w:lineRule="atLeast"/>
              <w:jc w:val="left"/>
              <w:rPr>
                <w:rFonts w:hint="eastAsia"/>
              </w:rPr>
            </w:pPr>
            <w:r>
              <w:rPr>
                <w:rFonts w:hint="eastAsia"/>
              </w:rPr>
              <w:t>符合第一章“采购公告”规定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644" w:type="dxa"/>
            <w:vMerge w:val="continue"/>
            <w:vAlign w:val="center"/>
          </w:tcPr>
          <w:p>
            <w:pPr>
              <w:widowControl/>
              <w:adjustRightInd w:val="0"/>
              <w:snapToGrid w:val="0"/>
              <w:spacing w:line="360" w:lineRule="atLeast"/>
              <w:jc w:val="left"/>
              <w:rPr>
                <w:rFonts w:hint="eastAsia" w:ascii="Times New Roman" w:hAnsi="Times New Roman" w:cs="Times New Roman"/>
              </w:rPr>
            </w:pPr>
          </w:p>
        </w:tc>
        <w:tc>
          <w:tcPr>
            <w:tcW w:w="1515" w:type="dxa"/>
            <w:vMerge w:val="continue"/>
            <w:vAlign w:val="center"/>
          </w:tcPr>
          <w:p>
            <w:pPr>
              <w:widowControl/>
              <w:adjustRightInd w:val="0"/>
              <w:snapToGrid w:val="0"/>
              <w:spacing w:line="360" w:lineRule="atLeast"/>
              <w:jc w:val="left"/>
              <w:rPr>
                <w:rFonts w:hint="eastAsia" w:ascii="Times New Roman" w:hAnsi="Times New Roman" w:cs="Times New Roman"/>
              </w:rPr>
            </w:pPr>
          </w:p>
        </w:tc>
        <w:tc>
          <w:tcPr>
            <w:tcW w:w="2077"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center"/>
              <w:rPr>
                <w:rFonts w:hint="eastAsia" w:ascii="Times New Roman" w:hAnsi="Times New Roman" w:cs="Times New Roman"/>
              </w:rPr>
            </w:pPr>
            <w:r>
              <w:rPr>
                <w:rFonts w:hint="eastAsia" w:ascii="Times New Roman" w:hAnsi="Times New Roman" w:cs="Times New Roman"/>
              </w:rPr>
              <w:t>联合体</w:t>
            </w:r>
          </w:p>
        </w:tc>
        <w:tc>
          <w:tcPr>
            <w:tcW w:w="596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hint="eastAsia" w:ascii="Times New Roman" w:hAnsi="Times New Roman" w:cs="Times New Roman"/>
              </w:rPr>
            </w:pPr>
            <w:r>
              <w:rPr>
                <w:rFonts w:hint="eastAsia" w:ascii="Times New Roman" w:hAnsi="Times New Roman" w:cs="Times New Roma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644" w:type="dxa"/>
            <w:vMerge w:val="continue"/>
            <w:vAlign w:val="center"/>
          </w:tcPr>
          <w:p>
            <w:pPr>
              <w:widowControl/>
              <w:adjustRightInd w:val="0"/>
              <w:snapToGrid w:val="0"/>
              <w:spacing w:line="360" w:lineRule="atLeast"/>
              <w:jc w:val="left"/>
              <w:rPr>
                <w:rFonts w:hint="eastAsia" w:ascii="Times New Roman" w:hAnsi="Times New Roman" w:cs="Times New Roman"/>
              </w:rPr>
            </w:pPr>
          </w:p>
        </w:tc>
        <w:tc>
          <w:tcPr>
            <w:tcW w:w="1515" w:type="dxa"/>
            <w:vMerge w:val="continue"/>
            <w:vAlign w:val="center"/>
          </w:tcPr>
          <w:p>
            <w:pPr>
              <w:widowControl/>
              <w:adjustRightInd w:val="0"/>
              <w:snapToGrid w:val="0"/>
              <w:spacing w:line="360" w:lineRule="atLeast"/>
              <w:jc w:val="left"/>
              <w:rPr>
                <w:rFonts w:hint="eastAsia" w:ascii="Times New Roman" w:hAnsi="Times New Roman" w:cs="Times New Roman"/>
              </w:rPr>
            </w:pPr>
          </w:p>
        </w:tc>
        <w:tc>
          <w:tcPr>
            <w:tcW w:w="2077"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center"/>
              <w:rPr>
                <w:rFonts w:hint="eastAsia" w:ascii="Times New Roman" w:hAnsi="Times New Roman" w:cs="Times New Roman"/>
              </w:rPr>
            </w:pPr>
            <w:r>
              <w:rPr>
                <w:rFonts w:hint="eastAsia" w:ascii="Times New Roman" w:hAnsi="Times New Roman" w:cs="Times New Roman"/>
              </w:rPr>
              <w:t>分包</w:t>
            </w:r>
          </w:p>
        </w:tc>
        <w:tc>
          <w:tcPr>
            <w:tcW w:w="596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hint="eastAsia" w:ascii="Times New Roman" w:hAnsi="Times New Roman" w:cs="Times New Roman"/>
              </w:rPr>
            </w:pPr>
            <w:r>
              <w:rPr>
                <w:rFonts w:hint="eastAsia" w:ascii="Times New Roman" w:hAnsi="Times New Roman" w:cs="Times New Roman"/>
              </w:rPr>
              <w:t>不得分包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44" w:type="dxa"/>
            <w:vMerge w:val="continue"/>
            <w:vAlign w:val="center"/>
          </w:tcPr>
          <w:p>
            <w:pPr>
              <w:widowControl/>
              <w:adjustRightInd w:val="0"/>
              <w:snapToGrid w:val="0"/>
              <w:spacing w:line="360" w:lineRule="atLeast"/>
              <w:jc w:val="left"/>
              <w:rPr>
                <w:rFonts w:hint="eastAsia" w:ascii="Times New Roman" w:hAnsi="Times New Roman" w:cs="Times New Roman"/>
              </w:rPr>
            </w:pPr>
          </w:p>
        </w:tc>
        <w:tc>
          <w:tcPr>
            <w:tcW w:w="1515" w:type="dxa"/>
            <w:vMerge w:val="continue"/>
            <w:vAlign w:val="center"/>
          </w:tcPr>
          <w:p>
            <w:pPr>
              <w:widowControl/>
              <w:adjustRightInd w:val="0"/>
              <w:snapToGrid w:val="0"/>
              <w:spacing w:line="360" w:lineRule="atLeast"/>
              <w:jc w:val="left"/>
              <w:rPr>
                <w:rFonts w:hint="eastAsia" w:ascii="Times New Roman" w:hAnsi="Times New Roman" w:cs="Times New Roman"/>
              </w:rPr>
            </w:pPr>
          </w:p>
        </w:tc>
        <w:tc>
          <w:tcPr>
            <w:tcW w:w="2077"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center"/>
              <w:rPr>
                <w:rFonts w:hint="eastAsia" w:ascii="Times New Roman" w:hAnsi="Times New Roman" w:cs="Times New Roman"/>
              </w:rPr>
            </w:pPr>
            <w:r>
              <w:rPr>
                <w:rFonts w:hint="eastAsia" w:ascii="Times New Roman" w:hAnsi="Times New Roman" w:cs="Times New Roman"/>
              </w:rPr>
              <w:t>报价</w:t>
            </w:r>
          </w:p>
        </w:tc>
        <w:tc>
          <w:tcPr>
            <w:tcW w:w="596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hint="eastAsia" w:ascii="Times New Roman" w:hAnsi="Times New Roman" w:cs="Times New Roman"/>
              </w:rPr>
            </w:pPr>
            <w:r>
              <w:rPr>
                <w:rFonts w:hint="eastAsia" w:ascii="Times New Roman" w:hAnsi="Times New Roman" w:cs="Times New Roman"/>
              </w:rPr>
              <w:t>（1）报价</w:t>
            </w:r>
            <w:r>
              <w:rPr>
                <w:rFonts w:hint="eastAsia" w:ascii="Times New Roman" w:hAnsi="Times New Roman" w:cs="Times New Roman"/>
                <w:lang w:val="en-US" w:eastAsia="zh-CN"/>
              </w:rPr>
              <w:t>未</w:t>
            </w:r>
            <w:r>
              <w:rPr>
                <w:rFonts w:hint="eastAsia" w:ascii="Times New Roman" w:hAnsi="Times New Roman" w:cs="Times New Roman"/>
              </w:rPr>
              <w:t>超出限价；</w:t>
            </w:r>
          </w:p>
          <w:p>
            <w:pPr>
              <w:widowControl/>
              <w:adjustRightInd w:val="0"/>
              <w:snapToGrid w:val="0"/>
              <w:spacing w:line="360" w:lineRule="atLeast"/>
              <w:jc w:val="left"/>
              <w:rPr>
                <w:rFonts w:hint="eastAsia" w:ascii="Times New Roman" w:hAnsi="Times New Roman" w:cs="Times New Roman"/>
              </w:rPr>
            </w:pPr>
            <w:r>
              <w:rPr>
                <w:rFonts w:hint="eastAsia" w:ascii="Times New Roman" w:hAnsi="Times New Roman" w:cs="Times New Roman"/>
              </w:rPr>
              <w:t>（2）在报价函上填写报价；</w:t>
            </w:r>
          </w:p>
          <w:p>
            <w:pPr>
              <w:widowControl/>
              <w:adjustRightInd w:val="0"/>
              <w:snapToGrid w:val="0"/>
              <w:spacing w:line="360" w:lineRule="atLeast"/>
              <w:jc w:val="left"/>
              <w:rPr>
                <w:rFonts w:hint="eastAsia" w:ascii="Times New Roman" w:hAnsi="Times New Roman" w:cs="Times New Roman"/>
              </w:rPr>
            </w:pPr>
            <w:r>
              <w:rPr>
                <w:rFonts w:hint="eastAsia" w:ascii="Times New Roman" w:hAnsi="Times New Roman" w:cs="Times New Roman"/>
              </w:rPr>
              <w:t>（3）报价函中的报价与报价清单总报价一致；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644" w:type="dxa"/>
            <w:vMerge w:val="continue"/>
            <w:vAlign w:val="center"/>
          </w:tcPr>
          <w:p>
            <w:pPr>
              <w:widowControl/>
              <w:adjustRightInd w:val="0"/>
              <w:snapToGrid w:val="0"/>
              <w:spacing w:line="360" w:lineRule="atLeast"/>
              <w:jc w:val="left"/>
              <w:rPr>
                <w:rFonts w:hint="eastAsia" w:ascii="Times New Roman" w:hAnsi="Times New Roman" w:cs="Times New Roman"/>
              </w:rPr>
            </w:pPr>
          </w:p>
        </w:tc>
        <w:tc>
          <w:tcPr>
            <w:tcW w:w="1515" w:type="dxa"/>
            <w:vMerge w:val="continue"/>
            <w:vAlign w:val="center"/>
          </w:tcPr>
          <w:p>
            <w:pPr>
              <w:widowControl/>
              <w:adjustRightInd w:val="0"/>
              <w:snapToGrid w:val="0"/>
              <w:spacing w:line="360" w:lineRule="atLeast"/>
              <w:jc w:val="left"/>
              <w:rPr>
                <w:rFonts w:hint="eastAsia" w:ascii="Times New Roman" w:hAnsi="Times New Roman" w:cs="Times New Roman"/>
              </w:rPr>
            </w:pPr>
          </w:p>
        </w:tc>
        <w:tc>
          <w:tcPr>
            <w:tcW w:w="2077" w:type="dxa"/>
            <w:tcMar>
              <w:left w:w="75" w:type="dxa"/>
            </w:tcMar>
            <w:vAlign w:val="center"/>
          </w:tcPr>
          <w:p>
            <w:pPr>
              <w:widowControl/>
              <w:adjustRightInd w:val="0"/>
              <w:snapToGrid w:val="0"/>
              <w:spacing w:line="360" w:lineRule="atLeast"/>
              <w:jc w:val="center"/>
              <w:rPr>
                <w:rFonts w:hint="eastAsia" w:ascii="Times New Roman" w:hAnsi="Times New Roman" w:cs="Times New Roman"/>
              </w:rPr>
            </w:pPr>
            <w:r>
              <w:rPr>
                <w:rFonts w:hint="eastAsia" w:ascii="Times New Roman" w:hAnsi="Times New Roman" w:cs="Times New Roman"/>
              </w:rPr>
              <w:t>其他实质性要求</w:t>
            </w:r>
          </w:p>
        </w:tc>
        <w:tc>
          <w:tcPr>
            <w:tcW w:w="5969" w:type="dxa"/>
            <w:tcMar>
              <w:left w:w="75" w:type="dxa"/>
            </w:tcMar>
            <w:vAlign w:val="center"/>
          </w:tcPr>
          <w:p>
            <w:pPr>
              <w:widowControl/>
              <w:adjustRightInd w:val="0"/>
              <w:snapToGrid w:val="0"/>
              <w:spacing w:line="360" w:lineRule="atLeast"/>
              <w:jc w:val="left"/>
              <w:rPr>
                <w:rFonts w:hint="eastAsia" w:ascii="Times New Roman" w:hAnsi="Times New Roman" w:cs="Times New Roman"/>
              </w:rPr>
            </w:pPr>
            <w:r>
              <w:rPr>
                <w:rFonts w:hint="eastAsia" w:ascii="Times New Roman" w:hAnsi="Times New Roman" w:cs="Times New Roman"/>
              </w:rPr>
              <w:t>符合询比文件的其他实质性要求和条件</w:t>
            </w:r>
          </w:p>
        </w:tc>
      </w:tr>
    </w:tbl>
    <w:p>
      <w:pPr>
        <w:widowControl/>
        <w:adjustRightInd w:val="0"/>
        <w:snapToGrid w:val="0"/>
        <w:spacing w:line="360" w:lineRule="atLeast"/>
        <w:ind w:left="-199" w:leftChars="-295" w:hanging="420" w:hangingChars="200"/>
        <w:jc w:val="left"/>
        <w:rPr>
          <w:rFonts w:hint="eastAsia" w:ascii="Times New Roman" w:hAnsi="Times New Roman" w:cs="Times New Roman"/>
        </w:rPr>
      </w:pPr>
    </w:p>
    <w:tbl>
      <w:tblPr>
        <w:tblStyle w:val="21"/>
        <w:tblW w:w="102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4"/>
        <w:gridCol w:w="1500"/>
        <w:gridCol w:w="2040"/>
        <w:gridCol w:w="59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74" w:type="dxa"/>
            <w:gridSpan w:val="2"/>
            <w:tcBorders>
              <w:top w:val="single" w:color="auto" w:sz="4" w:space="0"/>
              <w:bottom w:val="single" w:color="auto" w:sz="4" w:space="0"/>
              <w:right w:val="single" w:color="auto" w:sz="4" w:space="0"/>
            </w:tcBorders>
            <w:vAlign w:val="center"/>
          </w:tcPr>
          <w:p>
            <w:pPr>
              <w:widowControl/>
              <w:spacing w:line="360" w:lineRule="atLeast"/>
              <w:jc w:val="center"/>
              <w:rPr>
                <w:rFonts w:hint="eastAsia" w:ascii="Times New Roman" w:hAnsi="Times New Roman" w:cs="Times New Roman"/>
                <w:b/>
                <w:bCs/>
                <w:kern w:val="0"/>
                <w:szCs w:val="21"/>
              </w:rPr>
            </w:pPr>
            <w:r>
              <w:rPr>
                <w:rFonts w:hint="eastAsia" w:ascii="Times New Roman" w:hAnsi="Times New Roman" w:cs="Times New Roman"/>
                <w:b/>
                <w:bCs/>
                <w:kern w:val="0"/>
                <w:szCs w:val="21"/>
              </w:rPr>
              <w:t>条款号</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hint="eastAsia" w:ascii="Times New Roman" w:hAnsi="Times New Roman" w:cs="Times New Roman"/>
                <w:b/>
                <w:bCs/>
                <w:kern w:val="0"/>
                <w:szCs w:val="21"/>
              </w:rPr>
            </w:pPr>
            <w:r>
              <w:rPr>
                <w:rFonts w:hint="eastAsia" w:ascii="Times New Roman" w:hAnsi="Times New Roman" w:cs="Times New Roman"/>
                <w:b/>
                <w:bCs/>
                <w:kern w:val="0"/>
                <w:szCs w:val="21"/>
              </w:rPr>
              <w:t>量化因素</w:t>
            </w:r>
          </w:p>
        </w:tc>
        <w:tc>
          <w:tcPr>
            <w:tcW w:w="5991"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hint="eastAsia" w:ascii="Times New Roman" w:hAnsi="Times New Roman" w:cs="Times New Roman"/>
                <w:b/>
                <w:bCs/>
                <w:kern w:val="0"/>
                <w:szCs w:val="21"/>
              </w:rPr>
            </w:pPr>
            <w:r>
              <w:rPr>
                <w:rFonts w:hint="eastAsia" w:ascii="Times New Roman" w:hAnsi="Times New Roman" w:cs="Times New Roman"/>
                <w:b/>
                <w:bCs/>
                <w:kern w:val="0"/>
                <w:szCs w:val="21"/>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4" w:type="dxa"/>
            <w:tcBorders>
              <w:top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Times New Roman" w:hAnsi="Times New Roman" w:cs="Times New Roman"/>
              </w:rPr>
            </w:pPr>
            <w:r>
              <w:rPr>
                <w:rFonts w:hint="eastAsia" w:ascii="Times New Roman" w:hAnsi="Times New Roman" w:cs="Times New Roman"/>
              </w:rPr>
              <w:t>2.2</w:t>
            </w:r>
          </w:p>
        </w:tc>
        <w:tc>
          <w:tcPr>
            <w:tcW w:w="1500" w:type="dxa"/>
            <w:tcBorders>
              <w:top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Times New Roman" w:hAnsi="Times New Roman" w:cs="Times New Roman"/>
              </w:rPr>
            </w:pPr>
            <w:r>
              <w:rPr>
                <w:rFonts w:hint="eastAsia" w:ascii="Times New Roman" w:hAnsi="Times New Roman" w:cs="Times New Roman"/>
              </w:rPr>
              <w:t>详细评审标准</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Times New Roman" w:hAnsi="Times New Roman" w:cs="Times New Roman"/>
              </w:rPr>
            </w:pPr>
            <w:r>
              <w:rPr>
                <w:rFonts w:hint="eastAsia" w:ascii="Times New Roman" w:hAnsi="Times New Roman" w:cs="Times New Roman"/>
              </w:rPr>
              <w:t>评审价计算</w:t>
            </w:r>
          </w:p>
        </w:tc>
        <w:tc>
          <w:tcPr>
            <w:tcW w:w="59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Times New Roman" w:hAnsi="Times New Roman" w:cs="Times New Roman"/>
              </w:rPr>
            </w:pPr>
            <w:r>
              <w:rPr>
                <w:rFonts w:hint="eastAsia" w:ascii="Times New Roman" w:hAnsi="Times New Roman" w:cs="Times New Roman"/>
              </w:rPr>
              <w:t>评审价＝报价函文字报价（大小写不一致时以大写为准）</w:t>
            </w:r>
          </w:p>
        </w:tc>
      </w:tr>
    </w:tbl>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cs="Times New Roman"/>
        </w:rPr>
      </w:pPr>
      <w:r>
        <w:rPr>
          <w:rFonts w:ascii="Times New Roman" w:hAnsi="Times New Roman" w:cs="Times New Roman"/>
        </w:rPr>
        <w:t>本次评</w:t>
      </w:r>
      <w:r>
        <w:rPr>
          <w:rFonts w:hint="eastAsia" w:ascii="Times New Roman" w:hAnsi="Times New Roman" w:cs="Times New Roman"/>
        </w:rPr>
        <w:t>审</w:t>
      </w:r>
      <w:r>
        <w:rPr>
          <w:rFonts w:ascii="Times New Roman" w:hAnsi="Times New Roman" w:cs="Times New Roman"/>
        </w:rPr>
        <w:t>采用经评审的最低价法。</w:t>
      </w:r>
      <w:r>
        <w:rPr>
          <w:rFonts w:hint="eastAsia" w:ascii="Times New Roman" w:hAnsi="Times New Roman" w:cs="Times New Roman"/>
        </w:rPr>
        <w:t>评审小组</w:t>
      </w:r>
      <w:r>
        <w:rPr>
          <w:rFonts w:ascii="Times New Roman" w:hAnsi="Times New Roman" w:cs="Times New Roman"/>
        </w:rPr>
        <w:t>对满足</w:t>
      </w:r>
      <w:r>
        <w:rPr>
          <w:rFonts w:hint="eastAsia" w:ascii="Times New Roman" w:hAnsi="Times New Roman" w:cs="Times New Roman"/>
        </w:rPr>
        <w:t>询比文件</w:t>
      </w:r>
      <w:r>
        <w:rPr>
          <w:rFonts w:ascii="Times New Roman" w:hAnsi="Times New Roman" w:cs="Times New Roman"/>
        </w:rPr>
        <w:t>实质性要求的</w:t>
      </w:r>
      <w:r>
        <w:rPr>
          <w:rFonts w:hint="eastAsia" w:ascii="Times New Roman" w:hAnsi="Times New Roman" w:cs="Times New Roman"/>
        </w:rPr>
        <w:t>响应</w:t>
      </w:r>
      <w:r>
        <w:rPr>
          <w:rFonts w:ascii="Times New Roman" w:hAnsi="Times New Roman" w:cs="Times New Roman"/>
        </w:rPr>
        <w:t>文件，按照</w:t>
      </w:r>
      <w:r>
        <w:rPr>
          <w:rFonts w:hint="eastAsia" w:ascii="Times New Roman" w:hAnsi="Times New Roman" w:cs="Times New Roman"/>
        </w:rPr>
        <w:t>评审</w:t>
      </w:r>
      <w:r>
        <w:rPr>
          <w:rFonts w:ascii="Times New Roman" w:hAnsi="Times New Roman" w:cs="Times New Roman"/>
        </w:rPr>
        <w:t>价由低到高的顺序依次推荐</w:t>
      </w:r>
      <w:r>
        <w:rPr>
          <w:rFonts w:hint="eastAsia" w:ascii="Times New Roman" w:hAnsi="Times New Roman" w:cs="Times New Roman"/>
        </w:rPr>
        <w:t>成交候选人</w:t>
      </w:r>
      <w:r>
        <w:rPr>
          <w:rFonts w:ascii="Times New Roman" w:hAnsi="Times New Roman" w:cs="Times New Roman"/>
        </w:rPr>
        <w:t>。如</w:t>
      </w:r>
      <w:r>
        <w:rPr>
          <w:rFonts w:hint="eastAsia" w:ascii="Times New Roman" w:hAnsi="Times New Roman" w:cs="Times New Roman"/>
        </w:rPr>
        <w:t>报价</w:t>
      </w:r>
      <w:r>
        <w:rPr>
          <w:rFonts w:ascii="Times New Roman" w:hAnsi="Times New Roman" w:cs="Times New Roman"/>
        </w:rPr>
        <w:t>相同的，按照</w:t>
      </w:r>
      <w:r>
        <w:rPr>
          <w:rFonts w:hint="eastAsia" w:ascii="Times New Roman" w:hAnsi="Times New Roman" w:cs="Times New Roman"/>
        </w:rPr>
        <w:t>评审</w:t>
      </w:r>
      <w:r>
        <w:rPr>
          <w:rFonts w:ascii="Times New Roman" w:hAnsi="Times New Roman" w:cs="Times New Roman"/>
        </w:rPr>
        <w:t>办法中的规定确定</w:t>
      </w:r>
      <w:r>
        <w:rPr>
          <w:rFonts w:hint="eastAsia" w:ascii="Times New Roman" w:hAnsi="Times New Roman" w:cs="Times New Roman"/>
        </w:rPr>
        <w:t>成交候选人</w:t>
      </w:r>
      <w:r>
        <w:rPr>
          <w:rFonts w:ascii="Times New Roman" w:hAnsi="Times New Roman" w:cs="Times New Roman"/>
        </w:rPr>
        <w:t>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cs="Times New Roman"/>
        </w:rPr>
      </w:pPr>
      <w:r>
        <w:rPr>
          <w:rFonts w:ascii="Times New Roman" w:hAnsi="Times New Roman" w:cs="Times New Roman"/>
        </w:rPr>
        <w:t>2.1.1 形式评审标准：见评审办法。</w:t>
      </w:r>
    </w:p>
    <w:p>
      <w:pPr>
        <w:spacing w:line="440" w:lineRule="exact"/>
        <w:ind w:firstLine="420"/>
        <w:rPr>
          <w:rFonts w:ascii="Times New Roman" w:hAnsi="Times New Roman" w:cs="Times New Roman"/>
        </w:rPr>
      </w:pPr>
      <w:r>
        <w:rPr>
          <w:rFonts w:ascii="Times New Roman" w:hAnsi="Times New Roman" w:cs="Times New Roman"/>
        </w:rPr>
        <w:t>2.1.2 资格评审标准：见评审办法。</w:t>
      </w:r>
    </w:p>
    <w:p>
      <w:pPr>
        <w:spacing w:line="440" w:lineRule="exact"/>
        <w:ind w:firstLine="420"/>
        <w:rPr>
          <w:rFonts w:ascii="Times New Roman" w:hAnsi="Times New Roman" w:cs="Times New Roman"/>
        </w:rPr>
      </w:pPr>
      <w:r>
        <w:rPr>
          <w:rFonts w:ascii="Times New Roman" w:hAnsi="Times New Roman" w:cs="Times New Roman"/>
        </w:rPr>
        <w:t>2.1.3 响应性评审标准：见评审办法。</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详细评审标准</w:t>
      </w:r>
    </w:p>
    <w:p>
      <w:pPr>
        <w:spacing w:line="440" w:lineRule="exact"/>
        <w:ind w:firstLine="420"/>
        <w:rPr>
          <w:rFonts w:ascii="Times New Roman" w:hAnsi="Times New Roman" w:cs="Times New Roman"/>
        </w:rPr>
      </w:pPr>
      <w:r>
        <w:rPr>
          <w:rFonts w:ascii="Times New Roman" w:hAnsi="Times New Roman" w:cs="Times New Roman"/>
        </w:rPr>
        <w:t>详细评审标准：见评审办法。</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cs="Times New Roman"/>
        </w:rPr>
      </w:pPr>
      <w:r>
        <w:rPr>
          <w:rFonts w:ascii="Times New Roman" w:hAnsi="Times New Roman" w:cs="Times New Roman"/>
        </w:rPr>
        <w:t>3.1.1</w:t>
      </w:r>
      <w:r>
        <w:rPr>
          <w:rFonts w:hint="eastAsia" w:ascii="Times New Roman" w:hAnsi="Times New Roman" w:cs="Times New Roman"/>
        </w:rPr>
        <w:t>评审小组</w:t>
      </w:r>
      <w:r>
        <w:rPr>
          <w:rFonts w:ascii="Times New Roman" w:hAnsi="Times New Roman" w:cs="Times New Roman"/>
        </w:rPr>
        <w:t>依据本章第2.1.1项、第2.1.2项、第2.1.3项规定的标准对响应文件进行评审。有一项不符合评审标准的，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 xml:space="preserve">2 </w:t>
      </w:r>
      <w:r>
        <w:rPr>
          <w:rFonts w:ascii="Times New Roman" w:hAnsi="Times New Roman" w:cs="Times New Roman"/>
        </w:rPr>
        <w:t>响应文件中填报</w:t>
      </w:r>
      <w:r>
        <w:rPr>
          <w:rFonts w:hint="eastAsia" w:ascii="Times New Roman" w:hAnsi="Times New Roman" w:cs="Times New Roman"/>
        </w:rPr>
        <w:t>服务期</w:t>
      </w:r>
      <w:r>
        <w:rPr>
          <w:rFonts w:ascii="Times New Roman" w:hAnsi="Times New Roman" w:cs="Times New Roman"/>
        </w:rPr>
        <w:t>、质量</w:t>
      </w:r>
      <w:r>
        <w:rPr>
          <w:rFonts w:hint="eastAsia" w:ascii="Times New Roman" w:hAnsi="Times New Roman" w:cs="Times New Roman"/>
        </w:rPr>
        <w:t>要求</w:t>
      </w:r>
      <w:r>
        <w:rPr>
          <w:rFonts w:ascii="Times New Roman" w:hAnsi="Times New Roman" w:cs="Times New Roman"/>
        </w:rPr>
        <w:t>、</w:t>
      </w:r>
      <w:r>
        <w:rPr>
          <w:rFonts w:hint="eastAsia" w:ascii="Times New Roman" w:hAnsi="Times New Roman" w:cs="Times New Roman"/>
          <w:lang w:val="en-US" w:eastAsia="zh-CN"/>
        </w:rPr>
        <w:t>成果要求</w:t>
      </w:r>
      <w:r>
        <w:rPr>
          <w:rFonts w:ascii="Times New Roman" w:hAnsi="Times New Roman" w:cs="Times New Roman"/>
        </w:rPr>
        <w:t>前后不一致时，</w:t>
      </w:r>
      <w:r>
        <w:rPr>
          <w:rFonts w:hint="eastAsia" w:ascii="Times New Roman" w:hAnsi="Times New Roman" w:cs="Times New Roman"/>
        </w:rPr>
        <w:t>按细微偏差处理。</w:t>
      </w:r>
    </w:p>
    <w:p>
      <w:pPr>
        <w:keepNext/>
        <w:keepLines/>
        <w:spacing w:before="120" w:after="120"/>
        <w:outlineLvl w:val="2"/>
        <w:rPr>
          <w:rFonts w:ascii="Times New Roman" w:hAnsi="Times New Roman" w:cs="Times New Roman"/>
        </w:rPr>
      </w:pPr>
      <w:r>
        <w:rPr>
          <w:rFonts w:ascii="Times New Roman" w:hAnsi="Times New Roman" w:eastAsia="黑体" w:cs="Times New Roman"/>
          <w:bCs/>
          <w:sz w:val="24"/>
          <w:szCs w:val="32"/>
        </w:rPr>
        <w:t>3.2 详细评审</w:t>
      </w:r>
    </w:p>
    <w:p>
      <w:pPr>
        <w:spacing w:line="440" w:lineRule="exact"/>
        <w:ind w:firstLine="44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按本章第2.2款规定</w:t>
      </w:r>
      <w:r>
        <w:rPr>
          <w:rFonts w:hint="eastAsia" w:ascii="Times New Roman" w:hAnsi="Times New Roman" w:cs="Times New Roman"/>
        </w:rPr>
        <w:t>进行评审价排序</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应对在评审过程中发现供应商存在串通报价、弄虚作假、行贿等违法行为的，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3.4响应文件的澄清和说明或补正</w:t>
      </w:r>
    </w:p>
    <w:p>
      <w:pPr>
        <w:spacing w:line="440" w:lineRule="exact"/>
        <w:ind w:firstLine="420"/>
        <w:rPr>
          <w:rFonts w:ascii="Times New Roman" w:hAnsi="Times New Roman" w:cs="Times New Roman"/>
        </w:rPr>
      </w:pPr>
      <w:r>
        <w:rPr>
          <w:rFonts w:ascii="Times New Roman" w:hAnsi="Times New Roman" w:cs="Times New Roman"/>
        </w:rPr>
        <w:t>3.4.1 在评审过程中，</w:t>
      </w:r>
      <w:r>
        <w:rPr>
          <w:rFonts w:hint="eastAsia" w:ascii="Times New Roman" w:hAnsi="Times New Roman" w:cs="Times New Roman"/>
        </w:rPr>
        <w:t>评审小组</w:t>
      </w:r>
      <w:r>
        <w:rPr>
          <w:rFonts w:ascii="Times New Roman" w:hAnsi="Times New Roman" w:cs="Times New Roman"/>
        </w:rPr>
        <w:t>可以书面形式要求供应商对响应文件中含义不明确、对同类问题表述不一致或者有明显文字</w:t>
      </w:r>
      <w:r>
        <w:rPr>
          <w:rFonts w:hint="eastAsia" w:ascii="Times New Roman" w:hAnsi="Times New Roman" w:cs="Times New Roman"/>
        </w:rPr>
        <w:t>错误</w:t>
      </w:r>
      <w:r>
        <w:rPr>
          <w:rFonts w:ascii="Times New Roman" w:hAnsi="Times New Roman" w:cs="Times New Roman"/>
        </w:rPr>
        <w:t>的内容做必要的澄清。</w:t>
      </w:r>
      <w:r>
        <w:rPr>
          <w:rFonts w:hint="eastAsia" w:ascii="Times New Roman" w:hAnsi="Times New Roman" w:cs="Times New Roman"/>
        </w:rPr>
        <w:t>评审小组</w:t>
      </w:r>
      <w:r>
        <w:rPr>
          <w:rFonts w:ascii="Times New Roman" w:hAnsi="Times New Roman" w:cs="Times New Roman"/>
        </w:rPr>
        <w:t>不接受供应商主动提出的澄清。</w:t>
      </w:r>
    </w:p>
    <w:p>
      <w:pPr>
        <w:spacing w:line="440" w:lineRule="exact"/>
        <w:ind w:firstLine="420"/>
        <w:rPr>
          <w:rFonts w:ascii="Times New Roman" w:hAnsi="Times New Roman" w:cs="Times New Roman"/>
        </w:rPr>
      </w:pPr>
      <w:r>
        <w:rPr>
          <w:rFonts w:ascii="Times New Roman" w:hAnsi="Times New Roman"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3.5 评审结果</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完成评审后，应当向采购人提交评审报告。评审报告应当如实记载以下内容：</w:t>
      </w:r>
    </w:p>
    <w:p>
      <w:pPr>
        <w:spacing w:line="440" w:lineRule="exact"/>
        <w:ind w:firstLine="420"/>
        <w:rPr>
          <w:rFonts w:ascii="Times New Roman" w:hAnsi="Times New Roman" w:cs="Times New Roman"/>
        </w:rPr>
      </w:pPr>
      <w:bookmarkStart w:id="124" w:name="_Toc218_WPSOffice_Level2"/>
      <w:bookmarkStart w:id="125" w:name="_Toc12245_WPSOffice_Level2"/>
      <w:bookmarkStart w:id="126" w:name="_Toc21524_WPSOffice_Level2"/>
      <w:r>
        <w:rPr>
          <w:rFonts w:ascii="Times New Roman" w:hAnsi="Times New Roman" w:cs="Times New Roman"/>
        </w:rPr>
        <w:t>（一）采购项目基本情况</w:t>
      </w:r>
      <w:bookmarkEnd w:id="124"/>
      <w:bookmarkEnd w:id="125"/>
      <w:bookmarkEnd w:id="126"/>
    </w:p>
    <w:p>
      <w:pPr>
        <w:spacing w:line="440" w:lineRule="exact"/>
        <w:ind w:firstLine="420"/>
        <w:rPr>
          <w:rFonts w:ascii="Times New Roman" w:hAnsi="Times New Roman" w:cs="Times New Roman"/>
        </w:rPr>
      </w:pPr>
      <w:bookmarkStart w:id="127" w:name="_Toc5856_WPSOffice_Level2"/>
      <w:bookmarkStart w:id="128" w:name="_Toc31322_WPSOffice_Level2"/>
      <w:bookmarkStart w:id="129" w:name="_Toc8414_WPSOffice_Level2"/>
      <w:r>
        <w:rPr>
          <w:rFonts w:ascii="Times New Roman" w:hAnsi="Times New Roman" w:cs="Times New Roman"/>
        </w:rPr>
        <w:t>（二）采购过程回顾</w:t>
      </w:r>
      <w:bookmarkEnd w:id="127"/>
      <w:bookmarkEnd w:id="128"/>
      <w:bookmarkEnd w:id="129"/>
    </w:p>
    <w:p>
      <w:pPr>
        <w:spacing w:line="440" w:lineRule="exact"/>
        <w:ind w:firstLine="420"/>
        <w:rPr>
          <w:rFonts w:ascii="Times New Roman" w:hAnsi="Times New Roman" w:cs="Times New Roman"/>
        </w:rPr>
      </w:pPr>
      <w:bookmarkStart w:id="130" w:name="_Toc2932_WPSOffice_Level2"/>
      <w:bookmarkStart w:id="131" w:name="_Toc1346_WPSOffice_Level2"/>
      <w:bookmarkStart w:id="132" w:name="_Toc15620_WPSOffice_Level2"/>
      <w:r>
        <w:rPr>
          <w:rFonts w:ascii="Times New Roman" w:hAnsi="Times New Roman" w:cs="Times New Roman"/>
        </w:rPr>
        <w:t>（三）评审小组成员名单</w:t>
      </w:r>
      <w:bookmarkEnd w:id="130"/>
      <w:bookmarkEnd w:id="131"/>
      <w:bookmarkEnd w:id="132"/>
    </w:p>
    <w:p>
      <w:pPr>
        <w:spacing w:line="440" w:lineRule="exact"/>
        <w:ind w:firstLine="420"/>
        <w:rPr>
          <w:rFonts w:ascii="Times New Roman" w:hAnsi="Times New Roman" w:cs="Times New Roman"/>
        </w:rPr>
      </w:pPr>
      <w:bookmarkStart w:id="133" w:name="_Toc32316_WPSOffice_Level2"/>
      <w:bookmarkStart w:id="134" w:name="_Toc14464_WPSOffice_Level2"/>
      <w:bookmarkStart w:id="135" w:name="_Toc14207_WPSOffice_Level2"/>
      <w:r>
        <w:rPr>
          <w:rFonts w:ascii="Times New Roman" w:hAnsi="Times New Roman" w:cs="Times New Roman"/>
        </w:rPr>
        <w:t>（四）询比评审工作</w:t>
      </w:r>
      <w:bookmarkEnd w:id="133"/>
      <w:bookmarkEnd w:id="134"/>
      <w:bookmarkEnd w:id="135"/>
    </w:p>
    <w:p>
      <w:pPr>
        <w:spacing w:line="440" w:lineRule="exact"/>
        <w:ind w:firstLine="420"/>
        <w:rPr>
          <w:rFonts w:ascii="Times New Roman" w:hAnsi="Times New Roman" w:cs="Times New Roman"/>
        </w:rPr>
      </w:pPr>
      <w:r>
        <w:rPr>
          <w:rFonts w:ascii="Times New Roman" w:hAnsi="Times New Roman" w:cs="Times New Roman"/>
        </w:rPr>
        <w:t>1、评审办法</w:t>
      </w:r>
    </w:p>
    <w:p>
      <w:pPr>
        <w:spacing w:line="440" w:lineRule="exact"/>
        <w:ind w:firstLine="420"/>
        <w:rPr>
          <w:rFonts w:ascii="Times New Roman" w:hAnsi="Times New Roman" w:cs="Times New Roman"/>
        </w:rPr>
      </w:pPr>
      <w:r>
        <w:rPr>
          <w:rFonts w:ascii="Times New Roman" w:hAnsi="Times New Roman" w:cs="Times New Roman"/>
        </w:rPr>
        <w:t>2、初步评审情况（资格审查、形式性审查、响应性审查）</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详细</w:t>
      </w:r>
      <w:r>
        <w:rPr>
          <w:rFonts w:ascii="Times New Roman" w:hAnsi="Times New Roman" w:cs="Times New Roman"/>
        </w:rPr>
        <w:t>评审情况</w:t>
      </w:r>
      <w:r>
        <w:rPr>
          <w:rFonts w:hint="eastAsia" w:ascii="Times New Roman" w:hAnsi="Times New Roman" w:cs="Times New Roman"/>
        </w:rPr>
        <w:t>（供应商的评审价评审情况）</w:t>
      </w:r>
    </w:p>
    <w:p>
      <w:pPr>
        <w:spacing w:line="440" w:lineRule="exact"/>
        <w:ind w:firstLine="420"/>
        <w:rPr>
          <w:rFonts w:ascii="Times New Roman" w:hAnsi="Times New Roman" w:cs="Times New Roman"/>
        </w:rPr>
      </w:pPr>
      <w:r>
        <w:rPr>
          <w:rFonts w:ascii="Times New Roman" w:hAnsi="Times New Roman" w:cs="Times New Roman"/>
        </w:rPr>
        <w:t>4、否决的供应商名单以及否决理由</w:t>
      </w:r>
    </w:p>
    <w:p>
      <w:pPr>
        <w:spacing w:line="440" w:lineRule="exact"/>
        <w:ind w:firstLine="420"/>
        <w:rPr>
          <w:rFonts w:ascii="Times New Roman" w:hAnsi="Times New Roman" w:cs="Times New Roman"/>
        </w:rPr>
      </w:pPr>
      <w:r>
        <w:rPr>
          <w:rFonts w:ascii="Times New Roman" w:hAnsi="Times New Roman" w:cs="Times New Roman"/>
        </w:rPr>
        <w:t>5、推荐候选供应商排序</w:t>
      </w:r>
    </w:p>
    <w:p>
      <w:pPr>
        <w:spacing w:line="440" w:lineRule="exact"/>
        <w:ind w:firstLine="420"/>
        <w:rPr>
          <w:rFonts w:ascii="Times New Roman" w:hAnsi="Times New Roman" w:cs="Times New Roman"/>
        </w:rPr>
      </w:pPr>
      <w:bookmarkStart w:id="136" w:name="_Toc3913_WPSOffice_Level2"/>
      <w:bookmarkStart w:id="137" w:name="_Toc13397_WPSOffice_Level2"/>
      <w:bookmarkStart w:id="138" w:name="_Toc5114_WPSOffice_Level2"/>
      <w:r>
        <w:rPr>
          <w:rFonts w:ascii="Times New Roman" w:hAnsi="Times New Roman" w:cs="Times New Roman"/>
        </w:rPr>
        <w:t>（五）需要说明的其他事项</w:t>
      </w:r>
      <w:bookmarkEnd w:id="136"/>
      <w:bookmarkEnd w:id="137"/>
      <w:bookmarkEnd w:id="138"/>
    </w:p>
    <w:p>
      <w:pPr>
        <w:spacing w:line="440" w:lineRule="exact"/>
        <w:ind w:firstLine="420"/>
        <w:rPr>
          <w:rFonts w:ascii="Times New Roman" w:hAnsi="Times New Roman" w:cs="Times New Roman"/>
        </w:rPr>
      </w:pPr>
      <w:bookmarkStart w:id="139" w:name="_Toc23800_WPSOffice_Level2"/>
      <w:bookmarkStart w:id="140" w:name="_Toc8934_WPSOffice_Level2"/>
      <w:bookmarkStart w:id="141" w:name="_Toc3031_WPSOffice_Level2"/>
      <w:r>
        <w:rPr>
          <w:rFonts w:ascii="Times New Roman" w:hAnsi="Times New Roman" w:cs="Times New Roman"/>
        </w:rPr>
        <w:t>（六）评审附表</w:t>
      </w:r>
      <w:bookmarkEnd w:id="139"/>
      <w:bookmarkEnd w:id="140"/>
      <w:bookmarkEnd w:id="141"/>
    </w:p>
    <w:p>
      <w:pPr>
        <w:spacing w:line="440" w:lineRule="exact"/>
        <w:ind w:firstLine="420"/>
        <w:rPr>
          <w:rFonts w:ascii="Times New Roman" w:hAnsi="Times New Roman" w:cs="Times New Roman"/>
        </w:rPr>
      </w:pPr>
      <w:r>
        <w:rPr>
          <w:rFonts w:ascii="Times New Roman" w:hAnsi="Times New Roman" w:cs="Times New Roman"/>
        </w:rPr>
        <w:t>1、响应文件开启记录表</w:t>
      </w:r>
    </w:p>
    <w:p>
      <w:pPr>
        <w:spacing w:line="440" w:lineRule="exact"/>
        <w:ind w:firstLine="420"/>
        <w:rPr>
          <w:rFonts w:ascii="Times New Roman" w:hAnsi="Times New Roman" w:cs="Times New Roman"/>
        </w:rPr>
      </w:pPr>
      <w:r>
        <w:rPr>
          <w:rFonts w:ascii="Times New Roman" w:hAnsi="Times New Roman" w:cs="Times New Roman"/>
        </w:rPr>
        <w:t>2、评审表格</w:t>
      </w:r>
    </w:p>
    <w:p>
      <w:pPr>
        <w:rPr>
          <w:rFonts w:ascii="Times New Roman" w:hAnsi="Times New Roman" w:cs="Times New Roman"/>
        </w:rPr>
      </w:pPr>
      <w:r>
        <w:rPr>
          <w:rFonts w:ascii="Times New Roman" w:hAnsi="Times New Roman" w:cs="Times New Roman"/>
        </w:rPr>
        <w:br w:type="page"/>
      </w:r>
    </w:p>
    <w:p>
      <w:pPr>
        <w:pStyle w:val="2"/>
        <w:rPr>
          <w:rFonts w:ascii="Times New Roman" w:hAnsi="Times New Roman"/>
        </w:rPr>
      </w:pPr>
    </w:p>
    <w:p>
      <w:pPr>
        <w:widowControl/>
        <w:jc w:val="left"/>
        <w:rPr>
          <w:rFonts w:ascii="Times New Roman" w:hAnsi="Times New Roman" w:eastAsia="宋体" w:cs="Times New Roman"/>
        </w:rPr>
      </w:pPr>
    </w:p>
    <w:p>
      <w:pPr>
        <w:rPr>
          <w:rFonts w:ascii="Times New Roman" w:hAnsi="Times New Roman" w:eastAsia="宋体" w:cs="Times New Roman"/>
        </w:rPr>
      </w:pPr>
    </w:p>
    <w:p>
      <w:pPr>
        <w:pStyle w:val="2"/>
        <w:rPr>
          <w:rFonts w:ascii="Times New Roman" w:hAnsi="Times New Roman" w:eastAsia="宋体" w:cs="Times New Roman"/>
        </w:rPr>
      </w:pPr>
    </w:p>
    <w:p>
      <w:pPr>
        <w:pStyle w:val="20"/>
        <w:outlineLvl w:val="9"/>
        <w:rPr>
          <w:rFonts w:ascii="Times New Roman" w:hAnsi="Times New Roman" w:eastAsia="宋体" w:cs="Times New Roman"/>
        </w:rPr>
      </w:pPr>
    </w:p>
    <w:p>
      <w:pPr>
        <w:rPr>
          <w:rFonts w:ascii="Times New Roman" w:hAnsi="Times New Roman" w:eastAsia="宋体" w:cs="Times New Roman"/>
        </w:rPr>
      </w:pPr>
    </w:p>
    <w:p>
      <w:pPr>
        <w:pStyle w:val="2"/>
        <w:rPr>
          <w:rFonts w:ascii="Times New Roman" w:hAnsi="Times New Roman" w:eastAsia="宋体" w:cs="Times New Roman"/>
        </w:rPr>
      </w:pPr>
    </w:p>
    <w:p>
      <w:pPr>
        <w:pStyle w:val="20"/>
        <w:outlineLvl w:val="9"/>
        <w:rPr>
          <w:rFonts w:ascii="Times New Roman" w:hAnsi="Times New Roman" w:eastAsia="宋体" w:cs="Times New Roman"/>
        </w:rPr>
      </w:pPr>
    </w:p>
    <w:p>
      <w:pPr>
        <w:rPr>
          <w:rFonts w:ascii="Times New Roman" w:hAnsi="Times New Roman" w:eastAsia="宋体" w:cs="Times New Roman"/>
        </w:rPr>
      </w:pPr>
    </w:p>
    <w:p>
      <w:pPr>
        <w:pStyle w:val="2"/>
        <w:rPr>
          <w:rFonts w:ascii="Times New Roman" w:hAnsi="Times New Roman" w:eastAsia="宋体" w:cs="Times New Roman"/>
        </w:rPr>
      </w:pPr>
    </w:p>
    <w:p>
      <w:pPr>
        <w:pStyle w:val="20"/>
        <w:jc w:val="both"/>
        <w:outlineLvl w:val="9"/>
        <w:rPr>
          <w:rFonts w:ascii="Times New Roman" w:hAnsi="Times New Roman" w:eastAsia="宋体" w:cs="Times New Roman"/>
        </w:rPr>
      </w:pPr>
    </w:p>
    <w:p/>
    <w:p/>
    <w:p>
      <w:pPr>
        <w:pStyle w:val="3"/>
        <w:numPr>
          <w:ilvl w:val="255"/>
          <w:numId w:val="0"/>
        </w:numPr>
        <w:spacing w:before="312" w:after="312"/>
        <w:rPr>
          <w:rFonts w:ascii="Times New Roman" w:hAnsi="Times New Roman" w:eastAsia="宋体" w:cs="Times New Roman"/>
        </w:rPr>
      </w:pPr>
      <w:bookmarkStart w:id="142" w:name="_Toc17480_WPSOffice_Level1"/>
      <w:r>
        <w:rPr>
          <w:rFonts w:hint="eastAsia" w:ascii="Times New Roman" w:hAnsi="Times New Roman" w:eastAsia="宋体" w:cs="Times New Roman"/>
        </w:rPr>
        <w:t xml:space="preserve">第四章 </w:t>
      </w:r>
      <w:r>
        <w:rPr>
          <w:rFonts w:ascii="Times New Roman" w:hAnsi="Times New Roman" w:eastAsia="宋体" w:cs="Times New Roman"/>
        </w:rPr>
        <w:t>合同内容</w:t>
      </w:r>
      <w:bookmarkEnd w:id="142"/>
    </w:p>
    <w:p>
      <w:pPr>
        <w:jc w:val="center"/>
        <w:rPr>
          <w:rFonts w:ascii="Times New Roman" w:hAnsi="Times New Roman" w:cs="Times New Roman"/>
          <w:sz w:val="28"/>
        </w:rPr>
      </w:pPr>
      <w:bookmarkStart w:id="143" w:name="_Toc16698_WPSOffice_Level2"/>
      <w:bookmarkStart w:id="144" w:name="_Toc12005"/>
      <w:bookmarkStart w:id="145" w:name="_Toc447808679"/>
      <w:r>
        <w:rPr>
          <w:rFonts w:ascii="Times New Roman" w:hAnsi="Times New Roman" w:cs="Times New Roman"/>
          <w:sz w:val="28"/>
        </w:rPr>
        <w:br w:type="page"/>
      </w:r>
    </w:p>
    <w:bookmarkEnd w:id="143"/>
    <w:bookmarkEnd w:id="144"/>
    <w:bookmarkEnd w:id="145"/>
    <w:p>
      <w:pPr>
        <w:jc w:val="center"/>
        <w:outlineLvl w:val="1"/>
        <w:rPr>
          <w:rFonts w:hint="eastAsia" w:ascii="Times New Roman" w:hAnsi="Times New Roman" w:cs="Times New Roman"/>
        </w:rPr>
      </w:pPr>
      <w:bookmarkStart w:id="146" w:name="_bookmark259"/>
      <w:bookmarkEnd w:id="146"/>
      <w:r>
        <w:rPr>
          <w:rFonts w:hint="eastAsia" w:hAnsi="宋体"/>
          <w:b/>
          <w:color w:val="000000"/>
          <w:sz w:val="36"/>
        </w:rPr>
        <w:t>一、服务采购合同</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甲方：</w:t>
      </w:r>
      <w:r>
        <w:rPr>
          <w:rFonts w:hint="eastAsia" w:ascii="Times New Roman" w:hAnsi="Times New Roman" w:cs="Times New Roman"/>
          <w:u w:val="single"/>
          <w:lang w:val="en-US" w:eastAsia="zh-CN"/>
        </w:rPr>
        <w:t xml:space="preserve">                                            </w:t>
      </w:r>
      <w:r>
        <w:rPr>
          <w:rFonts w:hint="eastAsia" w:ascii="Times New Roman" w:hAnsi="Times New Roman" w:cs="Times New Roman"/>
        </w:rPr>
        <w:t xml:space="preserve"> </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乙方：</w:t>
      </w:r>
      <w:r>
        <w:rPr>
          <w:rFonts w:hint="eastAsia" w:ascii="Times New Roman" w:hAnsi="Times New Roman" w:cs="Times New Roman"/>
          <w:u w:val="single"/>
          <w:lang w:val="en-US" w:eastAsia="zh-CN"/>
        </w:rPr>
        <w:t xml:space="preserve">                                            </w:t>
      </w:r>
      <w:r>
        <w:rPr>
          <w:rFonts w:hint="eastAsia" w:ascii="Times New Roman" w:hAnsi="Times New Roman" w:cs="Times New Roman"/>
        </w:rPr>
        <w:t xml:space="preserve"> </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甲方向乙方采购</w:t>
      </w:r>
      <w:r>
        <w:rPr>
          <w:rFonts w:hint="eastAsia" w:ascii="Times New Roman" w:hAnsi="Times New Roman" w:cs="Times New Roman"/>
          <w:u w:val="single"/>
          <w:lang w:val="en-US" w:eastAsia="zh-CN"/>
        </w:rPr>
        <w:t xml:space="preserve">                    </w:t>
      </w:r>
      <w:r>
        <w:rPr>
          <w:rFonts w:hint="eastAsia" w:ascii="Times New Roman" w:hAnsi="Times New Roman" w:cs="Times New Roman"/>
        </w:rPr>
        <w:t>事宜，为进一步明确双方的责任，确保合同的顺利履行，根据《中华人民共和国</w:t>
      </w:r>
      <w:r>
        <w:rPr>
          <w:rFonts w:hint="eastAsia" w:ascii="Times New Roman" w:hAnsi="Times New Roman" w:cs="Times New Roman"/>
        </w:rPr>
        <w:fldChar w:fldCharType="begin"/>
      </w:r>
      <w:r>
        <w:rPr>
          <w:rFonts w:hint="eastAsia" w:ascii="Times New Roman" w:hAnsi="Times New Roman" w:cs="Times New Roman"/>
        </w:rPr>
        <w:instrText xml:space="preserve"> HYPERLINK "http://www.chinalawedu.com/sifakaoshi/ziliao/minfa/hetongfa/" \t "_blank" \o "合同法" </w:instrText>
      </w:r>
      <w:r>
        <w:rPr>
          <w:rFonts w:hint="eastAsia" w:ascii="Times New Roman" w:hAnsi="Times New Roman" w:cs="Times New Roman"/>
        </w:rPr>
        <w:fldChar w:fldCharType="separate"/>
      </w:r>
      <w:r>
        <w:rPr>
          <w:rFonts w:hint="eastAsia" w:ascii="Times New Roman" w:hAnsi="Times New Roman" w:cs="Times New Roman"/>
        </w:rPr>
        <w:t>合同法</w:t>
      </w:r>
      <w:r>
        <w:rPr>
          <w:rFonts w:hint="eastAsia" w:ascii="Times New Roman" w:hAnsi="Times New Roman" w:cs="Times New Roman"/>
        </w:rPr>
        <w:fldChar w:fldCharType="end"/>
      </w:r>
      <w:r>
        <w:rPr>
          <w:rFonts w:hint="eastAsia" w:ascii="Times New Roman" w:hAnsi="Times New Roman" w:cs="Times New Roman"/>
        </w:rPr>
        <w:t>》及相关</w:t>
      </w:r>
      <w:r>
        <w:rPr>
          <w:rFonts w:hint="eastAsia" w:ascii="Times New Roman" w:hAnsi="Times New Roman" w:cs="Times New Roman"/>
        </w:rPr>
        <w:fldChar w:fldCharType="begin"/>
      </w:r>
      <w:r>
        <w:rPr>
          <w:rFonts w:hint="eastAsia" w:ascii="Times New Roman" w:hAnsi="Times New Roman" w:cs="Times New Roman"/>
        </w:rPr>
        <w:instrText xml:space="preserve"> HYPERLINK "http://www.chinalawedu.com" \t "_blank" \o "法律" </w:instrText>
      </w:r>
      <w:r>
        <w:rPr>
          <w:rFonts w:hint="eastAsia" w:ascii="Times New Roman" w:hAnsi="Times New Roman" w:cs="Times New Roman"/>
        </w:rPr>
        <w:fldChar w:fldCharType="separate"/>
      </w:r>
      <w:r>
        <w:rPr>
          <w:rFonts w:hint="eastAsia" w:ascii="Times New Roman" w:hAnsi="Times New Roman" w:cs="Times New Roman"/>
        </w:rPr>
        <w:t>法律</w:t>
      </w:r>
      <w:r>
        <w:rPr>
          <w:rFonts w:hint="eastAsia" w:ascii="Times New Roman" w:hAnsi="Times New Roman" w:cs="Times New Roman"/>
        </w:rPr>
        <w:fldChar w:fldCharType="end"/>
      </w:r>
      <w:r>
        <w:rPr>
          <w:rFonts w:hint="eastAsia" w:ascii="Times New Roman" w:hAnsi="Times New Roman" w:cs="Times New Roman"/>
        </w:rPr>
        <w:t>、</w:t>
      </w:r>
      <w:r>
        <w:rPr>
          <w:rFonts w:hint="eastAsia" w:ascii="Times New Roman" w:hAnsi="Times New Roman" w:cs="Times New Roman"/>
        </w:rPr>
        <w:fldChar w:fldCharType="begin"/>
      </w:r>
      <w:r>
        <w:rPr>
          <w:rFonts w:hint="eastAsia" w:ascii="Times New Roman" w:hAnsi="Times New Roman" w:cs="Times New Roman"/>
        </w:rPr>
        <w:instrText xml:space="preserve"> HYPERLINK "http://www.chinalawedu.com/falvfagui/" \t "_blank" \o "法规" </w:instrText>
      </w:r>
      <w:r>
        <w:rPr>
          <w:rFonts w:hint="eastAsia" w:ascii="Times New Roman" w:hAnsi="Times New Roman" w:cs="Times New Roman"/>
        </w:rPr>
        <w:fldChar w:fldCharType="separate"/>
      </w:r>
      <w:r>
        <w:rPr>
          <w:rFonts w:hint="eastAsia" w:ascii="Times New Roman" w:hAnsi="Times New Roman" w:cs="Times New Roman"/>
        </w:rPr>
        <w:t>法规</w:t>
      </w:r>
      <w:r>
        <w:rPr>
          <w:rFonts w:hint="eastAsia" w:ascii="Times New Roman" w:hAnsi="Times New Roman" w:cs="Times New Roman"/>
        </w:rPr>
        <w:fldChar w:fldCharType="end"/>
      </w:r>
      <w:r>
        <w:rPr>
          <w:rFonts w:hint="eastAsia" w:ascii="Times New Roman" w:hAnsi="Times New Roman" w:cs="Times New Roman"/>
        </w:rPr>
        <w:t>的规定， 遵循平等、自愿、公平和诚信的原则，甲乙双方协商一致，兹有关事项达成如下协议：</w:t>
      </w:r>
    </w:p>
    <w:p>
      <w:pPr>
        <w:widowControl/>
        <w:spacing w:line="440" w:lineRule="exact"/>
        <w:ind w:firstLine="420"/>
        <w:jc w:val="left"/>
        <w:outlineLvl w:val="2"/>
        <w:rPr>
          <w:rFonts w:hint="default" w:ascii="Times New Roman" w:hAnsi="Times New Roman" w:cs="Times New Roman" w:eastAsiaTheme="minorEastAsia"/>
          <w:u w:val="single"/>
          <w:lang w:val="en-US" w:eastAsia="zh-CN"/>
        </w:rPr>
      </w:pPr>
      <w:r>
        <w:rPr>
          <w:rFonts w:hint="eastAsia" w:ascii="Times New Roman" w:hAnsi="Times New Roman" w:cs="Times New Roman"/>
        </w:rPr>
        <w:t>第一条 服务名称</w:t>
      </w:r>
      <w:r>
        <w:rPr>
          <w:rFonts w:hint="eastAsia" w:ascii="Times New Roman" w:hAnsi="Times New Roman" w:cs="Times New Roman"/>
          <w:lang w:eastAsia="zh-CN"/>
        </w:rPr>
        <w:t>：</w:t>
      </w:r>
      <w:r>
        <w:rPr>
          <w:rFonts w:hint="eastAsia" w:ascii="Times New Roman" w:hAnsi="Times New Roman" w:cs="Times New Roman"/>
          <w:u w:val="single"/>
          <w:lang w:val="en-US" w:eastAsia="zh-CN"/>
        </w:rPr>
        <w:t xml:space="preserve">                             </w:t>
      </w:r>
    </w:p>
    <w:p>
      <w:pPr>
        <w:widowControl/>
        <w:spacing w:line="440" w:lineRule="exact"/>
        <w:ind w:firstLine="420"/>
        <w:jc w:val="left"/>
        <w:outlineLvl w:val="2"/>
        <w:rPr>
          <w:rFonts w:hint="default" w:ascii="Times New Roman" w:hAnsi="Times New Roman" w:cs="Times New Roman" w:eastAsiaTheme="minorEastAsia"/>
          <w:u w:val="single"/>
          <w:lang w:val="en-US" w:eastAsia="zh-CN"/>
        </w:rPr>
      </w:pPr>
      <w:r>
        <w:rPr>
          <w:rFonts w:hint="eastAsia" w:ascii="Times New Roman" w:hAnsi="Times New Roman" w:cs="Times New Roman"/>
        </w:rPr>
        <w:t>第二条 服务地点</w:t>
      </w:r>
      <w:r>
        <w:rPr>
          <w:rFonts w:hint="eastAsia" w:ascii="Times New Roman" w:hAnsi="Times New Roman" w:cs="Times New Roman"/>
          <w:lang w:eastAsia="zh-CN"/>
        </w:rPr>
        <w:t>：</w:t>
      </w:r>
      <w:r>
        <w:rPr>
          <w:rFonts w:hint="eastAsia" w:ascii="Times New Roman" w:hAnsi="Times New Roman" w:cs="Times New Roman"/>
          <w:u w:val="single"/>
          <w:lang w:val="en-US" w:eastAsia="zh-CN"/>
        </w:rPr>
        <w:t xml:space="preserve">                             </w:t>
      </w:r>
    </w:p>
    <w:p>
      <w:pPr>
        <w:widowControl/>
        <w:spacing w:line="440" w:lineRule="exact"/>
        <w:ind w:firstLine="420"/>
        <w:jc w:val="left"/>
        <w:outlineLvl w:val="2"/>
        <w:rPr>
          <w:rFonts w:hint="default" w:ascii="Times New Roman" w:hAnsi="Times New Roman" w:cs="Times New Roman" w:eastAsiaTheme="minorEastAsia"/>
          <w:u w:val="single"/>
          <w:lang w:val="en-US" w:eastAsia="zh-CN"/>
        </w:rPr>
      </w:pPr>
      <w:r>
        <w:rPr>
          <w:rFonts w:hint="eastAsia" w:ascii="Times New Roman" w:hAnsi="Times New Roman" w:cs="Times New Roman"/>
        </w:rPr>
        <w:t xml:space="preserve">第三条 服务范围 </w:t>
      </w:r>
      <w:r>
        <w:rPr>
          <w:rFonts w:hint="eastAsia" w:ascii="Times New Roman" w:hAnsi="Times New Roman" w:cs="Times New Roman"/>
          <w:lang w:eastAsia="zh-CN"/>
        </w:rPr>
        <w:t>：</w:t>
      </w:r>
      <w:r>
        <w:rPr>
          <w:rFonts w:hint="eastAsia" w:ascii="Times New Roman" w:hAnsi="Times New Roman" w:cs="Times New Roman"/>
          <w:u w:val="single"/>
          <w:lang w:val="en-US" w:eastAsia="zh-CN"/>
        </w:rPr>
        <w:t xml:space="preserve">                            </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本项目采购的内容为：</w:t>
      </w:r>
    </w:p>
    <w:p>
      <w:pPr>
        <w:widowControl/>
        <w:spacing w:line="440" w:lineRule="exact"/>
        <w:ind w:firstLine="420"/>
        <w:jc w:val="left"/>
        <w:rPr>
          <w:rFonts w:hint="eastAsia" w:ascii="Times New Roman" w:hAnsi="Times New Roman" w:cs="Times New Roman"/>
          <w:lang w:val="en-US" w:eastAsia="zh-CN"/>
        </w:rPr>
      </w:pPr>
      <w:r>
        <w:rPr>
          <w:rFonts w:hint="eastAsia" w:ascii="Times New Roman" w:hAnsi="Times New Roman" w:cs="Times New Roman"/>
          <w:lang w:val="en-US" w:eastAsia="zh-CN"/>
        </w:rPr>
        <w:t>项目管理平台前端：项目管理、记录表管理、检测标准管理、仪器库管理；</w:t>
      </w:r>
    </w:p>
    <w:p>
      <w:pPr>
        <w:widowControl/>
        <w:spacing w:line="440" w:lineRule="exact"/>
        <w:ind w:firstLine="420"/>
        <w:jc w:val="left"/>
        <w:rPr>
          <w:rFonts w:hint="eastAsia" w:ascii="Times New Roman" w:hAnsi="Times New Roman" w:cs="Times New Roman"/>
          <w:lang w:val="en-US" w:eastAsia="zh-CN"/>
        </w:rPr>
      </w:pPr>
      <w:r>
        <w:rPr>
          <w:rFonts w:hint="eastAsia" w:ascii="Times New Roman" w:hAnsi="Times New Roman" w:cs="Times New Roman"/>
          <w:lang w:val="en-US" w:eastAsia="zh-CN"/>
        </w:rPr>
        <w:t>项目管理平台后台：组织机构管理、用户管理、权限管理；</w:t>
      </w:r>
    </w:p>
    <w:p>
      <w:pPr>
        <w:widowControl/>
        <w:spacing w:line="440" w:lineRule="exact"/>
        <w:ind w:firstLine="420"/>
        <w:jc w:val="left"/>
        <w:rPr>
          <w:rFonts w:hint="eastAsia" w:ascii="Times New Roman" w:hAnsi="Times New Roman" w:cs="Times New Roman"/>
          <w:lang w:val="en-US" w:eastAsia="zh-CN"/>
        </w:rPr>
      </w:pPr>
      <w:r>
        <w:rPr>
          <w:rFonts w:hint="eastAsia" w:ascii="Times New Roman" w:hAnsi="Times New Roman" w:cs="Times New Roman"/>
          <w:lang w:val="en-US" w:eastAsia="zh-CN"/>
        </w:rPr>
        <w:t>数据采集：外观检查、路面技术状况（高速公路）、广告牌检测、需涵盖的受控记录表、支持平台；</w:t>
      </w:r>
    </w:p>
    <w:p>
      <w:pPr>
        <w:widowControl/>
        <w:spacing w:line="440" w:lineRule="exact"/>
        <w:ind w:firstLine="420"/>
        <w:jc w:val="left"/>
        <w:rPr>
          <w:rFonts w:hint="eastAsia" w:ascii="Times New Roman" w:hAnsi="Times New Roman" w:cs="Times New Roman"/>
          <w:lang w:val="en-US" w:eastAsia="zh-CN"/>
        </w:rPr>
      </w:pPr>
      <w:r>
        <w:rPr>
          <w:rFonts w:hint="eastAsia" w:ascii="Times New Roman" w:hAnsi="Times New Roman" w:cs="Times New Roman"/>
          <w:lang w:val="en-US" w:eastAsia="zh-CN"/>
        </w:rPr>
        <w:t>数据处理：外观检查、路面技术状况（高速公路）、广告牌检测、过程计算；</w:t>
      </w:r>
    </w:p>
    <w:p>
      <w:pPr>
        <w:widowControl/>
        <w:spacing w:line="440" w:lineRule="exact"/>
        <w:ind w:firstLine="420"/>
        <w:jc w:val="left"/>
        <w:rPr>
          <w:rFonts w:hint="eastAsia" w:ascii="Times New Roman" w:hAnsi="Times New Roman" w:cs="Times New Roman"/>
          <w:lang w:val="en-US" w:eastAsia="zh-CN"/>
        </w:rPr>
      </w:pPr>
      <w:r>
        <w:rPr>
          <w:rFonts w:hint="eastAsia" w:ascii="Times New Roman" w:hAnsi="Times New Roman" w:cs="Times New Roman"/>
          <w:lang w:val="en-US" w:eastAsia="zh-CN"/>
        </w:rPr>
        <w:t>数据输出：外观检查、路面技术状况（高速公路）、广告牌检测、需涵盖的受控记录表、数据加工、报告生成；</w:t>
      </w:r>
    </w:p>
    <w:p>
      <w:pPr>
        <w:widowControl/>
        <w:spacing w:line="440" w:lineRule="exact"/>
        <w:ind w:firstLine="420"/>
        <w:jc w:val="left"/>
        <w:rPr>
          <w:rFonts w:hint="eastAsia" w:ascii="Times New Roman" w:hAnsi="Times New Roman" w:cs="Times New Roman"/>
          <w:lang w:val="en-US" w:eastAsia="zh-CN"/>
        </w:rPr>
      </w:pPr>
      <w:r>
        <w:rPr>
          <w:rFonts w:hint="eastAsia" w:ascii="Times New Roman" w:hAnsi="Times New Roman" w:cs="Times New Roman"/>
          <w:lang w:val="en-US" w:eastAsia="zh-CN"/>
        </w:rPr>
        <w:t>其它需求：报告汇总（基桩完整性）、人机交互、界面设计、痕迹管理</w:t>
      </w:r>
    </w:p>
    <w:p>
      <w:pPr>
        <w:widowControl/>
        <w:spacing w:line="440" w:lineRule="exact"/>
        <w:ind w:firstLine="420"/>
        <w:jc w:val="left"/>
        <w:outlineLvl w:val="2"/>
        <w:rPr>
          <w:rFonts w:hint="eastAsia" w:ascii="Times New Roman" w:hAnsi="Times New Roman" w:cs="Times New Roman"/>
        </w:rPr>
      </w:pPr>
      <w:r>
        <w:rPr>
          <w:rFonts w:hint="eastAsia" w:ascii="Times New Roman" w:hAnsi="Times New Roman" w:cs="Times New Roman"/>
        </w:rPr>
        <w:t>第四条 服务目标</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（一）乙方按合同约定研发并交付一套</w:t>
      </w:r>
      <w:r>
        <w:rPr>
          <w:rFonts w:hint="eastAsia" w:ascii="Times New Roman" w:hAnsi="Times New Roman" w:cs="Times New Roman"/>
          <w:lang w:val="en-US" w:eastAsia="zh-CN"/>
        </w:rPr>
        <w:t>外检数据处理信息化系统软件</w:t>
      </w:r>
      <w:r>
        <w:rPr>
          <w:rFonts w:hint="eastAsia" w:ascii="Times New Roman" w:hAnsi="Times New Roman" w:cs="Times New Roman"/>
        </w:rPr>
        <w:t>，并在此基础上完成</w:t>
      </w:r>
      <w:r>
        <w:rPr>
          <w:rFonts w:hint="eastAsia" w:ascii="Times New Roman" w:hAnsi="Times New Roman" w:cs="Times New Roman"/>
          <w:lang w:val="en-US" w:eastAsia="zh-CN"/>
        </w:rPr>
        <w:t>外检数据处理信息化系统软件</w:t>
      </w:r>
      <w:r>
        <w:rPr>
          <w:rFonts w:hint="eastAsia" w:ascii="Times New Roman" w:hAnsi="Times New Roman" w:cs="Times New Roman"/>
        </w:rPr>
        <w:t>的开发、创建，并保障系统正常稳定运行；</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w:t>
      </w:r>
      <w:r>
        <w:rPr>
          <w:rFonts w:hint="eastAsia" w:ascii="Times New Roman" w:hAnsi="Times New Roman" w:cs="Times New Roman"/>
          <w:lang w:val="en-US" w:eastAsia="zh-CN"/>
        </w:rPr>
        <w:t>二</w:t>
      </w:r>
      <w:r>
        <w:rPr>
          <w:rFonts w:hint="eastAsia" w:ascii="Times New Roman" w:hAnsi="Times New Roman" w:cs="Times New Roman"/>
        </w:rPr>
        <w:t>）乙方充分利用相关项目经验，发挥技术优势，为甲方提供</w:t>
      </w:r>
      <w:r>
        <w:rPr>
          <w:rFonts w:hint="eastAsia" w:ascii="Times New Roman" w:hAnsi="Times New Roman" w:cs="Times New Roman"/>
          <w:lang w:val="en-US" w:eastAsia="zh-CN"/>
        </w:rPr>
        <w:t>外检数据处理信息化系统软件</w:t>
      </w:r>
      <w:r>
        <w:rPr>
          <w:rFonts w:hint="eastAsia" w:ascii="Times New Roman" w:hAnsi="Times New Roman" w:cs="Times New Roman"/>
        </w:rPr>
        <w:t>方面的业务培训和技术支持服务，提高甲方的</w:t>
      </w:r>
      <w:r>
        <w:rPr>
          <w:rFonts w:hint="eastAsia" w:ascii="Times New Roman" w:hAnsi="Times New Roman" w:cs="Times New Roman"/>
          <w:lang w:val="en-US" w:eastAsia="zh-CN"/>
        </w:rPr>
        <w:t>外检工作的便捷性、高效性</w:t>
      </w:r>
      <w:r>
        <w:rPr>
          <w:rFonts w:hint="eastAsia" w:ascii="Times New Roman" w:hAnsi="Times New Roman" w:cs="Times New Roman"/>
        </w:rPr>
        <w:t>。</w:t>
      </w:r>
    </w:p>
    <w:p>
      <w:pPr>
        <w:widowControl/>
        <w:spacing w:line="440" w:lineRule="exact"/>
        <w:ind w:firstLine="420"/>
        <w:jc w:val="left"/>
        <w:outlineLvl w:val="2"/>
        <w:rPr>
          <w:rFonts w:hint="eastAsia" w:ascii="Times New Roman" w:hAnsi="Times New Roman" w:cs="Times New Roman"/>
        </w:rPr>
      </w:pPr>
      <w:r>
        <w:rPr>
          <w:rFonts w:hint="eastAsia" w:ascii="Times New Roman" w:hAnsi="Times New Roman" w:cs="Times New Roman"/>
        </w:rPr>
        <w:t>第五条 服务期限</w:t>
      </w:r>
    </w:p>
    <w:p>
      <w:pPr>
        <w:widowControl/>
        <w:spacing w:line="440" w:lineRule="exact"/>
        <w:ind w:firstLine="420"/>
        <w:jc w:val="left"/>
        <w:outlineLvl w:val="2"/>
        <w:rPr>
          <w:rFonts w:hint="eastAsia" w:ascii="Times New Roman" w:hAnsi="Times New Roman" w:cs="Times New Roman"/>
        </w:rPr>
      </w:pPr>
      <w:r>
        <w:rPr>
          <w:rFonts w:hint="eastAsia" w:ascii="Times New Roman" w:hAnsi="Times New Roman" w:cs="Times New Roman"/>
        </w:rPr>
        <w:t>第六条 合同价款及支付方式</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（一）本合同为单价合同，根据工程量清单所列的数量和单价或总额价计算的签约合同价：人民币（大写）</w:t>
      </w:r>
      <w:r>
        <w:rPr>
          <w:rFonts w:hint="eastAsia" w:ascii="Times New Roman" w:hAnsi="Times New Roman" w:cs="Times New Roman"/>
          <w:u w:val="single"/>
        </w:rPr>
        <w:t xml:space="preserve">  </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rPr>
        <w:t xml:space="preserve">   </w:t>
      </w:r>
      <w:r>
        <w:rPr>
          <w:rFonts w:hint="eastAsia" w:ascii="Times New Roman" w:hAnsi="Times New Roman" w:cs="Times New Roman"/>
        </w:rPr>
        <w:t>元（￥</w:t>
      </w:r>
      <w:r>
        <w:rPr>
          <w:rFonts w:hint="eastAsia" w:ascii="Times New Roman" w:hAnsi="Times New Roman" w:cs="Times New Roman"/>
          <w:lang w:eastAsia="zh-CN"/>
        </w:rPr>
        <w:t>：</w:t>
      </w:r>
      <w:r>
        <w:rPr>
          <w:rFonts w:hint="eastAsia" w:ascii="Times New Roman" w:hAnsi="Times New Roman" w:cs="Times New Roman"/>
          <w:u w:val="single"/>
          <w:lang w:val="en-US" w:eastAsia="zh-CN"/>
        </w:rPr>
        <w:t xml:space="preserve">               </w:t>
      </w:r>
      <w:r>
        <w:rPr>
          <w:rFonts w:hint="eastAsia" w:ascii="Times New Roman" w:hAnsi="Times New Roman" w:cs="Times New Roman"/>
        </w:rPr>
        <w:t>）。</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（二）支付方式</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1.本项目的支付进度如下：</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（1）乙方完成</w:t>
      </w:r>
      <w:r>
        <w:rPr>
          <w:rFonts w:hint="eastAsia" w:ascii="Times New Roman" w:hAnsi="Times New Roman" w:cs="Times New Roman"/>
          <w:lang w:val="en-US" w:eastAsia="zh-CN"/>
        </w:rPr>
        <w:t>系统</w:t>
      </w:r>
      <w:r>
        <w:rPr>
          <w:rFonts w:hint="eastAsia" w:ascii="Times New Roman" w:hAnsi="Times New Roman" w:cs="Times New Roman"/>
        </w:rPr>
        <w:t>开发、安装、部署、调试，完成全部系统且正常运行，并经项目业主验收合格后，甲方向乙方支付至合同款的9</w:t>
      </w:r>
      <w:r>
        <w:rPr>
          <w:rFonts w:hint="eastAsia" w:ascii="Times New Roman" w:hAnsi="Times New Roman" w:cs="Times New Roman"/>
          <w:lang w:val="en-US" w:eastAsia="zh-CN"/>
        </w:rPr>
        <w:t>5</w:t>
      </w:r>
      <w:r>
        <w:rPr>
          <w:rFonts w:hint="eastAsia" w:ascii="Times New Roman" w:hAnsi="Times New Roman" w:cs="Times New Roman"/>
        </w:rPr>
        <w:t>%；</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（2）1年维护期结束后，甲方向乙方支付至合同款的100%。</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2.付款前，承包人须根据相应项目类别提供符合国家规定的增值税专用发票。</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3.乙方开户银行名称、地址和帐号为：</w:t>
      </w:r>
    </w:p>
    <w:p>
      <w:pPr>
        <w:widowControl/>
        <w:spacing w:line="440" w:lineRule="exact"/>
        <w:ind w:firstLine="420"/>
        <w:jc w:val="left"/>
        <w:rPr>
          <w:rFonts w:hint="eastAsia" w:ascii="Times New Roman" w:hAnsi="Times New Roman" w:cs="Times New Roman"/>
          <w:u w:val="single"/>
        </w:rPr>
      </w:pPr>
      <w:r>
        <w:rPr>
          <w:rFonts w:hint="eastAsia" w:ascii="Times New Roman" w:hAnsi="Times New Roman" w:cs="Times New Roman"/>
        </w:rPr>
        <w:t>开户银行：</w:t>
      </w:r>
      <w:r>
        <w:rPr>
          <w:rFonts w:hint="eastAsia" w:ascii="Times New Roman" w:hAnsi="Times New Roman" w:cs="Times New Roman"/>
          <w:u w:val="single"/>
        </w:rPr>
        <w:t xml:space="preserve">                               </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地    址：</w:t>
      </w:r>
      <w:r>
        <w:rPr>
          <w:rFonts w:hint="eastAsia" w:ascii="Times New Roman" w:hAnsi="Times New Roman" w:cs="Times New Roman"/>
          <w:u w:val="single"/>
        </w:rPr>
        <w:t xml:space="preserve">                               </w:t>
      </w:r>
      <w:r>
        <w:rPr>
          <w:rFonts w:hint="eastAsia" w:ascii="Times New Roman" w:hAnsi="Times New Roman" w:cs="Times New Roman"/>
        </w:rPr>
        <w:t xml:space="preserve">           </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帐    号：</w:t>
      </w:r>
      <w:r>
        <w:rPr>
          <w:rFonts w:hint="eastAsia" w:ascii="Times New Roman" w:hAnsi="Times New Roman" w:cs="Times New Roman"/>
          <w:u w:val="single"/>
        </w:rPr>
        <w:t xml:space="preserve">                               </w:t>
      </w:r>
      <w:r>
        <w:rPr>
          <w:rFonts w:hint="eastAsia" w:ascii="Times New Roman" w:hAnsi="Times New Roman" w:cs="Times New Roman"/>
        </w:rPr>
        <w:t xml:space="preserve">   </w:t>
      </w:r>
    </w:p>
    <w:p>
      <w:pPr>
        <w:widowControl/>
        <w:spacing w:line="440" w:lineRule="exact"/>
        <w:ind w:firstLine="420"/>
        <w:jc w:val="left"/>
        <w:outlineLvl w:val="2"/>
        <w:rPr>
          <w:rFonts w:hint="eastAsia" w:ascii="Times New Roman" w:hAnsi="Times New Roman" w:cs="Times New Roman"/>
        </w:rPr>
      </w:pPr>
      <w:r>
        <w:rPr>
          <w:rFonts w:hint="eastAsia" w:ascii="Times New Roman" w:hAnsi="Times New Roman" w:cs="Times New Roman"/>
        </w:rPr>
        <w:t>第七条 甲方的权利与义务</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（一）甲方应提供</w:t>
      </w:r>
      <w:r>
        <w:rPr>
          <w:rFonts w:hint="eastAsia" w:ascii="Times New Roman" w:hAnsi="Times New Roman" w:cs="Times New Roman"/>
          <w:lang w:eastAsia="zh-CN"/>
        </w:rPr>
        <w:t>外检数据处理信息化研发及技术服务</w:t>
      </w:r>
      <w:r>
        <w:rPr>
          <w:rFonts w:hint="eastAsia" w:ascii="Times New Roman" w:hAnsi="Times New Roman" w:cs="Times New Roman"/>
        </w:rPr>
        <w:t>的技术资料及传感器等设备资料；</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（二）甲方应按合同约定在乙方完全履行合同义务后及时向乙方支付服务费用；</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（三）甲方有权随时对乙方在合同期内的履约情况和服务工作开展情况进行监督检查考核，并将检查考核结果作为计量结算依据；</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（四）如果乙方提供的软件的功能、质量与合同不符，或证实是有缺陷的，甲方应在一个月内以书面形式通知乙方，提出索赔；</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（五）如果乙方在收到通知后30天内没有弥补缺陷，甲方可采取必要的补救措施，但风险和费用将由乙方承担。</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（六）提供安装部署本软件所需要的服务器、存储设备和网络条件。</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（七）乙方为甲方开发的软件知识产权归甲方所有，未经甲方书面同意，乙方不得将相关代码、资料提供给任何第三方。</w:t>
      </w:r>
    </w:p>
    <w:p>
      <w:pPr>
        <w:widowControl/>
        <w:spacing w:line="440" w:lineRule="exact"/>
        <w:ind w:firstLine="420"/>
        <w:jc w:val="left"/>
        <w:outlineLvl w:val="2"/>
        <w:rPr>
          <w:rFonts w:hint="eastAsia" w:ascii="Times New Roman" w:hAnsi="Times New Roman" w:cs="Times New Roman"/>
        </w:rPr>
      </w:pPr>
      <w:r>
        <w:rPr>
          <w:rFonts w:hint="eastAsia" w:ascii="Times New Roman" w:hAnsi="Times New Roman" w:cs="Times New Roman"/>
        </w:rPr>
        <w:t>第八条 乙方的权利与义务</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（一）乙方应严格按照合同要求和双方约定履行服务义务，根据甲方要求足额配备人员，并在规定期限内完成相关工作任务；</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（二）乙方应保证提供的软件开发服务是完全符合合同规定的质量、功能和性能要求。</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（四）在履行合同过程中，如果乙方遇到不能按时交付和提供服务的情况，应及时以书面形式将不能按时交付的理由、延误时间通知甲方。甲方在收到乙方通知后可根据实际情况酌情处理；</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（五）乙方在开展工作时须无条件接受甲方的监督与管理，乙方的服务工作应配合甲方项目整体实施计划；</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（六）乙方不得将本服务工作对外分包、转包，否则甲方可解除合同。</w:t>
      </w:r>
    </w:p>
    <w:p>
      <w:pPr>
        <w:widowControl/>
        <w:spacing w:line="440" w:lineRule="exact"/>
        <w:ind w:firstLine="420"/>
        <w:jc w:val="left"/>
        <w:outlineLvl w:val="2"/>
        <w:rPr>
          <w:rFonts w:hint="eastAsia" w:ascii="Times New Roman" w:hAnsi="Times New Roman" w:cs="Times New Roman"/>
        </w:rPr>
      </w:pPr>
      <w:r>
        <w:rPr>
          <w:rFonts w:hint="eastAsia" w:ascii="Times New Roman" w:hAnsi="Times New Roman" w:cs="Times New Roman"/>
        </w:rPr>
        <w:t>第九条 双方违约责任</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（一）甲方</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1、如甲方未按合同约定按时支付乙方费用，除继续支付相关费用外，还应承担乙方相应的银行活期存款利息；</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2、如甲方无故要求解除合同，则需要支付乙方合同金额的10%作为赔偿费用。</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（二）乙方</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1、如乙方无故要求解除合同,则需要支付甲方本合同暂定金额的10%作为赔偿费用。</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2、除第十条规定的不可抗力外，如果乙方没有按照合同规定的时间提供服务，甲方可每天按合同总价的5‰扣除违约金，逾期交付违约金限额为5%签约合同价。甲方有权终止合同，并按合同约定及法律规定追究乙方的违约责任。</w:t>
      </w:r>
    </w:p>
    <w:p>
      <w:pPr>
        <w:widowControl/>
        <w:spacing w:line="440" w:lineRule="exact"/>
        <w:ind w:firstLine="420"/>
        <w:jc w:val="left"/>
        <w:outlineLvl w:val="2"/>
        <w:rPr>
          <w:rFonts w:hint="eastAsia" w:ascii="Times New Roman" w:hAnsi="Times New Roman" w:cs="Times New Roman"/>
        </w:rPr>
      </w:pPr>
      <w:bookmarkStart w:id="147" w:name="_Toc162083553"/>
      <w:r>
        <w:rPr>
          <w:rFonts w:hint="eastAsia" w:ascii="Times New Roman" w:hAnsi="Times New Roman" w:cs="Times New Roman"/>
        </w:rPr>
        <w:t>第十条 不可抗力</w:t>
      </w:r>
      <w:bookmarkEnd w:id="147"/>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（一）如果双方中任何一方由于战争、严重火灾、水灾、台风和地震以及其它经双方同意属于不可抗力的事故，致使合同履行受阻时，履行合同的期限应予以延长，延长的期限应相当于事故所影响的时间。</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二）受事故影响的一方应在不可抗力事故发生后尽快以电报、传真或电传通知另一方，并在事故发生后14天内，将有关部门出具的证明文件用特快专递寄给或送给另一方。如果不可抗力影响时间延续120天以上，双方应通过友好协商在合理的时间内达成进一步履行合同的协议。</w:t>
      </w:r>
    </w:p>
    <w:p>
      <w:pPr>
        <w:widowControl/>
        <w:spacing w:line="440" w:lineRule="exact"/>
        <w:ind w:firstLine="420"/>
        <w:jc w:val="left"/>
        <w:outlineLvl w:val="2"/>
        <w:rPr>
          <w:rFonts w:hint="eastAsia" w:ascii="Times New Roman" w:hAnsi="Times New Roman" w:cs="Times New Roman"/>
        </w:rPr>
      </w:pPr>
      <w:r>
        <w:rPr>
          <w:rFonts w:hint="eastAsia" w:ascii="Times New Roman" w:hAnsi="Times New Roman" w:cs="Times New Roman"/>
        </w:rPr>
        <w:t>第十一条 合同解除和终止</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（一）合同履约期满自行终止；</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（二）因国家政策变动、行业主管部门管理要求或其他原因，致使合同无法履行，甲乙双方经协商一致可提前终止合同。</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（三）甲方有权不定期考察乙方服务情况，如乙方服务违反本合同约定或继续合作损害甲方利益的，甲方经书面通知乙方后有权提前解约。合同提前终止或解除的，双方应继续履行已发生业务并结清费用。</w:t>
      </w:r>
    </w:p>
    <w:p>
      <w:pPr>
        <w:widowControl/>
        <w:spacing w:line="440" w:lineRule="exact"/>
        <w:ind w:firstLine="420"/>
        <w:jc w:val="left"/>
        <w:outlineLvl w:val="2"/>
        <w:rPr>
          <w:rFonts w:hint="eastAsia" w:ascii="Times New Roman" w:hAnsi="Times New Roman" w:cs="Times New Roman"/>
        </w:rPr>
      </w:pPr>
      <w:r>
        <w:rPr>
          <w:rFonts w:hint="eastAsia" w:ascii="Times New Roman" w:hAnsi="Times New Roman" w:cs="Times New Roman"/>
        </w:rPr>
        <w:t>第十二条 其它</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（一）甲方指定</w:t>
      </w:r>
      <w:r>
        <w:rPr>
          <w:rFonts w:hint="eastAsia" w:ascii="Times New Roman" w:hAnsi="Times New Roman" w:cs="Times New Roman"/>
          <w:u w:val="single"/>
        </w:rPr>
        <w:t xml:space="preserve">   </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rPr>
        <w:t xml:space="preserve">   </w:t>
      </w:r>
      <w:r>
        <w:rPr>
          <w:rFonts w:hint="eastAsia" w:ascii="Times New Roman" w:hAnsi="Times New Roman" w:cs="Times New Roman"/>
        </w:rPr>
        <w:t>作为本项目的项目负责人及业务联系人，乙方指定</w:t>
      </w:r>
      <w:r>
        <w:rPr>
          <w:rFonts w:hint="eastAsia" w:ascii="Times New Roman" w:hAnsi="Times New Roman" w:cs="Times New Roman"/>
          <w:u w:val="single"/>
        </w:rPr>
        <w:t xml:space="preserve">   </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rPr>
        <w:t xml:space="preserve">   </w:t>
      </w:r>
      <w:r>
        <w:rPr>
          <w:rFonts w:hint="eastAsia" w:ascii="Times New Roman" w:hAnsi="Times New Roman" w:cs="Times New Roman"/>
        </w:rPr>
        <w:t>本项目的项目负责人及业务联系人，以便甲乙双方在项目开展过程中进行沟通协调，确保各项工作按时按质按量完成。</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（二）本合同未尽事宜，由双方协商解决，凡经双方同意并签字盖章的文件均视为本合同之补充文件，与本合同具有同等效力。</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（三）本合同一式肆份，双方各执贰份，具有同等法律效力。双方签字盖章生效。</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（四）如履行合同过程中发生争议，双方应本着平等自愿的原则，按照合同的约定分清各自的责任，采用协商的办法解决争议，若双方不愿协商或者协商不成的，向甲方所在地仲裁机构申请仲裁或人民法院起诉。</w:t>
      </w:r>
    </w:p>
    <w:p>
      <w:pPr>
        <w:widowControl/>
        <w:spacing w:line="440" w:lineRule="exact"/>
        <w:ind w:firstLine="420"/>
        <w:jc w:val="left"/>
        <w:rPr>
          <w:rFonts w:hint="eastAsia" w:ascii="Times New Roman" w:hAnsi="Times New Roman" w:cs="Times New Roman"/>
        </w:rPr>
      </w:pPr>
    </w:p>
    <w:p>
      <w:pPr>
        <w:widowControl/>
        <w:spacing w:line="440" w:lineRule="exact"/>
        <w:ind w:firstLine="420"/>
        <w:jc w:val="left"/>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本页无正文</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 xml:space="preserve">甲方:                                   乙方： </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法定代表人                              法定代表人</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或其委托代理人： 　            　       或其委托代理人：</w:t>
      </w:r>
    </w:p>
    <w:p>
      <w:pPr>
        <w:widowControl/>
        <w:spacing w:line="440" w:lineRule="exact"/>
        <w:ind w:firstLine="420"/>
        <w:jc w:val="left"/>
        <w:rPr>
          <w:rFonts w:hint="eastAsia" w:ascii="Times New Roman" w:hAnsi="Times New Roman" w:cs="Times New Roman"/>
        </w:rPr>
        <w:sectPr>
          <w:pgSz w:w="11906" w:h="16838"/>
          <w:pgMar w:top="1440" w:right="1366" w:bottom="1440" w:left="1500" w:header="851" w:footer="992" w:gutter="0"/>
          <w:cols w:space="720" w:num="1"/>
          <w:docGrid w:type="lines" w:linePitch="312" w:charSpace="0"/>
        </w:sectPr>
      </w:pPr>
      <w:r>
        <w:rPr>
          <w:rFonts w:hint="eastAsia" w:ascii="Times New Roman" w:hAnsi="Times New Roman" w:cs="Times New Roman"/>
        </w:rPr>
        <w:t xml:space="preserve">签约时间： 　年   月  日　              签约时间： 　年   月  日 </w:t>
      </w:r>
    </w:p>
    <w:p>
      <w:pPr>
        <w:jc w:val="center"/>
        <w:outlineLvl w:val="1"/>
        <w:rPr>
          <w:rFonts w:hint="eastAsia" w:hAnsi="宋体"/>
          <w:b/>
          <w:color w:val="000000"/>
          <w:sz w:val="36"/>
        </w:rPr>
      </w:pPr>
      <w:r>
        <w:rPr>
          <w:rFonts w:hint="eastAsia" w:hAnsi="宋体"/>
          <w:b/>
          <w:color w:val="000000"/>
          <w:sz w:val="36"/>
          <w:lang w:val="en-US" w:eastAsia="zh-CN"/>
        </w:rPr>
        <w:t>二、</w:t>
      </w:r>
      <w:r>
        <w:rPr>
          <w:rFonts w:hint="eastAsia" w:hAnsi="宋体"/>
          <w:b/>
          <w:color w:val="000000"/>
          <w:sz w:val="36"/>
        </w:rPr>
        <w:t>廉 政 合 同</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Times New Roman" w:hAnsi="Times New Roman" w:cs="Times New Roman"/>
          <w:u w:val="single"/>
        </w:rPr>
        <w:t xml:space="preserve">                     </w:t>
      </w:r>
      <w:r>
        <w:rPr>
          <w:rFonts w:hint="eastAsia" w:ascii="Times New Roman" w:hAnsi="Times New Roman" w:cs="Times New Roman"/>
        </w:rPr>
        <w:t>（项目名称）接收了</w:t>
      </w:r>
      <w:r>
        <w:rPr>
          <w:rFonts w:hint="eastAsia" w:ascii="Times New Roman" w:hAnsi="Times New Roman" w:cs="Times New Roman"/>
          <w:lang w:val="en-US" w:eastAsia="zh-CN"/>
        </w:rPr>
        <w:t>供应商</w:t>
      </w:r>
      <w:r>
        <w:rPr>
          <w:rFonts w:hint="eastAsia" w:ascii="Times New Roman" w:hAnsi="Times New Roman" w:cs="Times New Roman"/>
        </w:rPr>
        <w:t>对该项目的报价，现由该项目的</w:t>
      </w:r>
      <w:r>
        <w:rPr>
          <w:rFonts w:hint="eastAsia" w:ascii="Times New Roman" w:hAnsi="Times New Roman" w:cs="Times New Roman"/>
          <w:lang w:val="en-US" w:eastAsia="zh-CN"/>
        </w:rPr>
        <w:t>供应商</w:t>
      </w:r>
      <w:r>
        <w:rPr>
          <w:rFonts w:hint="eastAsia" w:ascii="Times New Roman" w:hAnsi="Times New Roman" w:cs="Times New Roman"/>
          <w:u w:val="single"/>
        </w:rPr>
        <w:t xml:space="preserve">                </w:t>
      </w:r>
      <w:r>
        <w:rPr>
          <w:rFonts w:hint="eastAsia" w:ascii="Times New Roman" w:hAnsi="Times New Roman" w:cs="Times New Roman"/>
        </w:rPr>
        <w:t>(</w:t>
      </w:r>
      <w:r>
        <w:rPr>
          <w:rFonts w:hint="eastAsia" w:ascii="Times New Roman" w:hAnsi="Times New Roman" w:cs="Times New Roman"/>
          <w:lang w:val="en-US" w:eastAsia="zh-CN"/>
        </w:rPr>
        <w:t>供应商</w:t>
      </w:r>
      <w:r>
        <w:rPr>
          <w:rFonts w:hint="eastAsia" w:ascii="Times New Roman" w:hAnsi="Times New Roman" w:cs="Times New Roman"/>
        </w:rPr>
        <w:t xml:space="preserve">名称，以下简称“乙方”)为一方和 </w:t>
      </w:r>
      <w:r>
        <w:rPr>
          <w:rFonts w:hint="eastAsia" w:ascii="Times New Roman" w:hAnsi="Times New Roman" w:cs="Times New Roman"/>
          <w:u w:val="single"/>
        </w:rPr>
        <w:t xml:space="preserve">             </w:t>
      </w:r>
      <w:r>
        <w:rPr>
          <w:rFonts w:hint="eastAsia" w:ascii="Times New Roman" w:hAnsi="Times New Roman" w:cs="Times New Roman"/>
        </w:rPr>
        <w:t xml:space="preserve"> (询价人名称，以下简称“甲方”)，特订立如下合同。</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1. 甲方和乙方双方的权利和义务</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(1) 严格遵守党的政策规定和国家有关法律法规及交通运输部的有关规定。</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(2) 严格执行</w:t>
      </w:r>
      <w:r>
        <w:rPr>
          <w:rFonts w:hint="eastAsia" w:ascii="Times New Roman" w:hAnsi="Times New Roman" w:cs="Times New Roman"/>
          <w:u w:val="single"/>
        </w:rPr>
        <w:t xml:space="preserve">                       </w:t>
      </w:r>
      <w:r>
        <w:rPr>
          <w:rFonts w:hint="eastAsia" w:ascii="Times New Roman" w:hAnsi="Times New Roman" w:cs="Times New Roman"/>
        </w:rPr>
        <w:t>（项目名称）合同文件，自觉按合同办事。</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(3) 双方的业务活动坚持公开、公正、诚信、透明的原则(法律认定的商业秘密和合同文件另有规定除外)，不得损害国家和集体利益，不得违反工程建设管理规章制度。</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(4) 建立健全廉政制度，开展廉政教育，设立廉政告示牌，公布举报电话，监督并认真查处违法违纪行为。</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(5) 发现对方在业务活动中有违反廉政规定的行为，有及时提醒对方纠正的权利和义务。</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(6) 发现对方严重违反本合同义务条款的行为，有向其上级有关部门举报、建议给予处理并要求告知处理结果的权利。</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2. 甲方的义务</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(1) 甲方及其工作人员不得索要或接受乙方的礼金、有价证券和贵重物品，不得让乙方报销任何应由甲方或甲方工作人员个人支付的费用等。</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(2) 甲方工作人员不得参加乙方安排的超标准宴请和娱乐活动；不得接受乙方提供的通讯工具、交通工具和高档办公用品等。</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(3) 甲方及其工作人员不得要求或者接受乙方为其住房装修、婚丧嫁娶活动、配偶子女的工作安排以及出国出境、旅游等提供方便等。</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(4) 甲方工作人员及其配偶、子女不得从事与甲方工程有关的材料设备供应、工程分包、劳务等经济活动等。</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(5) 甲方及其工作人员不得以任何理由向乙方推荐分包单位或推销材料，不得要求乙方购买合同规定外的材料和设备。</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(6) 甲方工作人员要秉公办事，不准营私舞弊，不准利用职权从事各种个人有偿中介活动和安排个人施工队伍。</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3. 乙方的义务</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(1) 乙方不得以任何理由向甲方及其工作人员行贿或馈赠礼金、有价证券、贵重礼品。</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(2) 乙方不得以任何名义为甲方及其工作人员报销应由甲方单位或个人支付的任何费用。</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(3) 乙方不得以任何理由安排甲方工作人员参加超标准宴请及娱乐活动。</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(4) 乙方不得为甲方单位和个人购置或提供通信工具、交通工具和高档办公用品等。</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4. 违约责任</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(1) 甲方及其工作人员违反本合同第1、2条，按管理权限，依据有关规定给予党纪、政纪或组织处理；涉嫌犯罪的，移交司法机关追究刑事责任；给乙方单位造成经济损失的，应予以赔偿。</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(2) 乙方及其工作人员违反本合同第1、3条，按管理权限，依据有关规定给予党纪、政纪或组织处理；给甲方单位造成经济损失的，应予以赔偿；情节严重的，甲方建议交通运输主管部门给予乙方一至三年内不得进入其主管的公路建设市场的处罚。</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5.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6. 本合同有效期为甲方和乙方签署之日起至该工程项目竣工验收后止。</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7. 本合同作为</w:t>
      </w:r>
      <w:r>
        <w:rPr>
          <w:rFonts w:hint="eastAsia" w:ascii="Times New Roman" w:hAnsi="Times New Roman" w:cs="Times New Roman"/>
          <w:u w:val="single"/>
        </w:rPr>
        <w:t xml:space="preserve">              </w:t>
      </w:r>
      <w:r>
        <w:rPr>
          <w:rFonts w:hint="eastAsia" w:ascii="Times New Roman" w:hAnsi="Times New Roman" w:cs="Times New Roman"/>
        </w:rPr>
        <w:t>（项目名称）合同的附件，与工程合同具有同等的法律效力，经合同双方签署后立即生效。</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8. 本合同壹式捌份，双方各执肆份。</w:t>
      </w:r>
    </w:p>
    <w:p>
      <w:pPr>
        <w:widowControl/>
        <w:spacing w:line="440" w:lineRule="exact"/>
        <w:ind w:firstLine="420"/>
        <w:jc w:val="left"/>
        <w:rPr>
          <w:rFonts w:hint="eastAsia" w:ascii="Times New Roman" w:hAnsi="Times New Roman" w:cs="Times New Roman"/>
        </w:rPr>
      </w:pP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 xml:space="preserve">甲方：                                乙方：                                 </w:t>
      </w:r>
    </w:p>
    <w:p>
      <w:pPr>
        <w:widowControl/>
        <w:spacing w:line="440" w:lineRule="exact"/>
        <w:ind w:firstLine="420"/>
        <w:jc w:val="left"/>
        <w:rPr>
          <w:rFonts w:hint="eastAsia" w:ascii="Times New Roman" w:hAnsi="Times New Roman" w:cs="Times New Roman"/>
        </w:rPr>
      </w:pP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法定代表人：                         法定代表人：</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或                                   或</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委托代理人：                         委托代理人：</w:t>
      </w:r>
    </w:p>
    <w:p>
      <w:pPr>
        <w:widowControl/>
        <w:spacing w:line="440" w:lineRule="exact"/>
        <w:ind w:firstLine="420"/>
        <w:jc w:val="left"/>
        <w:rPr>
          <w:rFonts w:hint="eastAsia" w:ascii="Times New Roman" w:hAnsi="Times New Roman" w:cs="Times New Roman"/>
        </w:rPr>
      </w:pP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 xml:space="preserve">日期：                               日期： </w:t>
      </w:r>
    </w:p>
    <w:p>
      <w:pPr>
        <w:widowControl/>
        <w:spacing w:line="440" w:lineRule="exact"/>
        <w:jc w:val="left"/>
        <w:rPr>
          <w:rFonts w:ascii="Times New Roman" w:hAnsi="Times New Roman" w:cs="Times New Roman"/>
          <w:szCs w:val="21"/>
        </w:rPr>
      </w:pPr>
      <w:r>
        <w:rPr>
          <w:rFonts w:ascii="Times New Roman" w:hAnsi="Times New Roman" w:cs="Times New Roman"/>
          <w:szCs w:val="21"/>
        </w:rPr>
        <w:br w:type="page"/>
      </w:r>
    </w:p>
    <w:p>
      <w:pPr>
        <w:pStyle w:val="3"/>
        <w:numPr>
          <w:ilvl w:val="255"/>
          <w:numId w:val="0"/>
        </w:numPr>
        <w:spacing w:before="240" w:after="240"/>
        <w:ind w:left="402"/>
        <w:jc w:val="both"/>
        <w:outlineLvl w:val="9"/>
        <w:rPr>
          <w:rFonts w:ascii="Times New Roman" w:hAnsi="Times New Roman" w:eastAsia="宋体" w:cs="Times New Roman"/>
        </w:rPr>
      </w:pPr>
      <w:bookmarkStart w:id="148" w:name="_Toc14756_WPSOffice_Level1"/>
    </w:p>
    <w:p>
      <w:pPr>
        <w:pStyle w:val="3"/>
        <w:numPr>
          <w:ilvl w:val="255"/>
          <w:numId w:val="0"/>
        </w:numPr>
        <w:spacing w:before="240" w:after="240"/>
        <w:ind w:left="402"/>
        <w:jc w:val="both"/>
        <w:outlineLvl w:val="9"/>
        <w:rPr>
          <w:rFonts w:ascii="Times New Roman" w:hAnsi="Times New Roman" w:eastAsia="宋体" w:cs="Times New Roman"/>
        </w:rPr>
      </w:pPr>
    </w:p>
    <w:p>
      <w:pPr>
        <w:pStyle w:val="3"/>
        <w:numPr>
          <w:ilvl w:val="255"/>
          <w:numId w:val="0"/>
        </w:numPr>
        <w:spacing w:before="240" w:after="240"/>
        <w:ind w:left="402"/>
        <w:jc w:val="both"/>
        <w:outlineLvl w:val="9"/>
        <w:rPr>
          <w:rFonts w:ascii="Times New Roman" w:hAnsi="Times New Roman" w:eastAsia="宋体" w:cs="Times New Roman"/>
        </w:rPr>
      </w:pPr>
    </w:p>
    <w:p/>
    <w:p>
      <w:pPr>
        <w:pStyle w:val="3"/>
        <w:numPr>
          <w:ilvl w:val="255"/>
          <w:numId w:val="0"/>
        </w:numPr>
        <w:spacing w:before="240" w:after="240"/>
        <w:ind w:left="402"/>
        <w:jc w:val="both"/>
        <w:outlineLvl w:val="9"/>
        <w:rPr>
          <w:rFonts w:ascii="Times New Roman" w:hAnsi="Times New Roman" w:eastAsia="宋体" w:cs="Times New Roman"/>
        </w:rPr>
      </w:pPr>
    </w:p>
    <w:p>
      <w:pPr>
        <w:pStyle w:val="3"/>
        <w:numPr>
          <w:ilvl w:val="255"/>
          <w:numId w:val="0"/>
        </w:numPr>
        <w:spacing w:before="240" w:after="240"/>
        <w:ind w:left="402"/>
        <w:jc w:val="both"/>
        <w:outlineLvl w:val="9"/>
        <w:rPr>
          <w:rFonts w:ascii="Times New Roman" w:hAnsi="Times New Roman" w:eastAsia="宋体" w:cs="Times New Roman"/>
        </w:rPr>
      </w:pPr>
    </w:p>
    <w:p>
      <w:pPr>
        <w:pStyle w:val="3"/>
        <w:numPr>
          <w:ilvl w:val="255"/>
          <w:numId w:val="0"/>
        </w:numPr>
        <w:spacing w:before="240" w:after="240"/>
        <w:ind w:left="402"/>
        <w:outlineLvl w:val="9"/>
        <w:rPr>
          <w:rFonts w:ascii="Times New Roman" w:hAnsi="Times New Roman" w:eastAsia="宋体" w:cs="Times New Roman"/>
        </w:rPr>
      </w:pPr>
    </w:p>
    <w:p>
      <w:pPr>
        <w:pStyle w:val="3"/>
        <w:numPr>
          <w:ilvl w:val="255"/>
          <w:numId w:val="0"/>
        </w:numPr>
        <w:spacing w:before="240" w:after="240"/>
        <w:ind w:left="402"/>
        <w:rPr>
          <w:rFonts w:ascii="Times New Roman" w:hAnsi="Times New Roman" w:eastAsia="宋体" w:cs="Times New Roman"/>
        </w:rPr>
      </w:pPr>
      <w:r>
        <w:rPr>
          <w:rFonts w:hint="eastAsia" w:ascii="Times New Roman" w:hAnsi="Times New Roman" w:eastAsia="宋体" w:cs="Times New Roman"/>
        </w:rPr>
        <w:t xml:space="preserve">第五章 </w:t>
      </w:r>
      <w:r>
        <w:rPr>
          <w:rFonts w:ascii="Times New Roman" w:hAnsi="Times New Roman" w:eastAsia="宋体" w:cs="Times New Roman"/>
        </w:rPr>
        <w:t>采购需求及清单</w:t>
      </w:r>
      <w:bookmarkEnd w:id="148"/>
    </w:p>
    <w:p>
      <w:pPr>
        <w:pStyle w:val="4"/>
        <w:numPr>
          <w:ilvl w:val="0"/>
          <w:numId w:val="0"/>
        </w:numPr>
        <w:snapToGrid w:val="0"/>
        <w:spacing w:before="120" w:after="120" w:line="240" w:lineRule="auto"/>
        <w:ind w:left="630"/>
        <w:jc w:val="center"/>
        <w:outlineLvl w:val="9"/>
        <w:rPr>
          <w:rFonts w:ascii="Times New Roman" w:hAnsi="Times New Roman" w:cs="Times New Roman"/>
        </w:rPr>
      </w:pPr>
      <w:bookmarkStart w:id="149" w:name="_Toc8332_WPSOffice_Level1"/>
      <w:bookmarkStart w:id="150" w:name="_Toc28814_WPSOffice_Level2"/>
    </w:p>
    <w:p>
      <w:pPr>
        <w:pStyle w:val="4"/>
        <w:numPr>
          <w:ilvl w:val="0"/>
          <w:numId w:val="0"/>
        </w:numPr>
        <w:snapToGrid w:val="0"/>
        <w:spacing w:before="120" w:after="120" w:line="240" w:lineRule="auto"/>
        <w:ind w:left="630"/>
        <w:jc w:val="center"/>
        <w:outlineLvl w:val="9"/>
        <w:rPr>
          <w:rFonts w:ascii="Times New Roman" w:hAnsi="Times New Roman" w:cs="Times New Roman"/>
        </w:rPr>
      </w:pPr>
    </w:p>
    <w:p>
      <w:pPr>
        <w:pStyle w:val="4"/>
        <w:numPr>
          <w:ilvl w:val="0"/>
          <w:numId w:val="0"/>
        </w:numPr>
        <w:snapToGrid w:val="0"/>
        <w:spacing w:before="120" w:after="120" w:line="240" w:lineRule="auto"/>
        <w:ind w:left="630"/>
        <w:jc w:val="center"/>
        <w:outlineLvl w:val="9"/>
        <w:rPr>
          <w:rFonts w:ascii="Times New Roman" w:hAnsi="Times New Roman" w:cs="Times New Roman"/>
        </w:rPr>
      </w:pPr>
    </w:p>
    <w:p>
      <w:pPr>
        <w:pStyle w:val="4"/>
        <w:numPr>
          <w:ilvl w:val="0"/>
          <w:numId w:val="0"/>
        </w:numPr>
        <w:snapToGrid w:val="0"/>
        <w:spacing w:before="120" w:after="120" w:line="240" w:lineRule="auto"/>
        <w:ind w:left="630"/>
        <w:jc w:val="center"/>
        <w:outlineLvl w:val="9"/>
        <w:rPr>
          <w:rFonts w:ascii="Times New Roman" w:hAnsi="Times New Roman" w:cs="Times New Roman"/>
        </w:rPr>
      </w:pPr>
    </w:p>
    <w:p>
      <w:pPr>
        <w:pStyle w:val="4"/>
        <w:numPr>
          <w:ilvl w:val="0"/>
          <w:numId w:val="0"/>
        </w:numPr>
        <w:snapToGrid w:val="0"/>
        <w:spacing w:before="120" w:after="120" w:line="240" w:lineRule="auto"/>
        <w:ind w:left="630"/>
        <w:jc w:val="center"/>
        <w:outlineLvl w:val="9"/>
        <w:rPr>
          <w:rFonts w:ascii="Times New Roman" w:hAnsi="Times New Roman" w:cs="Times New Roman"/>
        </w:rPr>
      </w:pPr>
    </w:p>
    <w:p>
      <w:pPr>
        <w:pStyle w:val="4"/>
        <w:numPr>
          <w:ilvl w:val="0"/>
          <w:numId w:val="0"/>
        </w:numPr>
        <w:snapToGrid w:val="0"/>
        <w:spacing w:before="120" w:after="120" w:line="240" w:lineRule="auto"/>
        <w:ind w:left="630"/>
        <w:jc w:val="center"/>
        <w:outlineLvl w:val="9"/>
        <w:rPr>
          <w:rFonts w:ascii="Times New Roman" w:hAnsi="Times New Roman" w:cs="Times New Roman"/>
        </w:rPr>
      </w:pPr>
    </w:p>
    <w:p>
      <w:pPr>
        <w:pStyle w:val="4"/>
        <w:numPr>
          <w:ilvl w:val="0"/>
          <w:numId w:val="0"/>
        </w:numPr>
        <w:snapToGrid w:val="0"/>
        <w:spacing w:before="120" w:after="120" w:line="240" w:lineRule="auto"/>
        <w:ind w:left="630"/>
        <w:jc w:val="center"/>
        <w:outlineLvl w:val="9"/>
        <w:rPr>
          <w:rFonts w:ascii="Times New Roman" w:hAnsi="Times New Roman" w:cs="Times New Roman"/>
        </w:rPr>
      </w:pPr>
    </w:p>
    <w:p>
      <w:pPr>
        <w:pStyle w:val="4"/>
        <w:numPr>
          <w:ilvl w:val="0"/>
          <w:numId w:val="0"/>
        </w:numPr>
        <w:snapToGrid w:val="0"/>
        <w:spacing w:before="120" w:after="120" w:line="240" w:lineRule="auto"/>
        <w:ind w:left="630"/>
        <w:jc w:val="center"/>
        <w:outlineLvl w:val="9"/>
        <w:rPr>
          <w:rFonts w:ascii="Times New Roman" w:hAnsi="Times New Roman" w:cs="Times New Roman"/>
        </w:rPr>
      </w:pPr>
    </w:p>
    <w:p>
      <w:pPr>
        <w:pStyle w:val="4"/>
        <w:numPr>
          <w:ilvl w:val="0"/>
          <w:numId w:val="0"/>
        </w:numPr>
        <w:snapToGrid w:val="0"/>
        <w:spacing w:before="120" w:after="120" w:line="240" w:lineRule="auto"/>
        <w:ind w:left="630"/>
        <w:jc w:val="center"/>
        <w:outlineLvl w:val="9"/>
        <w:rPr>
          <w:rFonts w:ascii="Times New Roman" w:hAnsi="Times New Roman" w:cs="Times New Roman"/>
        </w:rPr>
      </w:pPr>
    </w:p>
    <w:p>
      <w:pPr>
        <w:pStyle w:val="4"/>
        <w:numPr>
          <w:ilvl w:val="0"/>
          <w:numId w:val="0"/>
        </w:numPr>
        <w:snapToGrid w:val="0"/>
        <w:spacing w:before="120" w:after="120" w:line="240" w:lineRule="auto"/>
        <w:ind w:left="630"/>
        <w:jc w:val="center"/>
        <w:outlineLvl w:val="9"/>
        <w:rPr>
          <w:rFonts w:ascii="Times New Roman" w:hAnsi="Times New Roman" w:cs="Times New Roman"/>
        </w:rPr>
      </w:pPr>
    </w:p>
    <w:p>
      <w:pPr>
        <w:pStyle w:val="4"/>
        <w:numPr>
          <w:ilvl w:val="0"/>
          <w:numId w:val="0"/>
        </w:numPr>
        <w:snapToGrid w:val="0"/>
        <w:spacing w:before="120" w:after="120" w:line="240" w:lineRule="auto"/>
        <w:ind w:left="630"/>
        <w:jc w:val="center"/>
        <w:outlineLvl w:val="9"/>
        <w:rPr>
          <w:rFonts w:ascii="Times New Roman" w:hAnsi="Times New Roman" w:cs="Times New Roman"/>
        </w:rPr>
      </w:pPr>
    </w:p>
    <w:p>
      <w:pPr>
        <w:pStyle w:val="4"/>
        <w:numPr>
          <w:ilvl w:val="0"/>
          <w:numId w:val="0"/>
        </w:numPr>
        <w:snapToGrid w:val="0"/>
        <w:spacing w:before="120" w:after="120" w:line="240" w:lineRule="auto"/>
        <w:outlineLvl w:val="9"/>
        <w:rPr>
          <w:rFonts w:ascii="Times New Roman" w:hAnsi="Times New Roman" w:cs="Times New Roman"/>
        </w:rPr>
        <w:sectPr>
          <w:footerReference r:id="rId3" w:type="default"/>
          <w:pgSz w:w="11907" w:h="16840"/>
          <w:pgMar w:top="1417" w:right="1417" w:bottom="1417" w:left="1417" w:header="851" w:footer="850" w:gutter="0"/>
          <w:cols w:space="720" w:num="1"/>
          <w:docGrid w:linePitch="312" w:charSpace="0"/>
        </w:sectPr>
      </w:pPr>
    </w:p>
    <w:bookmarkEnd w:id="149"/>
    <w:bookmarkEnd w:id="150"/>
    <w:p>
      <w:pPr>
        <w:ind w:left="-202" w:leftChars="-96" w:firstLine="201" w:firstLineChars="100"/>
        <w:jc w:val="left"/>
        <w:outlineLvl w:val="1"/>
        <w:rPr>
          <w:rFonts w:hint="eastAsia" w:ascii="宋体" w:hAnsi="宋体"/>
          <w:b/>
          <w:bCs/>
          <w:kern w:val="0"/>
          <w:sz w:val="20"/>
          <w:szCs w:val="28"/>
          <w:highlight w:val="none"/>
        </w:rPr>
      </w:pPr>
      <w:bookmarkStart w:id="151" w:name="_Toc24739_WPSOffice_Level1"/>
      <w:r>
        <w:rPr>
          <w:rFonts w:hint="eastAsia" w:ascii="宋体" w:hAnsi="宋体"/>
          <w:b/>
          <w:bCs/>
          <w:kern w:val="0"/>
          <w:sz w:val="20"/>
          <w:szCs w:val="28"/>
          <w:highlight w:val="none"/>
          <w:lang w:val="en-US" w:eastAsia="zh-CN"/>
        </w:rPr>
        <w:t>一、服务要求</w:t>
      </w:r>
      <w:r>
        <w:rPr>
          <w:rFonts w:hint="eastAsia" w:ascii="宋体" w:hAnsi="宋体"/>
          <w:b/>
          <w:bCs/>
          <w:kern w:val="0"/>
          <w:sz w:val="20"/>
          <w:szCs w:val="28"/>
          <w:highlight w:val="none"/>
        </w:rPr>
        <w:t>：</w:t>
      </w:r>
    </w:p>
    <w:tbl>
      <w:tblPr>
        <w:tblStyle w:val="22"/>
        <w:tblW w:w="10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1500"/>
        <w:gridCol w:w="1545"/>
        <w:gridCol w:w="3076"/>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258" w:type="dxa"/>
            <w:noWrap w:val="0"/>
            <w:vAlign w:val="center"/>
          </w:tcPr>
          <w:p>
            <w:pPr>
              <w:jc w:val="center"/>
              <w:rPr>
                <w:rFonts w:ascii="宋体" w:hAnsi="宋体"/>
                <w:b/>
                <w:kern w:val="0"/>
                <w:sz w:val="24"/>
                <w:szCs w:val="28"/>
                <w:highlight w:val="none"/>
              </w:rPr>
            </w:pPr>
            <w:r>
              <w:rPr>
                <w:rFonts w:hint="eastAsia" w:ascii="宋体" w:hAnsi="宋体"/>
                <w:b/>
                <w:kern w:val="0"/>
                <w:sz w:val="24"/>
                <w:szCs w:val="28"/>
                <w:highlight w:val="none"/>
              </w:rPr>
              <w:t>模块名称</w:t>
            </w:r>
          </w:p>
        </w:tc>
        <w:tc>
          <w:tcPr>
            <w:tcW w:w="1500" w:type="dxa"/>
            <w:noWrap w:val="0"/>
            <w:vAlign w:val="center"/>
          </w:tcPr>
          <w:p>
            <w:pPr>
              <w:jc w:val="center"/>
              <w:rPr>
                <w:rFonts w:ascii="宋体" w:hAnsi="宋体"/>
                <w:b/>
                <w:kern w:val="0"/>
                <w:sz w:val="24"/>
                <w:szCs w:val="28"/>
                <w:highlight w:val="none"/>
              </w:rPr>
            </w:pPr>
            <w:r>
              <w:rPr>
                <w:rFonts w:hint="eastAsia" w:ascii="宋体" w:hAnsi="宋体"/>
                <w:b/>
                <w:kern w:val="0"/>
                <w:sz w:val="24"/>
                <w:szCs w:val="28"/>
                <w:highlight w:val="none"/>
              </w:rPr>
              <w:t>子模块名称</w:t>
            </w:r>
          </w:p>
        </w:tc>
        <w:tc>
          <w:tcPr>
            <w:tcW w:w="1545" w:type="dxa"/>
            <w:noWrap w:val="0"/>
            <w:vAlign w:val="center"/>
          </w:tcPr>
          <w:p>
            <w:pPr>
              <w:jc w:val="center"/>
              <w:rPr>
                <w:rFonts w:ascii="宋体" w:hAnsi="宋体"/>
                <w:b/>
                <w:kern w:val="0"/>
                <w:sz w:val="24"/>
                <w:szCs w:val="28"/>
                <w:highlight w:val="none"/>
              </w:rPr>
            </w:pPr>
            <w:r>
              <w:rPr>
                <w:rFonts w:hint="eastAsia" w:ascii="宋体" w:hAnsi="宋体"/>
                <w:b/>
                <w:kern w:val="0"/>
                <w:sz w:val="24"/>
                <w:szCs w:val="28"/>
                <w:highlight w:val="none"/>
              </w:rPr>
              <w:t>功能名称</w:t>
            </w:r>
          </w:p>
        </w:tc>
        <w:tc>
          <w:tcPr>
            <w:tcW w:w="3076" w:type="dxa"/>
            <w:noWrap w:val="0"/>
            <w:vAlign w:val="center"/>
          </w:tcPr>
          <w:p>
            <w:pPr>
              <w:jc w:val="center"/>
              <w:rPr>
                <w:rFonts w:hint="eastAsia" w:ascii="宋体" w:hAnsi="宋体"/>
                <w:b/>
                <w:kern w:val="0"/>
                <w:sz w:val="24"/>
                <w:szCs w:val="28"/>
                <w:highlight w:val="none"/>
              </w:rPr>
            </w:pPr>
            <w:r>
              <w:rPr>
                <w:rFonts w:hint="eastAsia" w:ascii="宋体" w:hAnsi="宋体"/>
                <w:b/>
                <w:kern w:val="0"/>
                <w:sz w:val="24"/>
                <w:szCs w:val="28"/>
                <w:highlight w:val="none"/>
              </w:rPr>
              <w:t>功能描述</w:t>
            </w:r>
          </w:p>
        </w:tc>
        <w:tc>
          <w:tcPr>
            <w:tcW w:w="2800" w:type="dxa"/>
            <w:noWrap w:val="0"/>
            <w:vAlign w:val="center"/>
          </w:tcPr>
          <w:p>
            <w:pPr>
              <w:jc w:val="center"/>
              <w:rPr>
                <w:rFonts w:ascii="宋体" w:hAnsi="宋体"/>
                <w:b/>
                <w:kern w:val="0"/>
                <w:sz w:val="24"/>
                <w:szCs w:val="28"/>
                <w:highlight w:val="none"/>
              </w:rPr>
            </w:pPr>
            <w:r>
              <w:rPr>
                <w:rFonts w:hint="eastAsia" w:ascii="宋体" w:hAnsi="宋体"/>
                <w:b/>
                <w:kern w:val="0"/>
                <w:sz w:val="24"/>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restart"/>
            <w:noWrap w:val="0"/>
            <w:vAlign w:val="center"/>
          </w:tcPr>
          <w:p>
            <w:pPr>
              <w:jc w:val="center"/>
              <w:rPr>
                <w:rFonts w:hint="eastAsia" w:ascii="宋体" w:hAnsi="宋体"/>
                <w:kern w:val="0"/>
                <w:sz w:val="24"/>
                <w:szCs w:val="24"/>
                <w:highlight w:val="none"/>
              </w:rPr>
            </w:pPr>
            <w:r>
              <w:rPr>
                <w:rFonts w:hint="eastAsia" w:ascii="宋体" w:hAnsi="宋体"/>
                <w:kern w:val="0"/>
                <w:sz w:val="24"/>
                <w:szCs w:val="24"/>
                <w:highlight w:val="none"/>
              </w:rPr>
              <w:t>项目</w:t>
            </w:r>
          </w:p>
          <w:p>
            <w:pPr>
              <w:jc w:val="center"/>
              <w:rPr>
                <w:rFonts w:hint="eastAsia" w:ascii="宋体" w:hAnsi="宋体"/>
                <w:kern w:val="0"/>
                <w:sz w:val="24"/>
                <w:szCs w:val="24"/>
                <w:highlight w:val="none"/>
              </w:rPr>
            </w:pPr>
            <w:r>
              <w:rPr>
                <w:rFonts w:hint="eastAsia" w:ascii="宋体" w:hAnsi="宋体"/>
                <w:kern w:val="0"/>
                <w:sz w:val="24"/>
                <w:szCs w:val="24"/>
                <w:highlight w:val="none"/>
              </w:rPr>
              <w:t>管理</w:t>
            </w:r>
          </w:p>
          <w:p>
            <w:pPr>
              <w:jc w:val="center"/>
              <w:rPr>
                <w:rFonts w:hint="eastAsia" w:ascii="宋体" w:hAnsi="宋体"/>
                <w:kern w:val="0"/>
                <w:sz w:val="24"/>
                <w:szCs w:val="24"/>
                <w:highlight w:val="none"/>
              </w:rPr>
            </w:pPr>
            <w:r>
              <w:rPr>
                <w:rFonts w:hint="eastAsia" w:ascii="宋体" w:hAnsi="宋体"/>
                <w:kern w:val="0"/>
                <w:sz w:val="24"/>
                <w:szCs w:val="24"/>
                <w:highlight w:val="none"/>
              </w:rPr>
              <w:t>平台</w:t>
            </w:r>
          </w:p>
          <w:p>
            <w:pPr>
              <w:jc w:val="center"/>
              <w:rPr>
                <w:rFonts w:hint="eastAsia" w:ascii="宋体" w:hAnsi="宋体"/>
                <w:kern w:val="0"/>
                <w:sz w:val="24"/>
                <w:szCs w:val="24"/>
                <w:highlight w:val="none"/>
              </w:rPr>
            </w:pPr>
            <w:r>
              <w:rPr>
                <w:rFonts w:hint="eastAsia" w:ascii="宋体" w:hAnsi="宋体"/>
                <w:kern w:val="0"/>
                <w:sz w:val="24"/>
                <w:szCs w:val="24"/>
                <w:highlight w:val="none"/>
              </w:rPr>
              <w:t>前端</w:t>
            </w:r>
          </w:p>
        </w:tc>
        <w:tc>
          <w:tcPr>
            <w:tcW w:w="1500" w:type="dxa"/>
            <w:vMerge w:val="restart"/>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项目管理</w:t>
            </w:r>
          </w:p>
        </w:tc>
        <w:tc>
          <w:tcPr>
            <w:tcW w:w="1545"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常规增删改查</w:t>
            </w:r>
          </w:p>
        </w:tc>
        <w:tc>
          <w:tcPr>
            <w:tcW w:w="3076" w:type="dxa"/>
            <w:noWrap w:val="0"/>
            <w:vAlign w:val="center"/>
          </w:tcPr>
          <w:p>
            <w:pPr>
              <w:jc w:val="center"/>
              <w:rPr>
                <w:rFonts w:ascii="宋体" w:hAnsi="宋体"/>
                <w:kern w:val="0"/>
                <w:sz w:val="20"/>
                <w:szCs w:val="28"/>
                <w:highlight w:val="none"/>
              </w:rPr>
            </w:pP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项目信息导入</w:t>
            </w:r>
          </w:p>
        </w:tc>
        <w:tc>
          <w:tcPr>
            <w:tcW w:w="3076"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开发与外部系统的对接端口</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vMerge w:val="restart"/>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记录表管理</w:t>
            </w:r>
          </w:p>
        </w:tc>
        <w:tc>
          <w:tcPr>
            <w:tcW w:w="1545"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常规增删改查</w:t>
            </w:r>
          </w:p>
        </w:tc>
        <w:tc>
          <w:tcPr>
            <w:tcW w:w="3076" w:type="dxa"/>
            <w:noWrap w:val="0"/>
            <w:vAlign w:val="center"/>
          </w:tcPr>
          <w:p>
            <w:pPr>
              <w:jc w:val="center"/>
              <w:rPr>
                <w:rFonts w:ascii="宋体" w:hAnsi="宋体"/>
                <w:kern w:val="0"/>
                <w:sz w:val="20"/>
                <w:szCs w:val="28"/>
                <w:highlight w:val="none"/>
              </w:rPr>
            </w:pP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文件上传</w:t>
            </w:r>
          </w:p>
        </w:tc>
        <w:tc>
          <w:tcPr>
            <w:tcW w:w="3076"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支持Excel数据导入</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vMerge w:val="restart"/>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检测标准管理</w:t>
            </w:r>
          </w:p>
        </w:tc>
        <w:tc>
          <w:tcPr>
            <w:tcW w:w="1545"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常规增删改查</w:t>
            </w:r>
          </w:p>
        </w:tc>
        <w:tc>
          <w:tcPr>
            <w:tcW w:w="3076" w:type="dxa"/>
            <w:noWrap w:val="0"/>
            <w:vAlign w:val="center"/>
          </w:tcPr>
          <w:p>
            <w:pPr>
              <w:jc w:val="center"/>
              <w:rPr>
                <w:rFonts w:ascii="宋体" w:hAnsi="宋体"/>
                <w:kern w:val="0"/>
                <w:sz w:val="20"/>
                <w:szCs w:val="28"/>
                <w:highlight w:val="none"/>
              </w:rPr>
            </w:pP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vMerge w:val="continue"/>
            <w:noWrap w:val="0"/>
            <w:vAlign w:val="center"/>
          </w:tcPr>
          <w:p>
            <w:pPr>
              <w:jc w:val="center"/>
              <w:rPr>
                <w:rFonts w:hint="eastAsia" w:ascii="宋体" w:hAnsi="宋体"/>
                <w:kern w:val="0"/>
                <w:sz w:val="20"/>
                <w:szCs w:val="28"/>
                <w:highlight w:val="none"/>
              </w:rPr>
            </w:pPr>
          </w:p>
        </w:tc>
        <w:tc>
          <w:tcPr>
            <w:tcW w:w="1545"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数据导入</w:t>
            </w:r>
          </w:p>
        </w:tc>
        <w:tc>
          <w:tcPr>
            <w:tcW w:w="3076"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支持Excel数据导入</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vMerge w:val="continue"/>
            <w:noWrap w:val="0"/>
            <w:vAlign w:val="center"/>
          </w:tcPr>
          <w:p>
            <w:pPr>
              <w:jc w:val="center"/>
              <w:rPr>
                <w:rFonts w:hint="eastAsia" w:ascii="宋体" w:hAnsi="宋体"/>
                <w:kern w:val="0"/>
                <w:sz w:val="20"/>
                <w:szCs w:val="28"/>
                <w:highlight w:val="none"/>
              </w:rPr>
            </w:pPr>
          </w:p>
        </w:tc>
        <w:tc>
          <w:tcPr>
            <w:tcW w:w="1545"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时效性判断</w:t>
            </w:r>
          </w:p>
        </w:tc>
        <w:tc>
          <w:tcPr>
            <w:tcW w:w="3076" w:type="dxa"/>
            <w:noWrap w:val="0"/>
            <w:vAlign w:val="center"/>
          </w:tcPr>
          <w:p>
            <w:pPr>
              <w:jc w:val="center"/>
              <w:rPr>
                <w:rFonts w:ascii="宋体" w:hAnsi="宋体"/>
                <w:kern w:val="0"/>
                <w:sz w:val="20"/>
                <w:szCs w:val="28"/>
                <w:highlight w:val="none"/>
              </w:rPr>
            </w:pP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vMerge w:val="restart"/>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仪器库管理</w:t>
            </w:r>
          </w:p>
        </w:tc>
        <w:tc>
          <w:tcPr>
            <w:tcW w:w="1545"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常规增删改查</w:t>
            </w:r>
          </w:p>
        </w:tc>
        <w:tc>
          <w:tcPr>
            <w:tcW w:w="3076" w:type="dxa"/>
            <w:noWrap w:val="0"/>
            <w:vAlign w:val="center"/>
          </w:tcPr>
          <w:p>
            <w:pPr>
              <w:jc w:val="center"/>
              <w:rPr>
                <w:rFonts w:ascii="宋体" w:hAnsi="宋体"/>
                <w:kern w:val="0"/>
                <w:sz w:val="20"/>
                <w:szCs w:val="28"/>
                <w:highlight w:val="none"/>
              </w:rPr>
            </w:pP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仪器数据导入</w:t>
            </w:r>
          </w:p>
        </w:tc>
        <w:tc>
          <w:tcPr>
            <w:tcW w:w="3076"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开发与外部系统的对接端口</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使用记录查询</w:t>
            </w:r>
          </w:p>
        </w:tc>
        <w:tc>
          <w:tcPr>
            <w:tcW w:w="3076" w:type="dxa"/>
            <w:noWrap w:val="0"/>
            <w:vAlign w:val="center"/>
          </w:tcPr>
          <w:p>
            <w:pPr>
              <w:jc w:val="center"/>
              <w:rPr>
                <w:rFonts w:ascii="宋体" w:hAnsi="宋体"/>
                <w:kern w:val="0"/>
                <w:sz w:val="20"/>
                <w:szCs w:val="28"/>
                <w:highlight w:val="none"/>
              </w:rPr>
            </w:pPr>
            <w:r>
              <w:rPr>
                <w:rFonts w:ascii="宋体" w:hAnsi="宋体"/>
                <w:kern w:val="0"/>
                <w:sz w:val="20"/>
                <w:szCs w:val="28"/>
                <w:highlight w:val="none"/>
              </w:rPr>
              <w:t>对仪器的</w:t>
            </w:r>
            <w:r>
              <w:rPr>
                <w:rFonts w:hint="eastAsia" w:ascii="宋体" w:hAnsi="宋体"/>
                <w:kern w:val="0"/>
                <w:sz w:val="20"/>
                <w:szCs w:val="28"/>
                <w:highlight w:val="none"/>
              </w:rPr>
              <w:t>使用</w:t>
            </w:r>
            <w:r>
              <w:rPr>
                <w:rFonts w:ascii="宋体" w:hAnsi="宋体"/>
                <w:kern w:val="0"/>
                <w:sz w:val="20"/>
                <w:szCs w:val="28"/>
                <w:highlight w:val="none"/>
              </w:rPr>
              <w:t>记录等信息进行</w:t>
            </w:r>
            <w:r>
              <w:rPr>
                <w:rFonts w:hint="eastAsia" w:ascii="宋体" w:hAnsi="宋体"/>
                <w:kern w:val="0"/>
                <w:sz w:val="20"/>
                <w:szCs w:val="28"/>
                <w:highlight w:val="none"/>
              </w:rPr>
              <w:t>记录</w:t>
            </w:r>
            <w:r>
              <w:rPr>
                <w:rFonts w:ascii="宋体" w:hAnsi="宋体"/>
                <w:kern w:val="0"/>
                <w:sz w:val="20"/>
                <w:szCs w:val="28"/>
                <w:highlight w:val="none"/>
              </w:rPr>
              <w:t>；</w:t>
            </w:r>
          </w:p>
          <w:p>
            <w:pPr>
              <w:jc w:val="center"/>
              <w:rPr>
                <w:rFonts w:ascii="宋体" w:hAnsi="宋体"/>
                <w:kern w:val="0"/>
                <w:sz w:val="20"/>
                <w:szCs w:val="28"/>
                <w:highlight w:val="none"/>
              </w:rPr>
            </w:pPr>
            <w:r>
              <w:rPr>
                <w:rFonts w:ascii="宋体" w:hAnsi="宋体"/>
                <w:kern w:val="0"/>
                <w:sz w:val="20"/>
                <w:szCs w:val="28"/>
                <w:highlight w:val="none"/>
              </w:rPr>
              <w:t>可按规则进行筛选和导出</w:t>
            </w:r>
            <w:r>
              <w:rPr>
                <w:rFonts w:hint="eastAsia" w:ascii="宋体" w:hAnsi="宋体"/>
                <w:kern w:val="0"/>
                <w:sz w:val="20"/>
                <w:szCs w:val="28"/>
                <w:highlight w:val="none"/>
              </w:rPr>
              <w:t>，生成使用台账</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restart"/>
            <w:noWrap w:val="0"/>
            <w:vAlign w:val="center"/>
          </w:tcPr>
          <w:p>
            <w:pPr>
              <w:jc w:val="center"/>
              <w:rPr>
                <w:rFonts w:hint="eastAsia" w:ascii="宋体" w:hAnsi="宋体"/>
                <w:kern w:val="0"/>
                <w:sz w:val="24"/>
                <w:szCs w:val="24"/>
                <w:highlight w:val="none"/>
              </w:rPr>
            </w:pPr>
            <w:r>
              <w:rPr>
                <w:rFonts w:hint="eastAsia" w:ascii="宋体" w:hAnsi="宋体"/>
                <w:kern w:val="0"/>
                <w:sz w:val="24"/>
                <w:szCs w:val="24"/>
                <w:highlight w:val="none"/>
              </w:rPr>
              <w:t>项目</w:t>
            </w:r>
          </w:p>
          <w:p>
            <w:pPr>
              <w:jc w:val="center"/>
              <w:rPr>
                <w:rFonts w:hint="eastAsia" w:ascii="宋体" w:hAnsi="宋体"/>
                <w:kern w:val="0"/>
                <w:sz w:val="24"/>
                <w:szCs w:val="24"/>
                <w:highlight w:val="none"/>
              </w:rPr>
            </w:pPr>
            <w:r>
              <w:rPr>
                <w:rFonts w:hint="eastAsia" w:ascii="宋体" w:hAnsi="宋体"/>
                <w:kern w:val="0"/>
                <w:sz w:val="24"/>
                <w:szCs w:val="24"/>
                <w:highlight w:val="none"/>
              </w:rPr>
              <w:t>管理</w:t>
            </w:r>
          </w:p>
          <w:p>
            <w:pPr>
              <w:jc w:val="center"/>
              <w:rPr>
                <w:rFonts w:hint="eastAsia" w:ascii="宋体" w:hAnsi="宋体"/>
                <w:kern w:val="0"/>
                <w:sz w:val="24"/>
                <w:szCs w:val="24"/>
                <w:highlight w:val="none"/>
              </w:rPr>
            </w:pPr>
            <w:r>
              <w:rPr>
                <w:rFonts w:hint="eastAsia" w:ascii="宋体" w:hAnsi="宋体"/>
                <w:kern w:val="0"/>
                <w:sz w:val="24"/>
                <w:szCs w:val="24"/>
                <w:highlight w:val="none"/>
              </w:rPr>
              <w:t>平台</w:t>
            </w:r>
          </w:p>
          <w:p>
            <w:pPr>
              <w:jc w:val="center"/>
              <w:rPr>
                <w:rFonts w:hint="eastAsia" w:ascii="宋体" w:hAnsi="宋体"/>
                <w:kern w:val="0"/>
                <w:sz w:val="24"/>
                <w:szCs w:val="24"/>
                <w:highlight w:val="none"/>
              </w:rPr>
            </w:pPr>
            <w:r>
              <w:rPr>
                <w:rFonts w:hint="eastAsia" w:ascii="宋体" w:hAnsi="宋体"/>
                <w:kern w:val="0"/>
                <w:sz w:val="24"/>
                <w:szCs w:val="24"/>
                <w:highlight w:val="none"/>
              </w:rPr>
              <w:t>后台</w:t>
            </w:r>
          </w:p>
        </w:tc>
        <w:tc>
          <w:tcPr>
            <w:tcW w:w="1500" w:type="dxa"/>
            <w:vMerge w:val="restart"/>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组织机构管理</w:t>
            </w:r>
          </w:p>
        </w:tc>
        <w:tc>
          <w:tcPr>
            <w:tcW w:w="1545"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常规增删改查</w:t>
            </w:r>
          </w:p>
        </w:tc>
        <w:tc>
          <w:tcPr>
            <w:tcW w:w="3076" w:type="dxa"/>
            <w:noWrap w:val="0"/>
            <w:vAlign w:val="center"/>
          </w:tcPr>
          <w:p>
            <w:pPr>
              <w:jc w:val="center"/>
              <w:rPr>
                <w:rFonts w:ascii="宋体" w:hAnsi="宋体"/>
                <w:kern w:val="0"/>
                <w:sz w:val="20"/>
                <w:szCs w:val="28"/>
                <w:highlight w:val="none"/>
              </w:rPr>
            </w:pP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组织机构导入</w:t>
            </w:r>
          </w:p>
        </w:tc>
        <w:tc>
          <w:tcPr>
            <w:tcW w:w="3076" w:type="dxa"/>
            <w:noWrap w:val="0"/>
            <w:vAlign w:val="center"/>
          </w:tcPr>
          <w:p>
            <w:pPr>
              <w:jc w:val="center"/>
              <w:rPr>
                <w:rFonts w:ascii="宋体" w:hAnsi="宋体"/>
                <w:kern w:val="0"/>
                <w:sz w:val="20"/>
                <w:szCs w:val="28"/>
                <w:highlight w:val="none"/>
              </w:rPr>
            </w:pP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用户挂载</w:t>
            </w:r>
          </w:p>
        </w:tc>
        <w:tc>
          <w:tcPr>
            <w:tcW w:w="3076" w:type="dxa"/>
            <w:noWrap w:val="0"/>
            <w:vAlign w:val="center"/>
          </w:tcPr>
          <w:p>
            <w:pPr>
              <w:jc w:val="center"/>
              <w:rPr>
                <w:rFonts w:ascii="宋体" w:hAnsi="宋体"/>
                <w:kern w:val="0"/>
                <w:sz w:val="20"/>
                <w:szCs w:val="28"/>
                <w:highlight w:val="none"/>
              </w:rPr>
            </w:pP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vMerge w:val="restart"/>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用户管理</w:t>
            </w:r>
          </w:p>
        </w:tc>
        <w:tc>
          <w:tcPr>
            <w:tcW w:w="1545"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常规增删改查</w:t>
            </w:r>
          </w:p>
        </w:tc>
        <w:tc>
          <w:tcPr>
            <w:tcW w:w="3076" w:type="dxa"/>
            <w:noWrap w:val="0"/>
            <w:vAlign w:val="center"/>
          </w:tcPr>
          <w:p>
            <w:pPr>
              <w:jc w:val="center"/>
              <w:rPr>
                <w:rFonts w:ascii="宋体" w:hAnsi="宋体"/>
                <w:kern w:val="0"/>
                <w:sz w:val="20"/>
                <w:szCs w:val="28"/>
                <w:highlight w:val="none"/>
              </w:rPr>
            </w:pP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用户导入</w:t>
            </w:r>
          </w:p>
        </w:tc>
        <w:tc>
          <w:tcPr>
            <w:tcW w:w="3076" w:type="dxa"/>
            <w:noWrap w:val="0"/>
            <w:vAlign w:val="center"/>
          </w:tcPr>
          <w:p>
            <w:pPr>
              <w:jc w:val="center"/>
              <w:rPr>
                <w:rFonts w:ascii="宋体" w:hAnsi="宋体"/>
                <w:kern w:val="0"/>
                <w:sz w:val="20"/>
                <w:szCs w:val="28"/>
                <w:highlight w:val="none"/>
              </w:rPr>
            </w:pP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用户权限挂载</w:t>
            </w:r>
          </w:p>
        </w:tc>
        <w:tc>
          <w:tcPr>
            <w:tcW w:w="3076" w:type="dxa"/>
            <w:noWrap w:val="0"/>
            <w:vAlign w:val="center"/>
          </w:tcPr>
          <w:p>
            <w:pPr>
              <w:jc w:val="center"/>
              <w:rPr>
                <w:rFonts w:ascii="宋体" w:hAnsi="宋体"/>
                <w:kern w:val="0"/>
                <w:sz w:val="20"/>
                <w:szCs w:val="28"/>
                <w:highlight w:val="none"/>
              </w:rPr>
            </w:pP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vMerge w:val="restart"/>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权限管理</w:t>
            </w:r>
          </w:p>
        </w:tc>
        <w:tc>
          <w:tcPr>
            <w:tcW w:w="1545"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项目权限管理</w:t>
            </w:r>
          </w:p>
        </w:tc>
        <w:tc>
          <w:tcPr>
            <w:tcW w:w="3076"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添加、修改、删除、查看、锁定、归档</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标准权限管理</w:t>
            </w:r>
          </w:p>
        </w:tc>
        <w:tc>
          <w:tcPr>
            <w:tcW w:w="3076"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添加、修改、删除、查看</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记录表权限管理</w:t>
            </w:r>
          </w:p>
        </w:tc>
        <w:tc>
          <w:tcPr>
            <w:tcW w:w="3076"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添加、修改、删除、查看</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数据权限管理</w:t>
            </w:r>
          </w:p>
        </w:tc>
        <w:tc>
          <w:tcPr>
            <w:tcW w:w="3076"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添加、修改、删除、查看、锁定、归档</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restart"/>
            <w:noWrap w:val="0"/>
            <w:vAlign w:val="center"/>
          </w:tcPr>
          <w:p>
            <w:pPr>
              <w:jc w:val="center"/>
              <w:rPr>
                <w:rFonts w:hint="eastAsia" w:ascii="宋体" w:hAnsi="宋体"/>
                <w:kern w:val="0"/>
                <w:sz w:val="24"/>
                <w:szCs w:val="24"/>
                <w:highlight w:val="none"/>
              </w:rPr>
            </w:pPr>
            <w:r>
              <w:rPr>
                <w:rFonts w:hint="eastAsia" w:ascii="宋体" w:hAnsi="宋体"/>
                <w:kern w:val="0"/>
                <w:sz w:val="24"/>
                <w:szCs w:val="24"/>
                <w:highlight w:val="none"/>
              </w:rPr>
              <w:t>数据</w:t>
            </w:r>
          </w:p>
          <w:p>
            <w:pPr>
              <w:jc w:val="center"/>
              <w:rPr>
                <w:rFonts w:hint="eastAsia" w:ascii="宋体" w:hAnsi="宋体"/>
                <w:kern w:val="0"/>
                <w:sz w:val="24"/>
                <w:szCs w:val="24"/>
                <w:highlight w:val="none"/>
              </w:rPr>
            </w:pPr>
            <w:r>
              <w:rPr>
                <w:rFonts w:hint="eastAsia" w:ascii="宋体" w:hAnsi="宋体"/>
                <w:kern w:val="0"/>
                <w:sz w:val="24"/>
                <w:szCs w:val="24"/>
                <w:highlight w:val="none"/>
              </w:rPr>
              <w:t>采集</w:t>
            </w:r>
          </w:p>
        </w:tc>
        <w:tc>
          <w:tcPr>
            <w:tcW w:w="1500" w:type="dxa"/>
            <w:vMerge w:val="restart"/>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外观检查</w:t>
            </w:r>
          </w:p>
        </w:tc>
        <w:tc>
          <w:tcPr>
            <w:tcW w:w="1545"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常规录入功能</w:t>
            </w:r>
          </w:p>
        </w:tc>
        <w:tc>
          <w:tcPr>
            <w:tcW w:w="3076"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格式按固定要求设计</w:t>
            </w:r>
          </w:p>
        </w:tc>
        <w:tc>
          <w:tcPr>
            <w:tcW w:w="2800"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GSJC-JJTY001-2021外观检查记录表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图片关联</w:t>
            </w:r>
          </w:p>
        </w:tc>
        <w:tc>
          <w:tcPr>
            <w:tcW w:w="3076"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系统内关联</w:t>
            </w:r>
          </w:p>
          <w:p>
            <w:pPr>
              <w:jc w:val="center"/>
              <w:rPr>
                <w:rFonts w:hint="eastAsia" w:ascii="宋体" w:hAnsi="宋体"/>
                <w:kern w:val="0"/>
                <w:sz w:val="20"/>
                <w:szCs w:val="28"/>
                <w:highlight w:val="none"/>
              </w:rPr>
            </w:pPr>
            <w:r>
              <w:rPr>
                <w:rFonts w:hint="eastAsia" w:ascii="宋体" w:hAnsi="宋体"/>
                <w:kern w:val="0"/>
                <w:sz w:val="20"/>
                <w:szCs w:val="28"/>
                <w:highlight w:val="none"/>
              </w:rPr>
              <w:t>系统外关联</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vMerge w:val="restart"/>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病害库管理</w:t>
            </w:r>
          </w:p>
        </w:tc>
        <w:tc>
          <w:tcPr>
            <w:tcW w:w="3076"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添加、修改、删除、查看、锁定</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vMerge w:val="continue"/>
            <w:noWrap w:val="0"/>
            <w:vAlign w:val="center"/>
          </w:tcPr>
          <w:p>
            <w:pPr>
              <w:jc w:val="center"/>
              <w:rPr>
                <w:rFonts w:ascii="宋体" w:hAnsi="宋体"/>
                <w:kern w:val="0"/>
                <w:sz w:val="20"/>
                <w:szCs w:val="28"/>
                <w:highlight w:val="none"/>
              </w:rPr>
            </w:pPr>
          </w:p>
        </w:tc>
        <w:tc>
          <w:tcPr>
            <w:tcW w:w="3076"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支持病害库种类自定义</w:t>
            </w:r>
          </w:p>
        </w:tc>
        <w:tc>
          <w:tcPr>
            <w:tcW w:w="2800" w:type="dxa"/>
            <w:noWrap w:val="0"/>
            <w:vAlign w:val="center"/>
          </w:tcPr>
          <w:p>
            <w:pPr>
              <w:jc w:val="center"/>
              <w:rPr>
                <w:rFonts w:hint="eastAsia"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vMerge w:val="continue"/>
            <w:noWrap w:val="0"/>
            <w:vAlign w:val="center"/>
          </w:tcPr>
          <w:p>
            <w:pPr>
              <w:jc w:val="center"/>
              <w:rPr>
                <w:rFonts w:ascii="宋体" w:hAnsi="宋体"/>
                <w:kern w:val="0"/>
                <w:sz w:val="20"/>
                <w:szCs w:val="28"/>
                <w:highlight w:val="none"/>
              </w:rPr>
            </w:pPr>
          </w:p>
        </w:tc>
        <w:tc>
          <w:tcPr>
            <w:tcW w:w="3076"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病害种类输入关键词联想</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路面技术状况</w:t>
            </w:r>
          </w:p>
          <w:p>
            <w:pPr>
              <w:jc w:val="center"/>
              <w:rPr>
                <w:rFonts w:hint="eastAsia" w:ascii="宋体" w:hAnsi="宋体"/>
                <w:kern w:val="0"/>
                <w:sz w:val="20"/>
                <w:szCs w:val="28"/>
                <w:highlight w:val="none"/>
              </w:rPr>
            </w:pPr>
            <w:r>
              <w:rPr>
                <w:rFonts w:hint="eastAsia" w:ascii="宋体" w:hAnsi="宋体"/>
                <w:kern w:val="0"/>
                <w:sz w:val="20"/>
                <w:szCs w:val="28"/>
                <w:highlight w:val="none"/>
              </w:rPr>
              <w:t>（高速公路）</w:t>
            </w:r>
          </w:p>
        </w:tc>
        <w:tc>
          <w:tcPr>
            <w:tcW w:w="1545"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数据导入</w:t>
            </w:r>
          </w:p>
        </w:tc>
        <w:tc>
          <w:tcPr>
            <w:tcW w:w="3076"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支持Excel格式</w:t>
            </w:r>
          </w:p>
        </w:tc>
        <w:tc>
          <w:tcPr>
            <w:tcW w:w="2800"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CICS：平整度、车辙、横向力系数、构造深度、路面跳车、路面破损共计6种参数的二次数据处理文件；</w:t>
            </w:r>
          </w:p>
          <w:p>
            <w:pPr>
              <w:jc w:val="center"/>
              <w:rPr>
                <w:rFonts w:hint="eastAsia" w:ascii="宋体" w:hAnsi="宋体"/>
                <w:kern w:val="0"/>
                <w:sz w:val="20"/>
                <w:szCs w:val="28"/>
                <w:highlight w:val="none"/>
              </w:rPr>
            </w:pPr>
            <w:r>
              <w:rPr>
                <w:rFonts w:hint="eastAsia" w:ascii="宋体" w:hAnsi="宋体"/>
                <w:kern w:val="0"/>
                <w:sz w:val="20"/>
                <w:szCs w:val="28"/>
                <w:highlight w:val="none"/>
              </w:rPr>
              <w:t>金谷神箭：弯沉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vMerge w:val="restart"/>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广告牌检测</w:t>
            </w:r>
          </w:p>
        </w:tc>
        <w:tc>
          <w:tcPr>
            <w:tcW w:w="1545" w:type="dxa"/>
            <w:noWrap w:val="0"/>
            <w:vAlign w:val="center"/>
          </w:tcPr>
          <w:p>
            <w:pPr>
              <w:jc w:val="center"/>
              <w:rPr>
                <w:rFonts w:ascii="宋体" w:hAnsi="宋体"/>
                <w:kern w:val="0"/>
                <w:sz w:val="20"/>
                <w:szCs w:val="28"/>
                <w:highlight w:val="none"/>
              </w:rPr>
            </w:pPr>
            <w:r>
              <w:rPr>
                <w:rFonts w:hint="eastAsia"/>
                <w:kern w:val="0"/>
                <w:sz w:val="20"/>
                <w:highlight w:val="none"/>
              </w:rPr>
              <w:t>广告牌数据库</w:t>
            </w:r>
          </w:p>
        </w:tc>
        <w:tc>
          <w:tcPr>
            <w:tcW w:w="3076" w:type="dxa"/>
            <w:noWrap w:val="0"/>
            <w:vAlign w:val="center"/>
          </w:tcPr>
          <w:p>
            <w:pPr>
              <w:jc w:val="center"/>
              <w:rPr>
                <w:rFonts w:hint="eastAsia" w:ascii="宋体" w:hAnsi="宋体"/>
                <w:kern w:val="0"/>
                <w:sz w:val="20"/>
                <w:szCs w:val="28"/>
                <w:highlight w:val="none"/>
              </w:rPr>
            </w:pPr>
            <w:r>
              <w:rPr>
                <w:rFonts w:hint="eastAsia"/>
                <w:kern w:val="0"/>
                <w:sz w:val="20"/>
                <w:highlight w:val="none"/>
              </w:rPr>
              <w:t>基础信息管理，检测周期记录，地理坐标等</w:t>
            </w:r>
          </w:p>
        </w:tc>
        <w:tc>
          <w:tcPr>
            <w:tcW w:w="2800" w:type="dxa"/>
            <w:noWrap w:val="0"/>
            <w:vAlign w:val="center"/>
          </w:tcPr>
          <w:p>
            <w:pPr>
              <w:jc w:val="center"/>
              <w:rPr>
                <w:rFonts w:hint="eastAsia"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vMerge w:val="continue"/>
            <w:noWrap w:val="0"/>
            <w:vAlign w:val="center"/>
          </w:tcPr>
          <w:p>
            <w:pPr>
              <w:jc w:val="center"/>
              <w:rPr>
                <w:rFonts w:hint="eastAsia" w:ascii="宋体" w:hAnsi="宋体"/>
                <w:kern w:val="0"/>
                <w:sz w:val="20"/>
                <w:szCs w:val="28"/>
                <w:highlight w:val="none"/>
              </w:rPr>
            </w:pPr>
          </w:p>
        </w:tc>
        <w:tc>
          <w:tcPr>
            <w:tcW w:w="1545" w:type="dxa"/>
            <w:noWrap w:val="0"/>
            <w:vAlign w:val="center"/>
          </w:tcPr>
          <w:p>
            <w:pPr>
              <w:jc w:val="center"/>
              <w:rPr>
                <w:rFonts w:hint="eastAsia"/>
                <w:kern w:val="0"/>
                <w:sz w:val="20"/>
                <w:highlight w:val="none"/>
              </w:rPr>
            </w:pPr>
            <w:r>
              <w:rPr>
                <w:rFonts w:hint="eastAsia" w:ascii="宋体" w:hAnsi="宋体"/>
                <w:kern w:val="0"/>
                <w:sz w:val="20"/>
                <w:szCs w:val="28"/>
                <w:highlight w:val="none"/>
              </w:rPr>
              <w:t>记录表输入</w:t>
            </w:r>
          </w:p>
        </w:tc>
        <w:tc>
          <w:tcPr>
            <w:tcW w:w="3076" w:type="dxa"/>
            <w:noWrap w:val="0"/>
            <w:vAlign w:val="center"/>
          </w:tcPr>
          <w:p>
            <w:pPr>
              <w:jc w:val="center"/>
              <w:rPr>
                <w:rFonts w:hint="eastAsia"/>
                <w:kern w:val="0"/>
                <w:sz w:val="20"/>
                <w:highlight w:val="none"/>
              </w:rPr>
            </w:pPr>
            <w:r>
              <w:rPr>
                <w:rFonts w:hint="eastAsia" w:ascii="宋体" w:hAnsi="宋体"/>
                <w:kern w:val="0"/>
                <w:sz w:val="20"/>
                <w:szCs w:val="28"/>
                <w:highlight w:val="none"/>
              </w:rPr>
              <w:t>格式按固定要求设计</w:t>
            </w:r>
          </w:p>
        </w:tc>
        <w:tc>
          <w:tcPr>
            <w:tcW w:w="2800"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GSJC-JJTY004-2021钢结构广告牌检测记录表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noWrap w:val="0"/>
            <w:vAlign w:val="center"/>
          </w:tcPr>
          <w:p>
            <w:pPr>
              <w:jc w:val="center"/>
              <w:rPr>
                <w:rFonts w:hint="eastAsia"/>
                <w:kern w:val="0"/>
                <w:sz w:val="20"/>
                <w:highlight w:val="none"/>
              </w:rPr>
            </w:pPr>
            <w:r>
              <w:rPr>
                <w:rFonts w:hint="eastAsia"/>
                <w:kern w:val="0"/>
                <w:sz w:val="20"/>
                <w:highlight w:val="none"/>
              </w:rPr>
              <w:t>需涵盖的受控记录表</w:t>
            </w:r>
          </w:p>
        </w:tc>
        <w:tc>
          <w:tcPr>
            <w:tcW w:w="1545"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记录表</w:t>
            </w:r>
          </w:p>
        </w:tc>
        <w:tc>
          <w:tcPr>
            <w:tcW w:w="3076"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格式按固定要求设计</w:t>
            </w:r>
          </w:p>
          <w:p>
            <w:pPr>
              <w:jc w:val="center"/>
              <w:rPr>
                <w:rFonts w:hint="eastAsia" w:ascii="宋体" w:hAnsi="宋体"/>
                <w:kern w:val="0"/>
                <w:sz w:val="20"/>
                <w:szCs w:val="28"/>
                <w:highlight w:val="none"/>
              </w:rPr>
            </w:pPr>
            <w:r>
              <w:rPr>
                <w:rFonts w:hint="eastAsia" w:ascii="宋体" w:hAnsi="宋体"/>
                <w:kern w:val="0"/>
                <w:sz w:val="20"/>
                <w:szCs w:val="28"/>
                <w:highlight w:val="none"/>
              </w:rPr>
              <w:t>增加工作现场记录，支持图片</w:t>
            </w:r>
          </w:p>
        </w:tc>
        <w:tc>
          <w:tcPr>
            <w:tcW w:w="2800"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GSJC-JJTY003-2021回弹仪率定试验记录表</w:t>
            </w:r>
          </w:p>
          <w:p>
            <w:pPr>
              <w:jc w:val="center"/>
              <w:rPr>
                <w:rFonts w:hint="eastAsia" w:ascii="宋体" w:hAnsi="宋体"/>
                <w:kern w:val="0"/>
                <w:sz w:val="20"/>
                <w:szCs w:val="28"/>
                <w:highlight w:val="none"/>
              </w:rPr>
            </w:pPr>
            <w:r>
              <w:rPr>
                <w:rFonts w:hint="eastAsia" w:ascii="宋体" w:hAnsi="宋体"/>
                <w:kern w:val="0"/>
                <w:sz w:val="20"/>
                <w:szCs w:val="28"/>
                <w:highlight w:val="none"/>
              </w:rPr>
              <w:t>GSJC-JJGLP02001-1-2021混凝土强度检测（回弹法）记录表</w:t>
            </w:r>
          </w:p>
          <w:p>
            <w:pPr>
              <w:jc w:val="center"/>
              <w:rPr>
                <w:rFonts w:hint="eastAsia" w:ascii="宋体" w:hAnsi="宋体"/>
                <w:kern w:val="0"/>
                <w:sz w:val="20"/>
                <w:szCs w:val="28"/>
                <w:highlight w:val="none"/>
              </w:rPr>
            </w:pPr>
            <w:r>
              <w:rPr>
                <w:rFonts w:hint="eastAsia" w:ascii="宋体" w:hAnsi="宋体"/>
                <w:kern w:val="0"/>
                <w:sz w:val="20"/>
                <w:szCs w:val="28"/>
                <w:highlight w:val="none"/>
              </w:rPr>
              <w:t>GSJC-JJGLP02001-2-2021混凝土强度试验检测（超声回弹法）记录表</w:t>
            </w:r>
          </w:p>
          <w:p>
            <w:pPr>
              <w:jc w:val="center"/>
              <w:rPr>
                <w:rFonts w:hint="eastAsia" w:ascii="宋体" w:hAnsi="宋体"/>
                <w:kern w:val="0"/>
                <w:sz w:val="20"/>
                <w:szCs w:val="28"/>
                <w:highlight w:val="none"/>
              </w:rPr>
            </w:pPr>
            <w:r>
              <w:rPr>
                <w:rFonts w:hint="eastAsia" w:ascii="宋体" w:hAnsi="宋体"/>
                <w:kern w:val="0"/>
                <w:sz w:val="20"/>
                <w:szCs w:val="28"/>
                <w:highlight w:val="none"/>
              </w:rPr>
              <w:t>GSJC-JJGLP02004-2021钢筋位置及保护层厚度检测（电磁感应法）记录表</w:t>
            </w:r>
          </w:p>
          <w:p>
            <w:pPr>
              <w:jc w:val="center"/>
              <w:rPr>
                <w:rFonts w:hint="eastAsia" w:ascii="宋体" w:hAnsi="宋体"/>
                <w:kern w:val="0"/>
                <w:sz w:val="20"/>
                <w:szCs w:val="28"/>
                <w:highlight w:val="none"/>
              </w:rPr>
            </w:pPr>
            <w:r>
              <w:rPr>
                <w:rFonts w:hint="eastAsia" w:ascii="宋体" w:hAnsi="宋体"/>
                <w:kern w:val="0"/>
                <w:sz w:val="20"/>
                <w:szCs w:val="28"/>
                <w:highlight w:val="none"/>
              </w:rPr>
              <w:t>GSJC-JJGLP03008-1-2021钢材及焊缝无损探伤检测（超声波法）记录表</w:t>
            </w:r>
          </w:p>
          <w:p>
            <w:pPr>
              <w:jc w:val="center"/>
              <w:rPr>
                <w:rFonts w:hint="eastAsia" w:ascii="宋体" w:hAnsi="宋体"/>
                <w:kern w:val="0"/>
                <w:sz w:val="20"/>
                <w:szCs w:val="28"/>
                <w:highlight w:val="none"/>
              </w:rPr>
            </w:pPr>
            <w:r>
              <w:rPr>
                <w:rFonts w:hint="eastAsia" w:ascii="宋体" w:hAnsi="宋体"/>
                <w:kern w:val="0"/>
                <w:sz w:val="20"/>
                <w:szCs w:val="28"/>
                <w:highlight w:val="none"/>
              </w:rPr>
              <w:t>GSJC-JJGLP03008-2-2021钢材及焊缝无损探伤检测（磁粉法）记录表</w:t>
            </w:r>
          </w:p>
          <w:p>
            <w:pPr>
              <w:jc w:val="center"/>
              <w:rPr>
                <w:rFonts w:hint="eastAsia" w:ascii="宋体" w:hAnsi="宋体"/>
                <w:kern w:val="0"/>
                <w:sz w:val="20"/>
                <w:szCs w:val="28"/>
                <w:highlight w:val="none"/>
              </w:rPr>
            </w:pPr>
            <w:r>
              <w:rPr>
                <w:rFonts w:hint="eastAsia" w:ascii="宋体" w:hAnsi="宋体"/>
                <w:kern w:val="0"/>
                <w:sz w:val="20"/>
                <w:szCs w:val="28"/>
                <w:highlight w:val="none"/>
              </w:rPr>
              <w:t>GSJC-JJGLP03010-2021钢结构防腐涂层厚度检测记录表</w:t>
            </w:r>
          </w:p>
          <w:p>
            <w:pPr>
              <w:jc w:val="center"/>
              <w:rPr>
                <w:rFonts w:hint="eastAsia" w:ascii="宋体" w:hAnsi="宋体"/>
                <w:kern w:val="0"/>
                <w:sz w:val="13"/>
                <w:szCs w:val="20"/>
                <w:highlight w:val="none"/>
              </w:rPr>
            </w:pPr>
            <w:r>
              <w:rPr>
                <w:rFonts w:hint="eastAsia" w:ascii="宋体" w:hAnsi="宋体"/>
                <w:kern w:val="0"/>
                <w:sz w:val="20"/>
                <w:szCs w:val="28"/>
                <w:highlight w:val="none"/>
              </w:rPr>
              <w:t>GSJC-JJGLP03014-2021高强度螺栓终拧扭矩检测记录表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支持平台</w:t>
            </w:r>
          </w:p>
        </w:tc>
        <w:tc>
          <w:tcPr>
            <w:tcW w:w="1545"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双端支持</w:t>
            </w:r>
          </w:p>
        </w:tc>
        <w:tc>
          <w:tcPr>
            <w:tcW w:w="3076" w:type="dxa"/>
            <w:noWrap w:val="0"/>
            <w:vAlign w:val="center"/>
          </w:tcPr>
          <w:p>
            <w:pPr>
              <w:jc w:val="center"/>
              <w:rPr>
                <w:rFonts w:hint="eastAsia"/>
                <w:kern w:val="0"/>
                <w:sz w:val="20"/>
                <w:highlight w:val="none"/>
              </w:rPr>
            </w:pPr>
            <w:r>
              <w:rPr>
                <w:rFonts w:hint="eastAsia"/>
                <w:kern w:val="0"/>
                <w:sz w:val="20"/>
                <w:highlight w:val="none"/>
              </w:rPr>
              <w:t>同时支持移动端和电脑端，且针对移动端（安卓系统）进行适配</w:t>
            </w:r>
          </w:p>
        </w:tc>
        <w:tc>
          <w:tcPr>
            <w:tcW w:w="2800" w:type="dxa"/>
            <w:noWrap w:val="0"/>
            <w:vAlign w:val="center"/>
          </w:tcPr>
          <w:p>
            <w:pPr>
              <w:spacing w:line="200" w:lineRule="exact"/>
              <w:jc w:val="center"/>
              <w:rPr>
                <w:rFonts w:hint="eastAsia"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58" w:type="dxa"/>
            <w:vMerge w:val="restart"/>
            <w:noWrap w:val="0"/>
            <w:vAlign w:val="center"/>
          </w:tcPr>
          <w:p>
            <w:pPr>
              <w:jc w:val="center"/>
              <w:rPr>
                <w:rFonts w:hint="eastAsia" w:ascii="宋体" w:hAnsi="宋体"/>
                <w:kern w:val="0"/>
                <w:sz w:val="24"/>
                <w:szCs w:val="24"/>
                <w:highlight w:val="none"/>
              </w:rPr>
            </w:pPr>
            <w:r>
              <w:rPr>
                <w:rFonts w:hint="eastAsia" w:ascii="宋体" w:hAnsi="宋体"/>
                <w:kern w:val="0"/>
                <w:sz w:val="24"/>
                <w:szCs w:val="24"/>
                <w:highlight w:val="none"/>
              </w:rPr>
              <w:t>数据</w:t>
            </w:r>
          </w:p>
          <w:p>
            <w:pPr>
              <w:jc w:val="center"/>
              <w:rPr>
                <w:rFonts w:hint="eastAsia" w:ascii="宋体" w:hAnsi="宋体"/>
                <w:kern w:val="0"/>
                <w:sz w:val="24"/>
                <w:szCs w:val="24"/>
                <w:highlight w:val="none"/>
              </w:rPr>
            </w:pPr>
            <w:r>
              <w:rPr>
                <w:rFonts w:hint="eastAsia" w:ascii="宋体" w:hAnsi="宋体"/>
                <w:kern w:val="0"/>
                <w:sz w:val="24"/>
                <w:szCs w:val="24"/>
                <w:highlight w:val="none"/>
              </w:rPr>
              <w:t>处理</w:t>
            </w:r>
          </w:p>
        </w:tc>
        <w:tc>
          <w:tcPr>
            <w:tcW w:w="1500"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外观检查</w:t>
            </w:r>
          </w:p>
        </w:tc>
        <w:tc>
          <w:tcPr>
            <w:tcW w:w="1545"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数据统计</w:t>
            </w:r>
          </w:p>
        </w:tc>
        <w:tc>
          <w:tcPr>
            <w:tcW w:w="3076" w:type="dxa"/>
            <w:noWrap w:val="0"/>
            <w:vAlign w:val="center"/>
          </w:tcPr>
          <w:p>
            <w:pPr>
              <w:jc w:val="center"/>
              <w:rPr>
                <w:rFonts w:hint="eastAsia" w:ascii="宋体" w:hAnsi="宋体"/>
                <w:kern w:val="0"/>
                <w:sz w:val="20"/>
                <w:szCs w:val="28"/>
                <w:highlight w:val="none"/>
              </w:rPr>
            </w:pPr>
            <w:r>
              <w:rPr>
                <w:rFonts w:hint="eastAsia"/>
                <w:kern w:val="0"/>
                <w:sz w:val="20"/>
                <w:highlight w:val="none"/>
              </w:rPr>
              <w:t>单个项目下病害种类，病害程度梳理，极值等</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vMerge w:val="restart"/>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路面技术状况</w:t>
            </w:r>
          </w:p>
          <w:p>
            <w:pPr>
              <w:jc w:val="center"/>
              <w:rPr>
                <w:rFonts w:hint="eastAsia" w:ascii="宋体" w:hAnsi="宋体"/>
                <w:kern w:val="0"/>
                <w:sz w:val="20"/>
                <w:szCs w:val="28"/>
                <w:highlight w:val="none"/>
              </w:rPr>
            </w:pPr>
            <w:r>
              <w:rPr>
                <w:rFonts w:hint="eastAsia" w:ascii="宋体" w:hAnsi="宋体"/>
                <w:kern w:val="0"/>
                <w:sz w:val="20"/>
                <w:szCs w:val="28"/>
                <w:highlight w:val="none"/>
              </w:rPr>
              <w:t>（高速公路）</w:t>
            </w:r>
          </w:p>
        </w:tc>
        <w:tc>
          <w:tcPr>
            <w:tcW w:w="1545"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数据检查</w:t>
            </w:r>
          </w:p>
        </w:tc>
        <w:tc>
          <w:tcPr>
            <w:tcW w:w="3076"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桩号校准，查找重复、空缺、特异值</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计算评分</w:t>
            </w:r>
          </w:p>
        </w:tc>
        <w:tc>
          <w:tcPr>
            <w:tcW w:w="3076"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分别针对混凝土路面和沥青路面</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分析图表</w:t>
            </w:r>
          </w:p>
        </w:tc>
        <w:tc>
          <w:tcPr>
            <w:tcW w:w="3076"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7种参数的数据散点图、圆饼图、柱状图</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汇总统计</w:t>
            </w:r>
          </w:p>
        </w:tc>
        <w:tc>
          <w:tcPr>
            <w:tcW w:w="3076"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针对多路段数据结果进行汇总统计</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vMerge w:val="restart"/>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广告牌检测</w:t>
            </w:r>
          </w:p>
        </w:tc>
        <w:tc>
          <w:tcPr>
            <w:tcW w:w="1545" w:type="dxa"/>
            <w:vMerge w:val="restart"/>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技术状况评分</w:t>
            </w:r>
          </w:p>
        </w:tc>
        <w:tc>
          <w:tcPr>
            <w:tcW w:w="3076" w:type="dxa"/>
            <w:noWrap w:val="0"/>
            <w:vAlign w:val="center"/>
          </w:tcPr>
          <w:p>
            <w:pPr>
              <w:jc w:val="center"/>
              <w:rPr>
                <w:rFonts w:hint="eastAsia" w:ascii="宋体" w:hAnsi="宋体"/>
                <w:kern w:val="0"/>
                <w:sz w:val="20"/>
                <w:szCs w:val="28"/>
                <w:highlight w:val="none"/>
              </w:rPr>
            </w:pPr>
            <w:r>
              <w:rPr>
                <w:rFonts w:hint="eastAsia"/>
                <w:kern w:val="0"/>
                <w:sz w:val="20"/>
                <w:highlight w:val="none"/>
              </w:rPr>
              <w:t>数据条目及权重管理</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vMerge w:val="continue"/>
            <w:noWrap w:val="0"/>
            <w:vAlign w:val="center"/>
          </w:tcPr>
          <w:p>
            <w:pPr>
              <w:jc w:val="center"/>
              <w:rPr>
                <w:rFonts w:hint="eastAsia" w:ascii="宋体" w:hAnsi="宋体"/>
                <w:kern w:val="0"/>
                <w:sz w:val="20"/>
                <w:szCs w:val="28"/>
                <w:highlight w:val="none"/>
              </w:rPr>
            </w:pPr>
          </w:p>
        </w:tc>
        <w:tc>
          <w:tcPr>
            <w:tcW w:w="3076" w:type="dxa"/>
            <w:noWrap w:val="0"/>
            <w:vAlign w:val="center"/>
          </w:tcPr>
          <w:p>
            <w:pPr>
              <w:jc w:val="center"/>
              <w:rPr>
                <w:rFonts w:hint="eastAsia" w:ascii="宋体" w:hAnsi="宋体"/>
                <w:kern w:val="0"/>
                <w:sz w:val="20"/>
                <w:szCs w:val="28"/>
                <w:highlight w:val="none"/>
              </w:rPr>
            </w:pPr>
            <w:r>
              <w:rPr>
                <w:rFonts w:hint="eastAsia"/>
                <w:kern w:val="0"/>
                <w:sz w:val="20"/>
                <w:highlight w:val="none"/>
              </w:rPr>
              <w:t>记录打分，权重读取并计算总评分</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1258" w:type="dxa"/>
            <w:vMerge w:val="continue"/>
            <w:noWrap w:val="0"/>
            <w:vAlign w:val="center"/>
          </w:tcPr>
          <w:p>
            <w:pPr>
              <w:jc w:val="center"/>
              <w:rPr>
                <w:rFonts w:hint="eastAsia" w:ascii="宋体" w:hAnsi="宋体"/>
                <w:kern w:val="0"/>
                <w:sz w:val="24"/>
                <w:szCs w:val="24"/>
                <w:highlight w:val="none"/>
              </w:rPr>
            </w:pPr>
          </w:p>
        </w:tc>
        <w:tc>
          <w:tcPr>
            <w:tcW w:w="1500"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过程计算</w:t>
            </w:r>
          </w:p>
        </w:tc>
        <w:tc>
          <w:tcPr>
            <w:tcW w:w="1545"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过程计算</w:t>
            </w:r>
          </w:p>
        </w:tc>
        <w:tc>
          <w:tcPr>
            <w:tcW w:w="3076" w:type="dxa"/>
            <w:noWrap w:val="0"/>
            <w:vAlign w:val="center"/>
          </w:tcPr>
          <w:p>
            <w:pPr>
              <w:jc w:val="center"/>
              <w:rPr>
                <w:rFonts w:hint="eastAsia"/>
                <w:kern w:val="0"/>
                <w:sz w:val="20"/>
                <w:highlight w:val="none"/>
              </w:rPr>
            </w:pPr>
            <w:r>
              <w:rPr>
                <w:rFonts w:hint="eastAsia"/>
                <w:kern w:val="0"/>
                <w:sz w:val="20"/>
                <w:highlight w:val="none"/>
              </w:rPr>
              <w:t>针对记录表中的数据进行计算以完善记录表</w:t>
            </w:r>
          </w:p>
        </w:tc>
        <w:tc>
          <w:tcPr>
            <w:tcW w:w="2800"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GSJC-JJTY003-2021回弹仪率定试验记录表</w:t>
            </w:r>
          </w:p>
          <w:p>
            <w:pPr>
              <w:jc w:val="center"/>
              <w:rPr>
                <w:rFonts w:hint="eastAsia" w:ascii="宋体" w:hAnsi="宋体"/>
                <w:kern w:val="0"/>
                <w:sz w:val="20"/>
                <w:szCs w:val="28"/>
                <w:highlight w:val="none"/>
              </w:rPr>
            </w:pPr>
            <w:r>
              <w:rPr>
                <w:rFonts w:hint="eastAsia" w:ascii="宋体" w:hAnsi="宋体"/>
                <w:kern w:val="0"/>
                <w:sz w:val="20"/>
                <w:szCs w:val="28"/>
                <w:highlight w:val="none"/>
              </w:rPr>
              <w:t>GSJC-JJGLP02001-1-2021混凝土强度检测（回弹法）记录表</w:t>
            </w:r>
          </w:p>
          <w:p>
            <w:pPr>
              <w:jc w:val="center"/>
              <w:rPr>
                <w:rFonts w:hint="eastAsia" w:ascii="宋体" w:hAnsi="宋体"/>
                <w:kern w:val="0"/>
                <w:sz w:val="20"/>
                <w:szCs w:val="28"/>
                <w:highlight w:val="none"/>
              </w:rPr>
            </w:pPr>
            <w:r>
              <w:rPr>
                <w:rFonts w:hint="eastAsia" w:ascii="宋体" w:hAnsi="宋体"/>
                <w:kern w:val="0"/>
                <w:sz w:val="20"/>
                <w:szCs w:val="28"/>
                <w:highlight w:val="none"/>
              </w:rPr>
              <w:t>GSJC-JJGLP02001-2-2021混凝土强度试验检测（超声回弹法）记录表</w:t>
            </w:r>
          </w:p>
          <w:p>
            <w:pPr>
              <w:jc w:val="center"/>
              <w:rPr>
                <w:rFonts w:hint="eastAsia" w:ascii="宋体" w:hAnsi="宋体"/>
                <w:kern w:val="0"/>
                <w:sz w:val="20"/>
                <w:szCs w:val="28"/>
                <w:highlight w:val="none"/>
              </w:rPr>
            </w:pPr>
            <w:r>
              <w:rPr>
                <w:rFonts w:hint="eastAsia" w:ascii="宋体" w:hAnsi="宋体"/>
                <w:kern w:val="0"/>
                <w:sz w:val="20"/>
                <w:szCs w:val="28"/>
                <w:highlight w:val="none"/>
              </w:rPr>
              <w:t>GSJC-JJGLP02004-2021钢筋位置及保护层厚度检测（电磁感应法）记录表</w:t>
            </w:r>
          </w:p>
          <w:p>
            <w:pPr>
              <w:jc w:val="center"/>
              <w:rPr>
                <w:rFonts w:hint="eastAsia" w:ascii="宋体" w:hAnsi="宋体"/>
                <w:kern w:val="0"/>
                <w:sz w:val="20"/>
                <w:szCs w:val="28"/>
                <w:highlight w:val="none"/>
              </w:rPr>
            </w:pPr>
            <w:r>
              <w:rPr>
                <w:rFonts w:hint="eastAsia" w:ascii="宋体" w:hAnsi="宋体"/>
                <w:kern w:val="0"/>
                <w:sz w:val="20"/>
                <w:szCs w:val="28"/>
                <w:highlight w:val="none"/>
              </w:rPr>
              <w:t>GSJC-JJGLP03008-1-2021钢材及焊缝无损探伤检测（超声波法）记录表</w:t>
            </w:r>
          </w:p>
          <w:p>
            <w:pPr>
              <w:jc w:val="center"/>
              <w:rPr>
                <w:rFonts w:hint="eastAsia" w:ascii="宋体" w:hAnsi="宋体"/>
                <w:kern w:val="0"/>
                <w:sz w:val="20"/>
                <w:szCs w:val="28"/>
                <w:highlight w:val="none"/>
              </w:rPr>
            </w:pPr>
            <w:r>
              <w:rPr>
                <w:rFonts w:hint="eastAsia" w:ascii="宋体" w:hAnsi="宋体"/>
                <w:kern w:val="0"/>
                <w:sz w:val="20"/>
                <w:szCs w:val="28"/>
                <w:highlight w:val="none"/>
              </w:rPr>
              <w:t>GSJC-JJGLP03008-2-2021钢材及焊缝无损探伤检测（磁粉法）记录表</w:t>
            </w:r>
          </w:p>
          <w:p>
            <w:pPr>
              <w:jc w:val="center"/>
              <w:rPr>
                <w:rFonts w:hint="eastAsia" w:ascii="宋体" w:hAnsi="宋体"/>
                <w:kern w:val="0"/>
                <w:sz w:val="20"/>
                <w:szCs w:val="28"/>
                <w:highlight w:val="none"/>
              </w:rPr>
            </w:pPr>
            <w:r>
              <w:rPr>
                <w:rFonts w:hint="eastAsia" w:ascii="宋体" w:hAnsi="宋体"/>
                <w:kern w:val="0"/>
                <w:sz w:val="20"/>
                <w:szCs w:val="28"/>
                <w:highlight w:val="none"/>
              </w:rPr>
              <w:t>GSJC-JJGLP03010-2021钢结构防腐涂层厚度检测记录表</w:t>
            </w:r>
          </w:p>
          <w:p>
            <w:pPr>
              <w:jc w:val="center"/>
              <w:rPr>
                <w:rFonts w:ascii="宋体" w:hAnsi="宋体"/>
                <w:kern w:val="0"/>
                <w:sz w:val="20"/>
                <w:szCs w:val="28"/>
                <w:highlight w:val="none"/>
              </w:rPr>
            </w:pPr>
            <w:r>
              <w:rPr>
                <w:rFonts w:hint="eastAsia" w:ascii="宋体" w:hAnsi="宋体"/>
                <w:kern w:val="0"/>
                <w:sz w:val="20"/>
                <w:szCs w:val="28"/>
                <w:highlight w:val="none"/>
              </w:rPr>
              <w:t>GSJC-JJGLP03014-2021高强度螺栓终拧扭矩检测记录表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restart"/>
            <w:noWrap w:val="0"/>
            <w:vAlign w:val="center"/>
          </w:tcPr>
          <w:p>
            <w:pPr>
              <w:jc w:val="center"/>
              <w:rPr>
                <w:rFonts w:hint="eastAsia" w:ascii="宋体" w:hAnsi="宋体"/>
                <w:kern w:val="0"/>
                <w:sz w:val="24"/>
                <w:szCs w:val="24"/>
                <w:highlight w:val="none"/>
              </w:rPr>
            </w:pPr>
            <w:r>
              <w:rPr>
                <w:rFonts w:hint="eastAsia" w:ascii="宋体" w:hAnsi="宋体"/>
                <w:kern w:val="0"/>
                <w:sz w:val="24"/>
                <w:szCs w:val="24"/>
                <w:highlight w:val="none"/>
              </w:rPr>
              <w:t>数据</w:t>
            </w:r>
          </w:p>
          <w:p>
            <w:pPr>
              <w:jc w:val="center"/>
              <w:rPr>
                <w:rFonts w:hint="eastAsia" w:ascii="宋体" w:hAnsi="宋体"/>
                <w:kern w:val="0"/>
                <w:sz w:val="24"/>
                <w:szCs w:val="24"/>
                <w:highlight w:val="none"/>
              </w:rPr>
            </w:pPr>
            <w:r>
              <w:rPr>
                <w:rFonts w:hint="eastAsia" w:ascii="宋体" w:hAnsi="宋体"/>
                <w:kern w:val="0"/>
                <w:sz w:val="24"/>
                <w:szCs w:val="24"/>
                <w:highlight w:val="none"/>
              </w:rPr>
              <w:t>输出</w:t>
            </w:r>
          </w:p>
        </w:tc>
        <w:tc>
          <w:tcPr>
            <w:tcW w:w="1500"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外观检查</w:t>
            </w:r>
          </w:p>
        </w:tc>
        <w:tc>
          <w:tcPr>
            <w:tcW w:w="1545"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表格模板</w:t>
            </w:r>
          </w:p>
        </w:tc>
        <w:tc>
          <w:tcPr>
            <w:tcW w:w="3076"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支持word格式导出</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258" w:type="dxa"/>
            <w:vMerge w:val="continue"/>
            <w:noWrap w:val="0"/>
            <w:vAlign w:val="center"/>
          </w:tcPr>
          <w:p>
            <w:pPr>
              <w:jc w:val="center"/>
              <w:rPr>
                <w:rFonts w:hint="eastAsia" w:ascii="宋体" w:hAnsi="宋体"/>
                <w:kern w:val="0"/>
                <w:sz w:val="20"/>
                <w:szCs w:val="28"/>
                <w:highlight w:val="none"/>
              </w:rPr>
            </w:pPr>
          </w:p>
        </w:tc>
        <w:tc>
          <w:tcPr>
            <w:tcW w:w="1500"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路面技术状况</w:t>
            </w:r>
          </w:p>
          <w:p>
            <w:pPr>
              <w:jc w:val="center"/>
              <w:rPr>
                <w:rFonts w:hint="eastAsia" w:ascii="宋体" w:hAnsi="宋体"/>
                <w:kern w:val="0"/>
                <w:sz w:val="20"/>
                <w:szCs w:val="28"/>
                <w:highlight w:val="none"/>
              </w:rPr>
            </w:pPr>
            <w:r>
              <w:rPr>
                <w:rFonts w:hint="eastAsia" w:ascii="宋体" w:hAnsi="宋体"/>
                <w:kern w:val="0"/>
                <w:sz w:val="20"/>
                <w:szCs w:val="28"/>
                <w:highlight w:val="none"/>
              </w:rPr>
              <w:t>（高速公路）</w:t>
            </w:r>
          </w:p>
        </w:tc>
        <w:tc>
          <w:tcPr>
            <w:tcW w:w="1545"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报告模板</w:t>
            </w:r>
          </w:p>
        </w:tc>
        <w:tc>
          <w:tcPr>
            <w:tcW w:w="3076"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支持word格式导出</w:t>
            </w:r>
          </w:p>
          <w:p>
            <w:pPr>
              <w:jc w:val="center"/>
              <w:rPr>
                <w:rFonts w:ascii="宋体" w:hAnsi="宋体"/>
                <w:kern w:val="0"/>
                <w:sz w:val="20"/>
                <w:szCs w:val="28"/>
                <w:highlight w:val="none"/>
              </w:rPr>
            </w:pPr>
            <w:r>
              <w:rPr>
                <w:rFonts w:hint="eastAsia" w:ascii="宋体" w:hAnsi="宋体"/>
                <w:kern w:val="0"/>
                <w:sz w:val="20"/>
                <w:szCs w:val="28"/>
                <w:highlight w:val="none"/>
              </w:rPr>
              <w:t>依据模板导出报告</w:t>
            </w:r>
          </w:p>
          <w:p>
            <w:pPr>
              <w:jc w:val="center"/>
              <w:rPr>
                <w:rFonts w:hint="eastAsia" w:ascii="宋体" w:hAnsi="宋体"/>
                <w:kern w:val="0"/>
                <w:sz w:val="20"/>
                <w:szCs w:val="28"/>
                <w:highlight w:val="none"/>
              </w:rPr>
            </w:pPr>
            <w:r>
              <w:rPr>
                <w:rFonts w:hint="eastAsia" w:ascii="宋体" w:hAnsi="宋体"/>
                <w:kern w:val="0"/>
                <w:sz w:val="20"/>
                <w:szCs w:val="28"/>
                <w:highlight w:val="none"/>
              </w:rPr>
              <w:t>超长数据判别与分册</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58" w:type="dxa"/>
            <w:vMerge w:val="continue"/>
            <w:noWrap w:val="0"/>
            <w:vAlign w:val="center"/>
          </w:tcPr>
          <w:p>
            <w:pPr>
              <w:jc w:val="center"/>
              <w:rPr>
                <w:rFonts w:hint="eastAsia" w:ascii="宋体" w:hAnsi="宋体"/>
                <w:kern w:val="0"/>
                <w:sz w:val="20"/>
                <w:szCs w:val="28"/>
                <w:highlight w:val="none"/>
              </w:rPr>
            </w:pPr>
          </w:p>
        </w:tc>
        <w:tc>
          <w:tcPr>
            <w:tcW w:w="1500"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广告牌检测</w:t>
            </w:r>
          </w:p>
        </w:tc>
        <w:tc>
          <w:tcPr>
            <w:tcW w:w="1545"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报告模板</w:t>
            </w:r>
          </w:p>
        </w:tc>
        <w:tc>
          <w:tcPr>
            <w:tcW w:w="3076"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支持word格式导出</w:t>
            </w:r>
          </w:p>
          <w:p>
            <w:pPr>
              <w:jc w:val="center"/>
              <w:rPr>
                <w:rFonts w:hint="eastAsia" w:ascii="宋体" w:hAnsi="宋体"/>
                <w:kern w:val="0"/>
                <w:sz w:val="20"/>
                <w:szCs w:val="28"/>
                <w:highlight w:val="none"/>
              </w:rPr>
            </w:pPr>
            <w:r>
              <w:rPr>
                <w:rFonts w:hint="eastAsia" w:ascii="宋体" w:hAnsi="宋体"/>
                <w:kern w:val="0"/>
                <w:sz w:val="20"/>
                <w:szCs w:val="28"/>
                <w:highlight w:val="none"/>
              </w:rPr>
              <w:t>依据模板导出报告</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1258" w:type="dxa"/>
            <w:vMerge w:val="continue"/>
            <w:noWrap w:val="0"/>
            <w:vAlign w:val="center"/>
          </w:tcPr>
          <w:p>
            <w:pPr>
              <w:jc w:val="center"/>
              <w:rPr>
                <w:rFonts w:hint="eastAsia" w:ascii="宋体" w:hAnsi="宋体"/>
                <w:kern w:val="0"/>
                <w:sz w:val="20"/>
                <w:szCs w:val="28"/>
                <w:highlight w:val="none"/>
              </w:rPr>
            </w:pPr>
          </w:p>
        </w:tc>
        <w:tc>
          <w:tcPr>
            <w:tcW w:w="1500" w:type="dxa"/>
            <w:noWrap w:val="0"/>
            <w:vAlign w:val="center"/>
          </w:tcPr>
          <w:p>
            <w:pPr>
              <w:jc w:val="center"/>
              <w:rPr>
                <w:rFonts w:ascii="宋体" w:hAnsi="宋体"/>
                <w:kern w:val="0"/>
                <w:sz w:val="20"/>
                <w:szCs w:val="28"/>
                <w:highlight w:val="none"/>
              </w:rPr>
            </w:pPr>
            <w:r>
              <w:rPr>
                <w:rFonts w:hint="eastAsia"/>
                <w:kern w:val="0"/>
                <w:sz w:val="20"/>
                <w:highlight w:val="none"/>
              </w:rPr>
              <w:t>需涵盖的受控记录表</w:t>
            </w:r>
          </w:p>
        </w:tc>
        <w:tc>
          <w:tcPr>
            <w:tcW w:w="1545"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记录表归档</w:t>
            </w:r>
          </w:p>
        </w:tc>
        <w:tc>
          <w:tcPr>
            <w:tcW w:w="3076"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支持PDF格式导出</w:t>
            </w:r>
          </w:p>
          <w:p>
            <w:pPr>
              <w:jc w:val="center"/>
              <w:rPr>
                <w:rFonts w:hint="eastAsia" w:ascii="宋体" w:hAnsi="宋体"/>
                <w:kern w:val="0"/>
                <w:sz w:val="20"/>
                <w:szCs w:val="28"/>
                <w:highlight w:val="none"/>
              </w:rPr>
            </w:pPr>
            <w:r>
              <w:rPr>
                <w:rFonts w:hint="eastAsia" w:ascii="宋体" w:hAnsi="宋体"/>
                <w:kern w:val="0"/>
                <w:sz w:val="20"/>
                <w:szCs w:val="28"/>
                <w:highlight w:val="none"/>
              </w:rPr>
              <w:t>资料管理</w:t>
            </w:r>
          </w:p>
        </w:tc>
        <w:tc>
          <w:tcPr>
            <w:tcW w:w="2800"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GSJC-JJTY003-2021回弹仪率定试验记录表</w:t>
            </w:r>
          </w:p>
          <w:p>
            <w:pPr>
              <w:jc w:val="center"/>
              <w:rPr>
                <w:rFonts w:hint="eastAsia" w:ascii="宋体" w:hAnsi="宋体"/>
                <w:kern w:val="0"/>
                <w:sz w:val="20"/>
                <w:szCs w:val="28"/>
                <w:highlight w:val="none"/>
              </w:rPr>
            </w:pPr>
            <w:r>
              <w:rPr>
                <w:rFonts w:hint="eastAsia" w:ascii="宋体" w:hAnsi="宋体"/>
                <w:kern w:val="0"/>
                <w:sz w:val="20"/>
                <w:szCs w:val="28"/>
                <w:highlight w:val="none"/>
              </w:rPr>
              <w:t>GSJC-JJGLP02001-1-2021混凝土强度检测（回弹法）记录表</w:t>
            </w:r>
          </w:p>
          <w:p>
            <w:pPr>
              <w:jc w:val="center"/>
              <w:rPr>
                <w:rFonts w:hint="eastAsia" w:ascii="宋体" w:hAnsi="宋体"/>
                <w:kern w:val="0"/>
                <w:sz w:val="20"/>
                <w:szCs w:val="28"/>
                <w:highlight w:val="none"/>
              </w:rPr>
            </w:pPr>
            <w:r>
              <w:rPr>
                <w:rFonts w:hint="eastAsia" w:ascii="宋体" w:hAnsi="宋体"/>
                <w:kern w:val="0"/>
                <w:sz w:val="20"/>
                <w:szCs w:val="28"/>
                <w:highlight w:val="none"/>
              </w:rPr>
              <w:t>GSJC-JJGLP02001-2-2021混凝土强度试验检测（超声回弹法）记录表</w:t>
            </w:r>
          </w:p>
          <w:p>
            <w:pPr>
              <w:jc w:val="center"/>
              <w:rPr>
                <w:rFonts w:hint="eastAsia" w:ascii="宋体" w:hAnsi="宋体"/>
                <w:kern w:val="0"/>
                <w:sz w:val="20"/>
                <w:szCs w:val="28"/>
                <w:highlight w:val="none"/>
              </w:rPr>
            </w:pPr>
            <w:r>
              <w:rPr>
                <w:rFonts w:hint="eastAsia" w:ascii="宋体" w:hAnsi="宋体"/>
                <w:kern w:val="0"/>
                <w:sz w:val="20"/>
                <w:szCs w:val="28"/>
                <w:highlight w:val="none"/>
              </w:rPr>
              <w:t>GSJC-JJGLP02004-2021钢筋位置及保护层厚度检测（电磁感应法）记录表</w:t>
            </w:r>
          </w:p>
          <w:p>
            <w:pPr>
              <w:jc w:val="center"/>
              <w:rPr>
                <w:rFonts w:hint="eastAsia" w:ascii="宋体" w:hAnsi="宋体"/>
                <w:kern w:val="0"/>
                <w:sz w:val="20"/>
                <w:szCs w:val="28"/>
                <w:highlight w:val="none"/>
              </w:rPr>
            </w:pPr>
            <w:r>
              <w:rPr>
                <w:rFonts w:hint="eastAsia" w:ascii="宋体" w:hAnsi="宋体"/>
                <w:kern w:val="0"/>
                <w:sz w:val="20"/>
                <w:szCs w:val="28"/>
                <w:highlight w:val="none"/>
              </w:rPr>
              <w:t>GSJC-JJGLP03008-1-2021钢材及焊缝无损探伤检测（超声波法）记录表</w:t>
            </w:r>
          </w:p>
          <w:p>
            <w:pPr>
              <w:jc w:val="center"/>
              <w:rPr>
                <w:rFonts w:hint="eastAsia" w:ascii="宋体" w:hAnsi="宋体"/>
                <w:kern w:val="0"/>
                <w:sz w:val="20"/>
                <w:szCs w:val="28"/>
                <w:highlight w:val="none"/>
              </w:rPr>
            </w:pPr>
            <w:r>
              <w:rPr>
                <w:rFonts w:hint="eastAsia" w:ascii="宋体" w:hAnsi="宋体"/>
                <w:kern w:val="0"/>
                <w:sz w:val="20"/>
                <w:szCs w:val="28"/>
                <w:highlight w:val="none"/>
              </w:rPr>
              <w:t>GSJC-JJGLP03008-2-2021钢材及焊缝无损探伤检测（磁粉法）记录表</w:t>
            </w:r>
          </w:p>
          <w:p>
            <w:pPr>
              <w:jc w:val="center"/>
              <w:rPr>
                <w:rFonts w:hint="eastAsia" w:ascii="宋体" w:hAnsi="宋体"/>
                <w:kern w:val="0"/>
                <w:sz w:val="20"/>
                <w:szCs w:val="28"/>
                <w:highlight w:val="none"/>
              </w:rPr>
            </w:pPr>
            <w:r>
              <w:rPr>
                <w:rFonts w:hint="eastAsia" w:ascii="宋体" w:hAnsi="宋体"/>
                <w:kern w:val="0"/>
                <w:sz w:val="20"/>
                <w:szCs w:val="28"/>
                <w:highlight w:val="none"/>
              </w:rPr>
              <w:t>GSJC-JJGLP03010-2021钢结构防腐涂层厚度检测记录表</w:t>
            </w:r>
          </w:p>
          <w:p>
            <w:pPr>
              <w:jc w:val="center"/>
              <w:rPr>
                <w:rFonts w:hint="eastAsia" w:ascii="宋体" w:hAnsi="宋体"/>
                <w:kern w:val="0"/>
                <w:sz w:val="20"/>
                <w:szCs w:val="28"/>
                <w:highlight w:val="none"/>
              </w:rPr>
            </w:pPr>
            <w:r>
              <w:rPr>
                <w:rFonts w:hint="eastAsia" w:ascii="宋体" w:hAnsi="宋体"/>
                <w:kern w:val="0"/>
                <w:sz w:val="20"/>
                <w:szCs w:val="28"/>
                <w:highlight w:val="none"/>
              </w:rPr>
              <w:t>GSJC-JJGLP03014-2021高强度螺栓终拧扭矩检测记录表</w:t>
            </w:r>
          </w:p>
          <w:p>
            <w:pPr>
              <w:jc w:val="center"/>
              <w:rPr>
                <w:rFonts w:hint="eastAsia" w:ascii="宋体" w:hAnsi="宋体"/>
                <w:kern w:val="0"/>
                <w:sz w:val="20"/>
                <w:szCs w:val="28"/>
                <w:highlight w:val="none"/>
              </w:rPr>
            </w:pPr>
            <w:r>
              <w:rPr>
                <w:rFonts w:hint="eastAsia" w:ascii="宋体" w:hAnsi="宋体"/>
                <w:kern w:val="0"/>
                <w:sz w:val="20"/>
                <w:szCs w:val="28"/>
                <w:highlight w:val="none"/>
              </w:rPr>
              <w:t>GSJC-JJTY004-2021钢结构广告牌检测记录表</w:t>
            </w:r>
          </w:p>
          <w:p>
            <w:pPr>
              <w:jc w:val="center"/>
              <w:rPr>
                <w:rFonts w:hint="eastAsia" w:ascii="宋体" w:hAnsi="宋体"/>
                <w:kern w:val="0"/>
                <w:sz w:val="20"/>
                <w:szCs w:val="28"/>
                <w:highlight w:val="none"/>
              </w:rPr>
            </w:pPr>
            <w:r>
              <w:rPr>
                <w:rFonts w:hint="eastAsia" w:ascii="宋体" w:hAnsi="宋体"/>
                <w:kern w:val="0"/>
                <w:sz w:val="20"/>
                <w:szCs w:val="28"/>
                <w:highlight w:val="none"/>
              </w:rPr>
              <w:t>GSJC-JJTY001-2021外观检查记录表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0"/>
                <w:szCs w:val="28"/>
                <w:highlight w:val="none"/>
              </w:rPr>
            </w:pPr>
          </w:p>
        </w:tc>
        <w:tc>
          <w:tcPr>
            <w:tcW w:w="1500" w:type="dxa"/>
            <w:vMerge w:val="restart"/>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数据加工</w:t>
            </w:r>
          </w:p>
        </w:tc>
        <w:tc>
          <w:tcPr>
            <w:tcW w:w="1545"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数据锁定</w:t>
            </w:r>
          </w:p>
        </w:tc>
        <w:tc>
          <w:tcPr>
            <w:tcW w:w="3076" w:type="dxa"/>
            <w:noWrap w:val="0"/>
            <w:vAlign w:val="center"/>
          </w:tcPr>
          <w:p>
            <w:pPr>
              <w:jc w:val="center"/>
              <w:rPr>
                <w:rFonts w:ascii="宋体" w:hAnsi="宋体"/>
                <w:kern w:val="0"/>
                <w:sz w:val="20"/>
                <w:szCs w:val="28"/>
                <w:highlight w:val="none"/>
              </w:rPr>
            </w:pP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0"/>
                <w:szCs w:val="28"/>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数据解锁</w:t>
            </w:r>
          </w:p>
        </w:tc>
        <w:tc>
          <w:tcPr>
            <w:tcW w:w="3076" w:type="dxa"/>
            <w:noWrap w:val="0"/>
            <w:vAlign w:val="center"/>
          </w:tcPr>
          <w:p>
            <w:pPr>
              <w:jc w:val="center"/>
              <w:rPr>
                <w:rFonts w:ascii="宋体" w:hAnsi="宋体"/>
                <w:kern w:val="0"/>
                <w:sz w:val="20"/>
                <w:szCs w:val="28"/>
                <w:highlight w:val="none"/>
              </w:rPr>
            </w:pP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0"/>
                <w:szCs w:val="28"/>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数据归档</w:t>
            </w:r>
          </w:p>
        </w:tc>
        <w:tc>
          <w:tcPr>
            <w:tcW w:w="3076" w:type="dxa"/>
            <w:noWrap w:val="0"/>
            <w:vAlign w:val="center"/>
          </w:tcPr>
          <w:p>
            <w:pPr>
              <w:jc w:val="center"/>
              <w:rPr>
                <w:rFonts w:ascii="宋体" w:hAnsi="宋体"/>
                <w:kern w:val="0"/>
                <w:sz w:val="20"/>
                <w:szCs w:val="28"/>
                <w:highlight w:val="none"/>
              </w:rPr>
            </w:pP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0"/>
                <w:szCs w:val="28"/>
                <w:highlight w:val="none"/>
              </w:rPr>
            </w:pPr>
          </w:p>
        </w:tc>
        <w:tc>
          <w:tcPr>
            <w:tcW w:w="1500" w:type="dxa"/>
            <w:vMerge w:val="restart"/>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报告生成</w:t>
            </w:r>
          </w:p>
        </w:tc>
        <w:tc>
          <w:tcPr>
            <w:tcW w:w="1545"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基础数据生成</w:t>
            </w:r>
          </w:p>
        </w:tc>
        <w:tc>
          <w:tcPr>
            <w:tcW w:w="3076" w:type="dxa"/>
            <w:noWrap w:val="0"/>
            <w:vAlign w:val="center"/>
          </w:tcPr>
          <w:p>
            <w:pPr>
              <w:jc w:val="center"/>
              <w:rPr>
                <w:rFonts w:ascii="宋体" w:hAnsi="宋体"/>
                <w:kern w:val="0"/>
                <w:sz w:val="20"/>
                <w:szCs w:val="28"/>
                <w:highlight w:val="none"/>
              </w:rPr>
            </w:pP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0"/>
                <w:szCs w:val="28"/>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文件导入</w:t>
            </w:r>
          </w:p>
        </w:tc>
        <w:tc>
          <w:tcPr>
            <w:tcW w:w="3076" w:type="dxa"/>
            <w:noWrap w:val="0"/>
            <w:vAlign w:val="center"/>
          </w:tcPr>
          <w:p>
            <w:pPr>
              <w:jc w:val="center"/>
              <w:rPr>
                <w:rFonts w:hint="eastAsia" w:ascii="宋体" w:hAnsi="宋体"/>
                <w:kern w:val="0"/>
                <w:sz w:val="20"/>
                <w:szCs w:val="28"/>
                <w:highlight w:val="none"/>
              </w:rPr>
            </w:pP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0"/>
                <w:szCs w:val="28"/>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图片重新定位</w:t>
            </w:r>
          </w:p>
        </w:tc>
        <w:tc>
          <w:tcPr>
            <w:tcW w:w="3076" w:type="dxa"/>
            <w:noWrap w:val="0"/>
            <w:vAlign w:val="center"/>
          </w:tcPr>
          <w:p>
            <w:pPr>
              <w:jc w:val="center"/>
              <w:rPr>
                <w:rFonts w:ascii="宋体" w:hAnsi="宋体"/>
                <w:kern w:val="0"/>
                <w:sz w:val="20"/>
                <w:szCs w:val="28"/>
                <w:highlight w:val="none"/>
              </w:rPr>
            </w:pP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0"/>
                <w:szCs w:val="28"/>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表单调整</w:t>
            </w:r>
          </w:p>
        </w:tc>
        <w:tc>
          <w:tcPr>
            <w:tcW w:w="3076" w:type="dxa"/>
            <w:noWrap w:val="0"/>
            <w:vAlign w:val="center"/>
          </w:tcPr>
          <w:p>
            <w:pPr>
              <w:jc w:val="center"/>
              <w:rPr>
                <w:rFonts w:ascii="宋体" w:hAnsi="宋体"/>
                <w:kern w:val="0"/>
                <w:sz w:val="20"/>
                <w:szCs w:val="28"/>
                <w:highlight w:val="none"/>
              </w:rPr>
            </w:pP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restart"/>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其他</w:t>
            </w:r>
          </w:p>
          <w:p>
            <w:pPr>
              <w:jc w:val="center"/>
              <w:rPr>
                <w:rFonts w:hint="eastAsia" w:ascii="宋体" w:hAnsi="宋体"/>
                <w:kern w:val="0"/>
                <w:sz w:val="20"/>
                <w:szCs w:val="28"/>
                <w:highlight w:val="none"/>
              </w:rPr>
            </w:pPr>
            <w:r>
              <w:rPr>
                <w:rFonts w:hint="eastAsia" w:ascii="宋体" w:hAnsi="宋体"/>
                <w:kern w:val="0"/>
                <w:sz w:val="20"/>
                <w:szCs w:val="28"/>
                <w:highlight w:val="none"/>
              </w:rPr>
              <w:t>需求</w:t>
            </w:r>
          </w:p>
        </w:tc>
        <w:tc>
          <w:tcPr>
            <w:tcW w:w="1500" w:type="dxa"/>
            <w:vMerge w:val="restart"/>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报告汇总（基桩完整性）</w:t>
            </w:r>
          </w:p>
        </w:tc>
        <w:tc>
          <w:tcPr>
            <w:tcW w:w="1545"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多批次数据录入</w:t>
            </w:r>
          </w:p>
        </w:tc>
        <w:tc>
          <w:tcPr>
            <w:tcW w:w="3076"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表单和图片数据，包含对应关系</w:t>
            </w:r>
          </w:p>
        </w:tc>
        <w:tc>
          <w:tcPr>
            <w:tcW w:w="2800"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超声波法、低应变法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58" w:type="dxa"/>
            <w:vMerge w:val="continue"/>
            <w:noWrap w:val="0"/>
            <w:vAlign w:val="center"/>
          </w:tcPr>
          <w:p>
            <w:pPr>
              <w:jc w:val="center"/>
              <w:rPr>
                <w:rFonts w:hint="eastAsia" w:ascii="宋体" w:hAnsi="宋体"/>
                <w:kern w:val="0"/>
                <w:sz w:val="28"/>
                <w:szCs w:val="28"/>
                <w:highlight w:val="none"/>
              </w:rPr>
            </w:pPr>
          </w:p>
        </w:tc>
        <w:tc>
          <w:tcPr>
            <w:tcW w:w="1500" w:type="dxa"/>
            <w:vMerge w:val="continue"/>
            <w:noWrap w:val="0"/>
            <w:vAlign w:val="center"/>
          </w:tcPr>
          <w:p>
            <w:pPr>
              <w:jc w:val="center"/>
              <w:rPr>
                <w:rFonts w:hint="eastAsia" w:ascii="宋体" w:hAnsi="宋体"/>
                <w:kern w:val="0"/>
                <w:sz w:val="20"/>
                <w:szCs w:val="28"/>
                <w:highlight w:val="none"/>
              </w:rPr>
            </w:pPr>
          </w:p>
        </w:tc>
        <w:tc>
          <w:tcPr>
            <w:tcW w:w="1545"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报告导出</w:t>
            </w:r>
          </w:p>
        </w:tc>
        <w:tc>
          <w:tcPr>
            <w:tcW w:w="3076" w:type="dxa"/>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支持word格式导出</w:t>
            </w:r>
          </w:p>
          <w:p>
            <w:pPr>
              <w:jc w:val="center"/>
              <w:rPr>
                <w:rFonts w:hint="eastAsia" w:ascii="宋体" w:hAnsi="宋体"/>
                <w:kern w:val="0"/>
                <w:sz w:val="20"/>
                <w:szCs w:val="28"/>
                <w:highlight w:val="none"/>
              </w:rPr>
            </w:pPr>
            <w:r>
              <w:rPr>
                <w:rFonts w:hint="eastAsia" w:ascii="宋体" w:hAnsi="宋体"/>
                <w:kern w:val="0"/>
                <w:sz w:val="20"/>
                <w:szCs w:val="28"/>
                <w:highlight w:val="none"/>
              </w:rPr>
              <w:t>依据模板导出报告</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hint="eastAsia" w:ascii="宋体" w:hAnsi="宋体"/>
                <w:kern w:val="0"/>
                <w:sz w:val="28"/>
                <w:szCs w:val="28"/>
                <w:highlight w:val="none"/>
              </w:rPr>
            </w:pPr>
          </w:p>
        </w:tc>
        <w:tc>
          <w:tcPr>
            <w:tcW w:w="1500" w:type="dxa"/>
            <w:vMerge w:val="restart"/>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人机交互</w:t>
            </w:r>
          </w:p>
        </w:tc>
        <w:tc>
          <w:tcPr>
            <w:tcW w:w="1545" w:type="dxa"/>
            <w:vMerge w:val="restart"/>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便捷使用</w:t>
            </w:r>
          </w:p>
        </w:tc>
        <w:tc>
          <w:tcPr>
            <w:tcW w:w="3076"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信息、数据表展示</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ascii="宋体" w:hAnsi="宋体"/>
                <w:kern w:val="0"/>
                <w:sz w:val="20"/>
                <w:szCs w:val="28"/>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vMerge w:val="continue"/>
            <w:noWrap w:val="0"/>
            <w:vAlign w:val="center"/>
          </w:tcPr>
          <w:p>
            <w:pPr>
              <w:jc w:val="center"/>
              <w:rPr>
                <w:rFonts w:ascii="宋体" w:hAnsi="宋体"/>
                <w:kern w:val="0"/>
                <w:sz w:val="20"/>
                <w:szCs w:val="28"/>
                <w:highlight w:val="none"/>
              </w:rPr>
            </w:pPr>
          </w:p>
        </w:tc>
        <w:tc>
          <w:tcPr>
            <w:tcW w:w="3076"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描述性语言关键词捕获</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ascii="宋体" w:hAnsi="宋体"/>
                <w:kern w:val="0"/>
                <w:sz w:val="20"/>
                <w:szCs w:val="28"/>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vMerge w:val="continue"/>
            <w:noWrap w:val="0"/>
            <w:vAlign w:val="center"/>
          </w:tcPr>
          <w:p>
            <w:pPr>
              <w:jc w:val="center"/>
              <w:rPr>
                <w:rFonts w:ascii="宋体" w:hAnsi="宋体"/>
                <w:kern w:val="0"/>
                <w:sz w:val="20"/>
                <w:szCs w:val="28"/>
                <w:highlight w:val="none"/>
              </w:rPr>
            </w:pPr>
          </w:p>
        </w:tc>
        <w:tc>
          <w:tcPr>
            <w:tcW w:w="3076"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预设数据自动填写</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ascii="宋体" w:hAnsi="宋体"/>
                <w:kern w:val="0"/>
                <w:sz w:val="20"/>
                <w:szCs w:val="28"/>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vMerge w:val="continue"/>
            <w:noWrap w:val="0"/>
            <w:vAlign w:val="center"/>
          </w:tcPr>
          <w:p>
            <w:pPr>
              <w:jc w:val="center"/>
              <w:rPr>
                <w:rFonts w:ascii="宋体" w:hAnsi="宋体"/>
                <w:kern w:val="0"/>
                <w:sz w:val="20"/>
                <w:szCs w:val="28"/>
                <w:highlight w:val="none"/>
              </w:rPr>
            </w:pPr>
          </w:p>
        </w:tc>
        <w:tc>
          <w:tcPr>
            <w:tcW w:w="3076"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智能联想查询</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ascii="宋体" w:hAnsi="宋体"/>
                <w:kern w:val="0"/>
                <w:sz w:val="20"/>
                <w:szCs w:val="28"/>
                <w:highlight w:val="none"/>
              </w:rPr>
            </w:pPr>
          </w:p>
        </w:tc>
        <w:tc>
          <w:tcPr>
            <w:tcW w:w="1500" w:type="dxa"/>
            <w:vMerge w:val="restart"/>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界面设计</w:t>
            </w:r>
          </w:p>
        </w:tc>
        <w:tc>
          <w:tcPr>
            <w:tcW w:w="1545" w:type="dxa"/>
            <w:vMerge w:val="restart"/>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表单和数据格</w:t>
            </w:r>
          </w:p>
        </w:tc>
        <w:tc>
          <w:tcPr>
            <w:tcW w:w="3076"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数据表单全局显示与局部操作</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ascii="宋体" w:hAnsi="宋体"/>
                <w:kern w:val="0"/>
                <w:sz w:val="20"/>
                <w:szCs w:val="28"/>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vMerge w:val="continue"/>
            <w:noWrap w:val="0"/>
            <w:vAlign w:val="center"/>
          </w:tcPr>
          <w:p>
            <w:pPr>
              <w:jc w:val="center"/>
              <w:rPr>
                <w:rFonts w:ascii="宋体" w:hAnsi="宋体"/>
                <w:kern w:val="0"/>
                <w:sz w:val="20"/>
                <w:szCs w:val="28"/>
                <w:highlight w:val="none"/>
              </w:rPr>
            </w:pPr>
          </w:p>
        </w:tc>
        <w:tc>
          <w:tcPr>
            <w:tcW w:w="3076"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信息布局设计</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ascii="宋体" w:hAnsi="宋体"/>
                <w:kern w:val="0"/>
                <w:sz w:val="20"/>
                <w:szCs w:val="28"/>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vMerge w:val="continue"/>
            <w:noWrap w:val="0"/>
            <w:vAlign w:val="center"/>
          </w:tcPr>
          <w:p>
            <w:pPr>
              <w:jc w:val="center"/>
              <w:rPr>
                <w:rFonts w:ascii="宋体" w:hAnsi="宋体"/>
                <w:kern w:val="0"/>
                <w:sz w:val="20"/>
                <w:szCs w:val="28"/>
                <w:highlight w:val="none"/>
              </w:rPr>
            </w:pPr>
          </w:p>
        </w:tc>
        <w:tc>
          <w:tcPr>
            <w:tcW w:w="3076"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数据格外围信息</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ascii="宋体" w:hAnsi="宋体"/>
                <w:kern w:val="0"/>
                <w:sz w:val="20"/>
                <w:szCs w:val="28"/>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vMerge w:val="continue"/>
            <w:noWrap w:val="0"/>
            <w:vAlign w:val="center"/>
          </w:tcPr>
          <w:p>
            <w:pPr>
              <w:jc w:val="center"/>
              <w:rPr>
                <w:rFonts w:ascii="宋体" w:hAnsi="宋体"/>
                <w:kern w:val="0"/>
                <w:sz w:val="20"/>
                <w:szCs w:val="28"/>
                <w:highlight w:val="none"/>
              </w:rPr>
            </w:pPr>
          </w:p>
        </w:tc>
        <w:tc>
          <w:tcPr>
            <w:tcW w:w="3076"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数据格操作模式</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ascii="宋体" w:hAnsi="宋体"/>
                <w:kern w:val="0"/>
                <w:sz w:val="20"/>
                <w:szCs w:val="28"/>
                <w:highlight w:val="none"/>
              </w:rPr>
            </w:pPr>
          </w:p>
        </w:tc>
        <w:tc>
          <w:tcPr>
            <w:tcW w:w="1500" w:type="dxa"/>
            <w:vMerge w:val="restart"/>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痕迹管理</w:t>
            </w:r>
          </w:p>
        </w:tc>
        <w:tc>
          <w:tcPr>
            <w:tcW w:w="1545" w:type="dxa"/>
            <w:vMerge w:val="restart"/>
            <w:noWrap w:val="0"/>
            <w:vAlign w:val="center"/>
          </w:tcPr>
          <w:p>
            <w:pPr>
              <w:jc w:val="center"/>
              <w:rPr>
                <w:rFonts w:ascii="宋体" w:hAnsi="宋体"/>
                <w:kern w:val="0"/>
                <w:sz w:val="20"/>
                <w:szCs w:val="28"/>
                <w:highlight w:val="none"/>
              </w:rPr>
            </w:pPr>
            <w:r>
              <w:rPr>
                <w:rFonts w:hint="eastAsia" w:ascii="宋体" w:hAnsi="宋体"/>
                <w:kern w:val="0"/>
                <w:sz w:val="20"/>
                <w:szCs w:val="28"/>
                <w:highlight w:val="none"/>
              </w:rPr>
              <w:t>操作留痕</w:t>
            </w:r>
          </w:p>
        </w:tc>
        <w:tc>
          <w:tcPr>
            <w:tcW w:w="3076"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数据修改留痕</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ascii="宋体" w:hAnsi="宋体"/>
                <w:kern w:val="0"/>
                <w:sz w:val="20"/>
                <w:szCs w:val="28"/>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vMerge w:val="continue"/>
            <w:noWrap w:val="0"/>
            <w:vAlign w:val="center"/>
          </w:tcPr>
          <w:p>
            <w:pPr>
              <w:jc w:val="center"/>
              <w:rPr>
                <w:rFonts w:ascii="宋体" w:hAnsi="宋体"/>
                <w:kern w:val="0"/>
                <w:sz w:val="20"/>
                <w:szCs w:val="28"/>
                <w:highlight w:val="none"/>
              </w:rPr>
            </w:pPr>
          </w:p>
        </w:tc>
        <w:tc>
          <w:tcPr>
            <w:tcW w:w="3076"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数据导入留痕</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ascii="宋体" w:hAnsi="宋体"/>
                <w:kern w:val="0"/>
                <w:sz w:val="20"/>
                <w:szCs w:val="28"/>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vMerge w:val="continue"/>
            <w:noWrap w:val="0"/>
            <w:vAlign w:val="center"/>
          </w:tcPr>
          <w:p>
            <w:pPr>
              <w:jc w:val="center"/>
              <w:rPr>
                <w:rFonts w:ascii="宋体" w:hAnsi="宋体"/>
                <w:kern w:val="0"/>
                <w:sz w:val="20"/>
                <w:szCs w:val="28"/>
                <w:highlight w:val="none"/>
              </w:rPr>
            </w:pPr>
          </w:p>
        </w:tc>
        <w:tc>
          <w:tcPr>
            <w:tcW w:w="3076"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数据锁定留痕</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ascii="宋体" w:hAnsi="宋体"/>
                <w:kern w:val="0"/>
                <w:sz w:val="20"/>
                <w:szCs w:val="28"/>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vMerge w:val="continue"/>
            <w:noWrap w:val="0"/>
            <w:vAlign w:val="center"/>
          </w:tcPr>
          <w:p>
            <w:pPr>
              <w:jc w:val="center"/>
              <w:rPr>
                <w:rFonts w:ascii="宋体" w:hAnsi="宋体"/>
                <w:kern w:val="0"/>
                <w:sz w:val="20"/>
                <w:szCs w:val="28"/>
                <w:highlight w:val="none"/>
              </w:rPr>
            </w:pPr>
          </w:p>
        </w:tc>
        <w:tc>
          <w:tcPr>
            <w:tcW w:w="3076"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数据解锁留痕</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8" w:type="dxa"/>
            <w:vMerge w:val="continue"/>
            <w:noWrap w:val="0"/>
            <w:vAlign w:val="center"/>
          </w:tcPr>
          <w:p>
            <w:pPr>
              <w:jc w:val="center"/>
              <w:rPr>
                <w:rFonts w:ascii="宋体" w:hAnsi="宋体"/>
                <w:kern w:val="0"/>
                <w:sz w:val="20"/>
                <w:szCs w:val="28"/>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vMerge w:val="continue"/>
            <w:noWrap w:val="0"/>
            <w:vAlign w:val="center"/>
          </w:tcPr>
          <w:p>
            <w:pPr>
              <w:jc w:val="center"/>
              <w:rPr>
                <w:rFonts w:ascii="宋体" w:hAnsi="宋体"/>
                <w:kern w:val="0"/>
                <w:sz w:val="20"/>
                <w:szCs w:val="28"/>
                <w:highlight w:val="none"/>
              </w:rPr>
            </w:pPr>
          </w:p>
        </w:tc>
        <w:tc>
          <w:tcPr>
            <w:tcW w:w="3076"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数据归档留痕</w:t>
            </w:r>
          </w:p>
        </w:tc>
        <w:tc>
          <w:tcPr>
            <w:tcW w:w="2800" w:type="dxa"/>
            <w:noWrap w:val="0"/>
            <w:vAlign w:val="center"/>
          </w:tcPr>
          <w:p>
            <w:pPr>
              <w:jc w:val="center"/>
              <w:rPr>
                <w:rFonts w:ascii="宋体" w:hAnsi="宋体"/>
                <w:kern w:val="0"/>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58" w:type="dxa"/>
            <w:vMerge w:val="continue"/>
            <w:noWrap w:val="0"/>
            <w:vAlign w:val="center"/>
          </w:tcPr>
          <w:p>
            <w:pPr>
              <w:jc w:val="center"/>
              <w:rPr>
                <w:rFonts w:ascii="宋体" w:hAnsi="宋体"/>
                <w:kern w:val="0"/>
                <w:sz w:val="20"/>
                <w:szCs w:val="28"/>
                <w:highlight w:val="none"/>
              </w:rPr>
            </w:pPr>
          </w:p>
        </w:tc>
        <w:tc>
          <w:tcPr>
            <w:tcW w:w="1500" w:type="dxa"/>
            <w:vMerge w:val="continue"/>
            <w:noWrap w:val="0"/>
            <w:vAlign w:val="center"/>
          </w:tcPr>
          <w:p>
            <w:pPr>
              <w:jc w:val="center"/>
              <w:rPr>
                <w:rFonts w:ascii="宋体" w:hAnsi="宋体"/>
                <w:kern w:val="0"/>
                <w:sz w:val="20"/>
                <w:szCs w:val="28"/>
                <w:highlight w:val="none"/>
              </w:rPr>
            </w:pPr>
          </w:p>
        </w:tc>
        <w:tc>
          <w:tcPr>
            <w:tcW w:w="1545" w:type="dxa"/>
            <w:vMerge w:val="continue"/>
            <w:noWrap w:val="0"/>
            <w:vAlign w:val="center"/>
          </w:tcPr>
          <w:p>
            <w:pPr>
              <w:jc w:val="center"/>
              <w:rPr>
                <w:rFonts w:ascii="宋体" w:hAnsi="宋体"/>
                <w:kern w:val="0"/>
                <w:sz w:val="20"/>
                <w:szCs w:val="28"/>
                <w:highlight w:val="none"/>
              </w:rPr>
            </w:pPr>
          </w:p>
        </w:tc>
        <w:tc>
          <w:tcPr>
            <w:tcW w:w="3076" w:type="dxa"/>
            <w:noWrap w:val="0"/>
            <w:vAlign w:val="center"/>
          </w:tcPr>
          <w:p>
            <w:pPr>
              <w:jc w:val="center"/>
              <w:rPr>
                <w:rFonts w:hint="eastAsia" w:ascii="宋体" w:hAnsi="宋体"/>
                <w:kern w:val="0"/>
                <w:sz w:val="20"/>
                <w:szCs w:val="28"/>
                <w:highlight w:val="none"/>
              </w:rPr>
            </w:pPr>
            <w:r>
              <w:rPr>
                <w:rFonts w:hint="eastAsia" w:ascii="宋体" w:hAnsi="宋体"/>
                <w:kern w:val="0"/>
                <w:sz w:val="20"/>
                <w:szCs w:val="28"/>
                <w:highlight w:val="none"/>
              </w:rPr>
              <w:t>筛选、查看、导出</w:t>
            </w:r>
          </w:p>
        </w:tc>
        <w:tc>
          <w:tcPr>
            <w:tcW w:w="2800" w:type="dxa"/>
            <w:noWrap w:val="0"/>
            <w:vAlign w:val="center"/>
          </w:tcPr>
          <w:p>
            <w:pPr>
              <w:jc w:val="center"/>
              <w:rPr>
                <w:rFonts w:ascii="宋体" w:hAnsi="宋体"/>
                <w:kern w:val="0"/>
                <w:sz w:val="20"/>
                <w:szCs w:val="28"/>
                <w:highlight w:val="none"/>
              </w:rPr>
            </w:pPr>
          </w:p>
        </w:tc>
      </w:tr>
    </w:tbl>
    <w:p>
      <w:pPr>
        <w:numPr>
          <w:ilvl w:val="0"/>
          <w:numId w:val="3"/>
        </w:numPr>
        <w:ind w:left="-202" w:leftChars="-96" w:firstLine="0" w:firstLineChars="0"/>
        <w:jc w:val="left"/>
        <w:outlineLvl w:val="1"/>
        <w:rPr>
          <w:rFonts w:hint="default"/>
          <w:lang w:val="en-US" w:eastAsia="zh-CN"/>
        </w:rPr>
      </w:pPr>
      <w:r>
        <w:rPr>
          <w:rFonts w:hint="eastAsia" w:ascii="宋体" w:hAnsi="宋体"/>
          <w:b/>
          <w:bCs/>
          <w:kern w:val="0"/>
          <w:sz w:val="20"/>
          <w:szCs w:val="28"/>
          <w:highlight w:val="none"/>
          <w:lang w:val="en-US" w:eastAsia="zh-CN"/>
        </w:rPr>
        <w:t>相关要求</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（1）</w:t>
      </w:r>
      <w:r>
        <w:rPr>
          <w:rFonts w:hint="eastAsia" w:ascii="Times New Roman" w:hAnsi="Times New Roman" w:cs="Times New Roman"/>
          <w:lang w:val="en-US" w:eastAsia="zh-CN"/>
        </w:rPr>
        <w:t>供应商</w:t>
      </w:r>
      <w:r>
        <w:rPr>
          <w:rFonts w:hint="eastAsia" w:ascii="Times New Roman" w:hAnsi="Times New Roman" w:cs="Times New Roman"/>
        </w:rPr>
        <w:t>接到任务通知后，应立即按照要求在三个月内完成研发工作，其中在两个月内完成系统上线试运行；</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（2）</w:t>
      </w:r>
      <w:r>
        <w:rPr>
          <w:rFonts w:hint="eastAsia" w:ascii="Times New Roman" w:hAnsi="Times New Roman" w:cs="Times New Roman"/>
          <w:lang w:val="en-US" w:eastAsia="zh-CN"/>
        </w:rPr>
        <w:t>供应商</w:t>
      </w:r>
      <w:r>
        <w:rPr>
          <w:rFonts w:hint="eastAsia" w:ascii="Times New Roman" w:hAnsi="Times New Roman" w:cs="Times New Roman"/>
        </w:rPr>
        <w:t>需在采购方服务地点设有本地化服务机构，在系统研发期间每周不少于两次到采购方报告研发进度；</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（3）</w:t>
      </w:r>
      <w:r>
        <w:rPr>
          <w:rFonts w:hint="eastAsia" w:ascii="Times New Roman" w:hAnsi="Times New Roman" w:cs="Times New Roman"/>
          <w:lang w:val="en-US" w:eastAsia="zh-CN"/>
        </w:rPr>
        <w:t>供应商</w:t>
      </w:r>
      <w:r>
        <w:rPr>
          <w:rFonts w:hint="eastAsia" w:ascii="Times New Roman" w:hAnsi="Times New Roman" w:cs="Times New Roman"/>
        </w:rPr>
        <w:t>人员的工资、加班、福利、五险一金、意外保险、差旅、通讯、培训、伙食、误餐等费用全部由被采购方承担；</w:t>
      </w:r>
    </w:p>
    <w:p>
      <w:pPr>
        <w:widowControl/>
        <w:spacing w:line="440" w:lineRule="exact"/>
        <w:ind w:firstLine="420"/>
        <w:jc w:val="left"/>
        <w:rPr>
          <w:rFonts w:hint="eastAsia" w:ascii="Times New Roman" w:hAnsi="Times New Roman" w:cs="Times New Roman"/>
        </w:rPr>
      </w:pPr>
      <w:r>
        <w:rPr>
          <w:rFonts w:hint="eastAsia" w:ascii="Times New Roman" w:hAnsi="Times New Roman" w:cs="Times New Roman"/>
        </w:rPr>
        <w:t>（4）</w:t>
      </w:r>
      <w:r>
        <w:rPr>
          <w:rFonts w:hint="eastAsia" w:ascii="Times New Roman" w:hAnsi="Times New Roman" w:cs="Times New Roman"/>
          <w:lang w:val="en-US" w:eastAsia="zh-CN"/>
        </w:rPr>
        <w:t>供应商</w:t>
      </w:r>
      <w:r>
        <w:rPr>
          <w:rFonts w:hint="eastAsia" w:ascii="Times New Roman" w:hAnsi="Times New Roman" w:cs="Times New Roman"/>
        </w:rPr>
        <w:t>如不能按任务要求完成相关工作，将终止合同，且已发生费用全部由被采购方承担。</w:t>
      </w:r>
    </w:p>
    <w:p>
      <w:pPr>
        <w:rPr>
          <w:rFonts w:hint="default"/>
          <w:lang w:val="en-US" w:eastAsia="zh-CN"/>
        </w:rPr>
        <w:sectPr>
          <w:pgSz w:w="11906" w:h="16838"/>
          <w:pgMar w:top="1191" w:right="1080" w:bottom="1191" w:left="1080" w:header="851" w:footer="992" w:gutter="0"/>
          <w:cols w:space="425" w:num="1"/>
          <w:docGrid w:type="lines" w:linePitch="312" w:charSpace="0"/>
        </w:sectPr>
      </w:pPr>
    </w:p>
    <w:bookmarkEnd w:id="151"/>
    <w:p>
      <w:pPr>
        <w:pStyle w:val="20"/>
        <w:jc w:val="both"/>
        <w:outlineLvl w:val="9"/>
        <w:rPr>
          <w:rFonts w:ascii="Times New Roman" w:hAnsi="Times New Roman" w:eastAsia="宋体" w:cs="Times New Roman"/>
          <w:b/>
          <w:bCs/>
          <w:kern w:val="44"/>
          <w:sz w:val="36"/>
          <w:szCs w:val="44"/>
        </w:rPr>
      </w:pPr>
    </w:p>
    <w:p>
      <w:pPr>
        <w:rPr>
          <w:rFonts w:ascii="Times New Roman" w:hAnsi="Times New Roman" w:eastAsia="宋体" w:cs="Times New Roman"/>
          <w:b/>
          <w:bCs/>
          <w:kern w:val="44"/>
          <w:sz w:val="36"/>
          <w:szCs w:val="44"/>
        </w:rPr>
      </w:pPr>
    </w:p>
    <w:p>
      <w:pPr>
        <w:pStyle w:val="2"/>
        <w:rPr>
          <w:rFonts w:ascii="Times New Roman" w:hAnsi="Times New Roman" w:eastAsia="宋体" w:cs="Times New Roman"/>
          <w:b/>
          <w:bCs/>
          <w:kern w:val="44"/>
          <w:sz w:val="36"/>
          <w:szCs w:val="44"/>
        </w:rPr>
      </w:pPr>
    </w:p>
    <w:p>
      <w:pPr>
        <w:rPr>
          <w:rFonts w:ascii="Times New Roman" w:hAnsi="Times New Roman" w:eastAsia="宋体" w:cs="Times New Roman"/>
          <w:b/>
          <w:bCs/>
          <w:kern w:val="44"/>
          <w:sz w:val="36"/>
          <w:szCs w:val="44"/>
        </w:rPr>
      </w:pPr>
    </w:p>
    <w:p>
      <w:pPr>
        <w:pStyle w:val="2"/>
        <w:rPr>
          <w:rFonts w:ascii="Times New Roman" w:hAnsi="Times New Roman" w:eastAsia="宋体" w:cs="Times New Roman"/>
          <w:b/>
          <w:bCs/>
          <w:kern w:val="44"/>
          <w:sz w:val="36"/>
          <w:szCs w:val="44"/>
        </w:rPr>
      </w:pPr>
    </w:p>
    <w:p>
      <w:pPr>
        <w:rPr>
          <w:rFonts w:ascii="Times New Roman" w:hAnsi="Times New Roman" w:eastAsia="宋体" w:cs="Times New Roman"/>
          <w:b/>
          <w:bCs/>
          <w:kern w:val="44"/>
          <w:sz w:val="36"/>
          <w:szCs w:val="44"/>
        </w:rPr>
      </w:pPr>
    </w:p>
    <w:p>
      <w:pPr>
        <w:pStyle w:val="2"/>
        <w:rPr>
          <w:rFonts w:ascii="Times New Roman" w:hAnsi="Times New Roman" w:eastAsia="宋体" w:cs="Times New Roman"/>
          <w:b/>
          <w:bCs/>
          <w:kern w:val="44"/>
          <w:sz w:val="36"/>
          <w:szCs w:val="44"/>
        </w:rPr>
      </w:pPr>
    </w:p>
    <w:p/>
    <w:p>
      <w:pPr>
        <w:rPr>
          <w:rFonts w:ascii="Times New Roman" w:hAnsi="Times New Roman" w:eastAsia="宋体" w:cs="Times New Roman"/>
          <w:b/>
          <w:bCs/>
          <w:kern w:val="44"/>
          <w:sz w:val="36"/>
          <w:szCs w:val="44"/>
        </w:rPr>
      </w:pPr>
    </w:p>
    <w:p>
      <w:pPr>
        <w:pStyle w:val="2"/>
      </w:pPr>
    </w:p>
    <w:p>
      <w:pPr>
        <w:spacing w:line="440" w:lineRule="exact"/>
        <w:jc w:val="center"/>
        <w:outlineLvl w:val="0"/>
        <w:rPr>
          <w:rFonts w:ascii="Times New Roman" w:hAnsi="Times New Roman" w:eastAsia="黑体" w:cs="Times New Roman"/>
          <w:szCs w:val="21"/>
        </w:rPr>
      </w:pPr>
      <w:r>
        <w:rPr>
          <w:rFonts w:hint="eastAsia" w:ascii="Times New Roman" w:hAnsi="Times New Roman" w:eastAsia="宋体" w:cs="Times New Roman"/>
          <w:b/>
          <w:bCs/>
          <w:kern w:val="44"/>
          <w:sz w:val="36"/>
          <w:szCs w:val="44"/>
        </w:rPr>
        <w:t>第六章 响应文件格式</w:t>
      </w:r>
    </w:p>
    <w:p>
      <w:pPr>
        <w:spacing w:line="440" w:lineRule="exact"/>
        <w:rPr>
          <w:rFonts w:ascii="Times New Roman" w:hAnsi="Times New Roman" w:eastAsia="黑体" w:cs="Times New Roman"/>
          <w:szCs w:val="21"/>
        </w:rPr>
      </w:pPr>
    </w:p>
    <w:p>
      <w:pPr>
        <w:spacing w:line="440" w:lineRule="exact"/>
        <w:rPr>
          <w:rFonts w:ascii="Times New Roman" w:hAnsi="Times New Roman" w:eastAsia="黑体" w:cs="Times New Roman"/>
          <w:szCs w:val="21"/>
        </w:rPr>
      </w:pPr>
    </w:p>
    <w:p>
      <w:pPr>
        <w:spacing w:line="440" w:lineRule="exact"/>
        <w:rPr>
          <w:rFonts w:ascii="Times New Roman" w:hAnsi="Times New Roman" w:eastAsia="黑体" w:cs="Times New Roman"/>
          <w:szCs w:val="21"/>
        </w:rPr>
      </w:pPr>
    </w:p>
    <w:p>
      <w:pPr>
        <w:spacing w:line="440" w:lineRule="exact"/>
        <w:rPr>
          <w:rFonts w:ascii="Times New Roman" w:hAnsi="Times New Roman" w:eastAsia="黑体" w:cs="Times New Roman"/>
          <w:szCs w:val="21"/>
        </w:rPr>
      </w:pPr>
    </w:p>
    <w:p>
      <w:pPr>
        <w:pStyle w:val="2"/>
        <w:rPr>
          <w:rFonts w:ascii="Times New Roman" w:hAnsi="Times New Roman" w:eastAsia="黑体" w:cs="Times New Roman"/>
          <w:szCs w:val="21"/>
        </w:rPr>
      </w:pPr>
    </w:p>
    <w:p>
      <w:pPr>
        <w:pStyle w:val="20"/>
        <w:outlineLvl w:val="9"/>
        <w:rPr>
          <w:rFonts w:ascii="Times New Roman" w:hAnsi="Times New Roman" w:eastAsia="黑体" w:cs="Times New Roman"/>
          <w:sz w:val="21"/>
          <w:szCs w:val="21"/>
        </w:rPr>
      </w:pPr>
    </w:p>
    <w:p>
      <w:pPr>
        <w:rPr>
          <w:rFonts w:ascii="Times New Roman" w:hAnsi="Times New Roman" w:eastAsia="黑体" w:cs="Times New Roman"/>
          <w:szCs w:val="21"/>
        </w:rPr>
      </w:pPr>
    </w:p>
    <w:p>
      <w:pPr>
        <w:pStyle w:val="2"/>
        <w:rPr>
          <w:rFonts w:ascii="Times New Roman" w:hAnsi="Times New Roman" w:eastAsia="黑体" w:cs="Times New Roman"/>
          <w:szCs w:val="21"/>
        </w:rPr>
      </w:pPr>
    </w:p>
    <w:p>
      <w:pPr>
        <w:pStyle w:val="20"/>
        <w:outlineLvl w:val="9"/>
        <w:rPr>
          <w:rFonts w:ascii="Times New Roman" w:hAnsi="Times New Roman" w:eastAsia="黑体" w:cs="Times New Roman"/>
          <w:sz w:val="21"/>
          <w:szCs w:val="21"/>
        </w:rPr>
      </w:pPr>
    </w:p>
    <w:p>
      <w:pPr>
        <w:rPr>
          <w:rFonts w:ascii="Times New Roman" w:hAnsi="Times New Roman" w:eastAsia="黑体" w:cs="Times New Roman"/>
          <w:szCs w:val="21"/>
        </w:rPr>
      </w:pPr>
    </w:p>
    <w:p>
      <w:pPr>
        <w:pStyle w:val="2"/>
        <w:rPr>
          <w:rFonts w:ascii="Times New Roman" w:hAnsi="Times New Roman" w:eastAsia="黑体" w:cs="Times New Roman"/>
          <w:szCs w:val="21"/>
        </w:rPr>
      </w:pPr>
    </w:p>
    <w:p>
      <w:pPr>
        <w:pStyle w:val="20"/>
        <w:outlineLvl w:val="9"/>
        <w:rPr>
          <w:rFonts w:ascii="Times New Roman" w:hAnsi="Times New Roman" w:eastAsia="黑体" w:cs="Times New Roman"/>
          <w:sz w:val="21"/>
          <w:szCs w:val="21"/>
        </w:rPr>
      </w:pPr>
    </w:p>
    <w:p>
      <w:pPr>
        <w:rPr>
          <w:rFonts w:ascii="Times New Roman" w:hAnsi="Times New Roman" w:eastAsia="黑体" w:cs="Times New Roman"/>
          <w:szCs w:val="21"/>
        </w:rPr>
      </w:pPr>
    </w:p>
    <w:p>
      <w:pPr>
        <w:pStyle w:val="2"/>
        <w:rPr>
          <w:rFonts w:ascii="Times New Roman" w:hAnsi="Times New Roman" w:eastAsia="黑体" w:cs="Times New Roman"/>
          <w:szCs w:val="21"/>
        </w:rPr>
      </w:pPr>
    </w:p>
    <w:p>
      <w:pPr>
        <w:rPr>
          <w:rFonts w:ascii="Times New Roman" w:hAnsi="Times New Roman" w:eastAsia="黑体" w:cs="Times New Roman"/>
          <w:szCs w:val="21"/>
        </w:rPr>
      </w:pPr>
    </w:p>
    <w:p>
      <w:pPr>
        <w:pStyle w:val="2"/>
        <w:rPr>
          <w:rFonts w:ascii="Times New Roman" w:hAnsi="Times New Roman" w:eastAsia="黑体" w:cs="Times New Roman"/>
          <w:szCs w:val="21"/>
        </w:rPr>
      </w:pPr>
    </w:p>
    <w:p>
      <w:pPr>
        <w:rPr>
          <w:rFonts w:ascii="Times New Roman" w:hAnsi="Times New Roman" w:eastAsia="黑体" w:cs="Times New Roman"/>
          <w:szCs w:val="21"/>
        </w:rPr>
      </w:pPr>
    </w:p>
    <w:p>
      <w:pPr>
        <w:pStyle w:val="20"/>
        <w:jc w:val="both"/>
        <w:outlineLvl w:val="9"/>
        <w:rPr>
          <w:rFonts w:ascii="Times New Roman" w:hAnsi="Times New Roman" w:eastAsia="黑体" w:cs="Times New Roman"/>
          <w:sz w:val="21"/>
          <w:szCs w:val="21"/>
        </w:rPr>
      </w:pPr>
    </w:p>
    <w:p>
      <w:pPr>
        <w:pStyle w:val="20"/>
        <w:jc w:val="right"/>
      </w:pPr>
      <w:r>
        <w:rPr>
          <w:rFonts w:hint="eastAsia"/>
        </w:rPr>
        <w:t>正本/副本</w:t>
      </w:r>
    </w:p>
    <w:p>
      <w:pPr>
        <w:widowControl/>
        <w:rPr>
          <w:rFonts w:ascii="Times New Roman" w:hAnsi="Times New Roman" w:eastAsia="宋体" w:cs="Times New Roman"/>
          <w:sz w:val="24"/>
        </w:rPr>
      </w:pPr>
    </w:p>
    <w:p>
      <w:pPr>
        <w:widowControl/>
        <w:jc w:val="center"/>
        <w:outlineLvl w:val="0"/>
        <w:rPr>
          <w:rFonts w:ascii="Times New Roman" w:hAnsi="Times New Roman" w:eastAsia="黑体" w:cs="Times New Roman"/>
          <w:sz w:val="44"/>
          <w:szCs w:val="44"/>
        </w:rPr>
      </w:pPr>
      <w:r>
        <w:rPr>
          <w:rFonts w:hint="eastAsia" w:ascii="Times New Roman" w:hAnsi="Times New Roman" w:eastAsia="黑体" w:cs="Times New Roman"/>
          <w:sz w:val="44"/>
          <w:szCs w:val="44"/>
          <w:lang w:val="en-US" w:eastAsia="zh-CN"/>
        </w:rPr>
        <w:t>外检数据处理信息化项目研发及技术服务</w:t>
      </w:r>
      <w:r>
        <w:rPr>
          <w:rFonts w:hint="eastAsia" w:ascii="Times New Roman" w:hAnsi="Times New Roman" w:eastAsia="黑体" w:cs="Times New Roman"/>
          <w:sz w:val="44"/>
          <w:szCs w:val="44"/>
        </w:rPr>
        <w:t>采购</w:t>
      </w:r>
    </w:p>
    <w:p>
      <w:pPr>
        <w:widowControl/>
        <w:jc w:val="center"/>
        <w:rPr>
          <w:sz w:val="44"/>
          <w:szCs w:val="44"/>
        </w:rPr>
      </w:pPr>
    </w:p>
    <w:p>
      <w:pPr>
        <w:widowControl/>
        <w:jc w:val="center"/>
        <w:rPr>
          <w:rFonts w:ascii="Times New Roman" w:hAnsi="Times New Roman" w:eastAsia="黑体" w:cs="Times New Roman"/>
          <w:color w:val="0000FF"/>
          <w:sz w:val="50"/>
          <w:szCs w:val="50"/>
        </w:rPr>
      </w:pPr>
    </w:p>
    <w:p>
      <w:pPr>
        <w:spacing w:line="440" w:lineRule="exact"/>
        <w:rPr>
          <w:rFonts w:ascii="Times New Roman" w:hAnsi="Times New Roman" w:eastAsia="黑体" w:cs="Times New Roman"/>
          <w:sz w:val="20"/>
          <w:szCs w:val="20"/>
        </w:rPr>
      </w:pPr>
    </w:p>
    <w:p>
      <w:pPr>
        <w:pStyle w:val="2"/>
        <w:rPr>
          <w:rFonts w:ascii="Times New Roman" w:hAnsi="Times New Roman" w:eastAsia="黑体" w:cs="Times New Roman"/>
          <w:sz w:val="20"/>
          <w:szCs w:val="20"/>
        </w:rPr>
      </w:pPr>
    </w:p>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outlineLvl w:val="0"/>
        <w:rPr>
          <w:rFonts w:ascii="Times New Roman" w:hAnsi="Times New Roman" w:eastAsia="黑体" w:cs="Times New Roman"/>
          <w:sz w:val="50"/>
          <w:szCs w:val="50"/>
        </w:rPr>
      </w:pPr>
      <w:bookmarkStart w:id="152" w:name="_Toc14496_WPSOffice_Level1"/>
      <w:bookmarkStart w:id="153" w:name="_Toc1914_WPSOffice_Level1"/>
      <w:bookmarkStart w:id="154" w:name="_Toc27552_WPSOffice_Level1"/>
      <w:bookmarkStart w:id="155" w:name="_Toc17394_WPSOffice_Level1"/>
      <w:r>
        <w:rPr>
          <w:rFonts w:ascii="Times New Roman" w:hAnsi="Times New Roman" w:eastAsia="黑体" w:cs="Times New Roman"/>
          <w:sz w:val="50"/>
          <w:szCs w:val="50"/>
        </w:rPr>
        <w:t>响  应  文  件</w:t>
      </w:r>
      <w:bookmarkEnd w:id="152"/>
      <w:bookmarkEnd w:id="153"/>
      <w:bookmarkEnd w:id="154"/>
      <w:bookmarkEnd w:id="155"/>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outlineLvl w:val="0"/>
        <w:rPr>
          <w:rFonts w:ascii="Times New Roman" w:hAnsi="Times New Roman" w:eastAsia="黑体" w:cs="Times New Roman"/>
          <w:sz w:val="28"/>
          <w:szCs w:val="28"/>
        </w:rPr>
      </w:pPr>
      <w:bookmarkStart w:id="156" w:name="_Toc25232_WPSOffice_Level2"/>
      <w:bookmarkStart w:id="157"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156"/>
      <w:bookmarkEnd w:id="157"/>
    </w:p>
    <w:p>
      <w:pPr>
        <w:spacing w:line="440" w:lineRule="exact"/>
        <w:ind w:firstLine="2158" w:firstLineChars="771"/>
        <w:rPr>
          <w:rFonts w:ascii="Times New Roman" w:hAnsi="Times New Roman" w:eastAsia="黑体" w:cs="Times New Roman"/>
          <w:sz w:val="28"/>
          <w:szCs w:val="28"/>
        </w:rPr>
      </w:pPr>
    </w:p>
    <w:p>
      <w:pPr>
        <w:spacing w:line="440" w:lineRule="exact"/>
        <w:jc w:val="center"/>
        <w:outlineLvl w:val="0"/>
        <w:rPr>
          <w:rFonts w:ascii="Times New Roman" w:hAnsi="Times New Roman" w:eastAsia="黑体" w:cs="Times New Roman"/>
          <w:sz w:val="28"/>
          <w:szCs w:val="28"/>
        </w:rPr>
      </w:pPr>
      <w:bookmarkStart w:id="158" w:name="_Toc20076_WPSOffice_Level2"/>
      <w:bookmarkStart w:id="159" w:name="_Toc31577_WPSOffice_Level2"/>
      <w:r>
        <w:rPr>
          <w:rFonts w:hint="eastAsia" w:ascii="Times New Roman" w:hAnsi="Times New Roman" w:eastAsia="黑体" w:cs="Times New Roman"/>
          <w:sz w:val="28"/>
          <w:szCs w:val="28"/>
          <w:u w:val="single"/>
        </w:rPr>
        <w:t xml:space="preserve">      </w:t>
      </w:r>
      <w:r>
        <w:rPr>
          <w:rFonts w:ascii="Times New Roman" w:hAnsi="Times New Roman" w:eastAsia="黑体" w:cs="Times New Roman"/>
          <w:sz w:val="28"/>
          <w:szCs w:val="28"/>
        </w:rPr>
        <w:t>年</w:t>
      </w:r>
      <w:r>
        <w:rPr>
          <w:rFonts w:hint="eastAsia"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158"/>
      <w:bookmarkEnd w:id="159"/>
    </w:p>
    <w:p>
      <w:pPr>
        <w:pStyle w:val="2"/>
      </w:pPr>
      <w:bookmarkStart w:id="160" w:name="_Toc22351_WPSOffice_Level2"/>
      <w:bookmarkStart w:id="161" w:name="_Toc21974_WPSOffice_Level2"/>
    </w:p>
    <w:p>
      <w:pPr>
        <w:spacing w:line="440" w:lineRule="exact"/>
        <w:jc w:val="center"/>
        <w:outlineLvl w:val="0"/>
        <w:rPr>
          <w:rFonts w:ascii="Times New Roman" w:hAnsi="Times New Roman" w:eastAsia="黑体" w:cs="Times New Roman"/>
          <w:sz w:val="28"/>
          <w:szCs w:val="28"/>
        </w:rPr>
      </w:pPr>
      <w:r>
        <w:rPr>
          <w:rFonts w:ascii="Times New Roman" w:hAnsi="Times New Roman" w:eastAsia="黑体" w:cs="Times New Roman"/>
          <w:sz w:val="28"/>
          <w:szCs w:val="28"/>
        </w:rPr>
        <w:t>目     录</w:t>
      </w:r>
      <w:bookmarkEnd w:id="160"/>
      <w:bookmarkEnd w:id="161"/>
    </w:p>
    <w:p>
      <w:pPr>
        <w:spacing w:line="440" w:lineRule="exact"/>
        <w:rPr>
          <w:rFonts w:ascii="Times New Roman" w:hAnsi="Times New Roman" w:eastAsia="黑体" w:cs="Times New Roman"/>
          <w:sz w:val="24"/>
        </w:rPr>
      </w:pPr>
    </w:p>
    <w:p>
      <w:pPr>
        <w:spacing w:line="440" w:lineRule="exact"/>
        <w:outlineLvl w:val="0"/>
        <w:rPr>
          <w:rFonts w:ascii="Times New Roman" w:hAnsi="Times New Roman" w:eastAsia="黑体" w:cs="Times New Roman"/>
          <w:sz w:val="24"/>
        </w:rPr>
      </w:pPr>
      <w:bookmarkStart w:id="162" w:name="_Toc6353_WPSOffice_Level1"/>
      <w:bookmarkStart w:id="163" w:name="_Toc30529_WPSOffice_Level1"/>
      <w:bookmarkStart w:id="164" w:name="_Toc23368_WPSOffice_Level1"/>
      <w:bookmarkStart w:id="165" w:name="_Toc11424_WPSOffice_Level1"/>
      <w:bookmarkStart w:id="166" w:name="_Toc12670_WPSOffice_Level1"/>
      <w:r>
        <w:rPr>
          <w:rFonts w:ascii="Times New Roman" w:hAnsi="Times New Roman" w:eastAsia="黑体" w:cs="Times New Roman"/>
          <w:sz w:val="24"/>
        </w:rPr>
        <w:t>一、报价函</w:t>
      </w:r>
      <w:bookmarkEnd w:id="162"/>
      <w:bookmarkEnd w:id="163"/>
      <w:bookmarkEnd w:id="164"/>
      <w:bookmarkEnd w:id="165"/>
    </w:p>
    <w:p>
      <w:pPr>
        <w:spacing w:line="440" w:lineRule="exact"/>
        <w:outlineLvl w:val="0"/>
        <w:rPr>
          <w:rFonts w:ascii="Times New Roman" w:hAnsi="Times New Roman" w:eastAsia="黑体" w:cs="Times New Roman"/>
          <w:sz w:val="24"/>
        </w:rPr>
      </w:pPr>
      <w:bookmarkStart w:id="167" w:name="_Toc5317_WPSOffice_Level1"/>
      <w:bookmarkStart w:id="168" w:name="_Toc32729_WPSOffice_Level1"/>
      <w:bookmarkStart w:id="169" w:name="_Toc31927_WPSOffice_Level1"/>
      <w:bookmarkStart w:id="170" w:name="_Toc21229_WPSOffice_Level1"/>
      <w:r>
        <w:rPr>
          <w:rFonts w:ascii="Times New Roman" w:hAnsi="Times New Roman" w:eastAsia="黑体" w:cs="Times New Roman"/>
          <w:sz w:val="24"/>
        </w:rPr>
        <w:t>二、法定代表人身份证明及授权委托书</w:t>
      </w:r>
      <w:bookmarkEnd w:id="167"/>
      <w:bookmarkEnd w:id="168"/>
      <w:bookmarkEnd w:id="169"/>
      <w:bookmarkEnd w:id="170"/>
    </w:p>
    <w:p>
      <w:pPr>
        <w:spacing w:line="440" w:lineRule="exact"/>
        <w:outlineLvl w:val="0"/>
        <w:rPr>
          <w:rFonts w:ascii="Times New Roman" w:hAnsi="Times New Roman" w:eastAsia="黑体" w:cs="Times New Roman"/>
          <w:sz w:val="24"/>
        </w:rPr>
      </w:pPr>
      <w:bookmarkStart w:id="171" w:name="_Toc25965_WPSOffice_Level1"/>
      <w:bookmarkStart w:id="172" w:name="_Toc4728_WPSOffice_Level1"/>
      <w:bookmarkStart w:id="173" w:name="_Toc29085_WPSOffice_Level1"/>
      <w:bookmarkStart w:id="174" w:name="_Toc23356_WPSOffice_Level1"/>
      <w:r>
        <w:rPr>
          <w:rFonts w:hint="eastAsia" w:ascii="Times New Roman" w:hAnsi="Times New Roman" w:eastAsia="黑体" w:cs="Times New Roman"/>
          <w:sz w:val="24"/>
        </w:rPr>
        <w:t>三</w:t>
      </w:r>
      <w:r>
        <w:rPr>
          <w:rFonts w:ascii="Times New Roman" w:hAnsi="Times New Roman" w:eastAsia="黑体" w:cs="Times New Roman"/>
          <w:sz w:val="24"/>
        </w:rPr>
        <w:t>、</w:t>
      </w:r>
      <w:bookmarkEnd w:id="171"/>
      <w:bookmarkEnd w:id="172"/>
      <w:bookmarkEnd w:id="173"/>
      <w:bookmarkEnd w:id="174"/>
      <w:r>
        <w:rPr>
          <w:rFonts w:hint="eastAsia" w:ascii="Times New Roman" w:hAnsi="Times New Roman" w:eastAsia="黑体" w:cs="Times New Roman"/>
          <w:sz w:val="24"/>
        </w:rPr>
        <w:t>报价清单</w:t>
      </w:r>
    </w:p>
    <w:p>
      <w:pPr>
        <w:spacing w:line="440" w:lineRule="exact"/>
        <w:outlineLvl w:val="0"/>
        <w:rPr>
          <w:rFonts w:ascii="Times New Roman" w:hAnsi="Times New Roman" w:eastAsia="黑体" w:cs="Times New Roman"/>
          <w:sz w:val="24"/>
        </w:rPr>
      </w:pPr>
      <w:bookmarkStart w:id="175" w:name="_Toc7453_WPSOffice_Level1"/>
      <w:bookmarkStart w:id="176" w:name="_Toc23744_WPSOffice_Level1"/>
      <w:bookmarkStart w:id="177" w:name="_Toc18964_WPSOffice_Level1"/>
      <w:bookmarkStart w:id="178" w:name="_Toc10608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75"/>
      <w:bookmarkEnd w:id="176"/>
      <w:bookmarkEnd w:id="177"/>
      <w:bookmarkEnd w:id="178"/>
      <w:r>
        <w:rPr>
          <w:rFonts w:hint="eastAsia" w:ascii="Times New Roman" w:hAnsi="Times New Roman" w:eastAsia="黑体" w:cs="Times New Roman"/>
          <w:sz w:val="24"/>
        </w:rPr>
        <w:t>供应商基本情况</w:t>
      </w:r>
    </w:p>
    <w:p>
      <w:pPr>
        <w:spacing w:line="440" w:lineRule="exact"/>
        <w:outlineLvl w:val="0"/>
        <w:rPr>
          <w:rFonts w:ascii="Times New Roman" w:hAnsi="Times New Roman" w:eastAsia="黑体" w:cs="Times New Roman"/>
          <w:sz w:val="24"/>
        </w:rPr>
      </w:pPr>
      <w:bookmarkStart w:id="179" w:name="_Toc19601_WPSOffice_Level1"/>
      <w:bookmarkStart w:id="180" w:name="_Toc23751_WPSOffice_Level1"/>
      <w:bookmarkStart w:id="181" w:name="_Toc1578_WPSOffice_Level1"/>
      <w:bookmarkStart w:id="182" w:name="_Toc9006_WPSOffice_Level1"/>
      <w:r>
        <w:rPr>
          <w:rFonts w:hint="eastAsia" w:ascii="Times New Roman" w:hAnsi="Times New Roman" w:eastAsia="黑体" w:cs="Times New Roman"/>
          <w:sz w:val="24"/>
        </w:rPr>
        <w:t>五、</w:t>
      </w:r>
      <w:bookmarkEnd w:id="179"/>
      <w:bookmarkEnd w:id="180"/>
      <w:bookmarkEnd w:id="181"/>
      <w:bookmarkEnd w:id="182"/>
      <w:r>
        <w:rPr>
          <w:rFonts w:ascii="Times New Roman" w:hAnsi="Times New Roman" w:eastAsia="黑体" w:cs="Times New Roman"/>
          <w:sz w:val="24"/>
        </w:rPr>
        <w:t>拟委任的主要人员</w:t>
      </w:r>
    </w:p>
    <w:p>
      <w:pPr>
        <w:spacing w:line="440" w:lineRule="exact"/>
        <w:outlineLvl w:val="0"/>
        <w:rPr>
          <w:rFonts w:ascii="Times New Roman" w:hAnsi="Times New Roman" w:eastAsia="黑体" w:cs="Times New Roman"/>
          <w:sz w:val="24"/>
        </w:rPr>
      </w:pPr>
      <w:bookmarkStart w:id="183" w:name="_Toc16988_WPSOffice_Level1"/>
      <w:bookmarkStart w:id="184" w:name="_Toc5885_WPSOffice_Level1"/>
      <w:r>
        <w:rPr>
          <w:rFonts w:hint="eastAsia" w:ascii="Times New Roman" w:hAnsi="Times New Roman" w:eastAsia="黑体" w:cs="Times New Roman"/>
          <w:sz w:val="24"/>
          <w:lang w:val="en-US" w:eastAsia="zh-CN"/>
        </w:rPr>
        <w:t>六</w:t>
      </w:r>
      <w:r>
        <w:rPr>
          <w:rFonts w:hint="eastAsia" w:ascii="Times New Roman" w:hAnsi="Times New Roman" w:eastAsia="黑体" w:cs="Times New Roman"/>
          <w:sz w:val="24"/>
        </w:rPr>
        <w:t>、</w:t>
      </w:r>
      <w:bookmarkEnd w:id="166"/>
      <w:bookmarkEnd w:id="183"/>
      <w:bookmarkEnd w:id="184"/>
      <w:r>
        <w:rPr>
          <w:rFonts w:hint="eastAsia" w:ascii="Times New Roman" w:hAnsi="Times New Roman" w:eastAsia="黑体" w:cs="Times New Roman"/>
          <w:sz w:val="24"/>
        </w:rPr>
        <w:t>信誉情况</w:t>
      </w:r>
    </w:p>
    <w:p>
      <w:pPr>
        <w:spacing w:line="440" w:lineRule="exact"/>
        <w:outlineLvl w:val="0"/>
        <w:rPr>
          <w:rFonts w:ascii="Times New Roman" w:hAnsi="Times New Roman" w:eastAsia="黑体" w:cs="Times New Roman"/>
          <w:sz w:val="24"/>
        </w:rPr>
      </w:pPr>
      <w:r>
        <w:rPr>
          <w:rFonts w:hint="eastAsia" w:ascii="Times New Roman" w:hAnsi="Times New Roman" w:eastAsia="黑体" w:cs="Times New Roman"/>
          <w:sz w:val="24"/>
          <w:lang w:val="en-US" w:eastAsia="zh-CN"/>
        </w:rPr>
        <w:t>七</w:t>
      </w:r>
      <w:r>
        <w:rPr>
          <w:rFonts w:hint="eastAsia" w:ascii="Times New Roman" w:hAnsi="Times New Roman" w:eastAsia="黑体" w:cs="Times New Roman"/>
          <w:sz w:val="24"/>
        </w:rPr>
        <w:t>、其他资料</w:t>
      </w:r>
    </w:p>
    <w:p>
      <w:pPr>
        <w:spacing w:line="440" w:lineRule="exact"/>
        <w:ind w:left="1619" w:leftChars="771"/>
        <w:rPr>
          <w:rFonts w:ascii="Times New Roman" w:hAnsi="Times New Roman" w:eastAsia="黑体" w:cs="Times New Roman"/>
          <w:sz w:val="24"/>
        </w:rPr>
      </w:pPr>
    </w:p>
    <w:p>
      <w:pPr>
        <w:spacing w:line="440" w:lineRule="exact"/>
        <w:ind w:left="1619" w:leftChars="771"/>
        <w:rPr>
          <w:rFonts w:ascii="Times New Roman" w:hAnsi="Times New Roman" w:eastAsia="黑体" w:cs="Times New Roman"/>
          <w:sz w:val="24"/>
        </w:rPr>
      </w:pPr>
    </w:p>
    <w:p>
      <w:pPr>
        <w:spacing w:line="440" w:lineRule="exact"/>
        <w:jc w:val="center"/>
        <w:outlineLvl w:val="0"/>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85" w:name="_Toc1687_WPSOffice_Level1"/>
      <w:bookmarkStart w:id="186" w:name="_Toc25394_WPSOffice_Level1"/>
      <w:bookmarkStart w:id="187" w:name="_Toc2765_WPSOffice_Level1"/>
      <w:bookmarkStart w:id="188" w:name="_Toc30031_WPSOffice_Level1"/>
      <w:bookmarkStart w:id="189" w:name="_Toc18312_WPSOffice_Level1"/>
      <w:r>
        <w:rPr>
          <w:rFonts w:ascii="Times New Roman" w:hAnsi="Times New Roman" w:eastAsia="黑体" w:cs="Times New Roman"/>
          <w:sz w:val="28"/>
          <w:szCs w:val="28"/>
        </w:rPr>
        <w:t>一、报价函</w:t>
      </w:r>
      <w:bookmarkEnd w:id="185"/>
      <w:bookmarkEnd w:id="186"/>
      <w:bookmarkEnd w:id="187"/>
      <w:bookmarkEnd w:id="188"/>
      <w:bookmarkEnd w:id="189"/>
    </w:p>
    <w:p>
      <w:pPr>
        <w:spacing w:line="440" w:lineRule="exact"/>
        <w:rPr>
          <w:rFonts w:ascii="Times New Roman" w:hAnsi="Times New Roman" w:cs="Times New Roman"/>
          <w:sz w:val="24"/>
          <w:u w:val="single"/>
        </w:rPr>
      </w:pPr>
      <w:r>
        <w:rPr>
          <w:rFonts w:ascii="Times New Roman" w:hAnsi="Times New Roman" w:cs="Times New Roman"/>
          <w:sz w:val="24"/>
        </w:rPr>
        <w:t>(采购人名称)：</w:t>
      </w:r>
      <w:r>
        <w:rPr>
          <w:rFonts w:hint="eastAsia" w:ascii="Times New Roman" w:hAnsi="Times New Roman" w:cs="Times New Roman"/>
          <w:sz w:val="24"/>
          <w:u w:val="single"/>
        </w:rPr>
        <w:t xml:space="preserve">               </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ascii="Times New Roman" w:hAnsi="Times New Roman" w:cs="Times New Roman"/>
          <w:sz w:val="24"/>
        </w:rPr>
        <w:t>合同包询比文件的全部内容，愿意以人民币(大写)</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w:t>
      </w:r>
      <w:r>
        <w:rPr>
          <w:rFonts w:hint="eastAsia" w:ascii="Times New Roman" w:hAnsi="Times New Roman" w:cs="Times New Roman"/>
          <w:sz w:val="24"/>
        </w:rPr>
        <w:t>服务期</w:t>
      </w:r>
      <w:r>
        <w:rPr>
          <w:rFonts w:ascii="Times New Roman" w:hAnsi="Times New Roman" w:cs="Times New Roman"/>
          <w:sz w:val="24"/>
          <w:u w:val="single"/>
        </w:rPr>
        <w:t xml:space="preserve">           </w:t>
      </w:r>
      <w:r>
        <w:rPr>
          <w:rFonts w:ascii="Times New Roman" w:hAnsi="Times New Roman" w:cs="Times New Roman"/>
          <w:sz w:val="24"/>
        </w:rPr>
        <w:t>，按合同约定实施和完成相关服务，质量目标达到</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成果要求</w:t>
      </w:r>
      <w:r>
        <w:rPr>
          <w:rFonts w:ascii="Times New Roman" w:hAnsi="Times New Roman" w:cs="Times New Roman"/>
          <w:sz w:val="24"/>
        </w:rPr>
        <w:t>达到</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pPr>
      <w:r>
        <w:rPr>
          <w:rFonts w:ascii="Times New Roman" w:hAnsi="Times New Roman" w:cs="Times New Roman"/>
          <w:color w:val="auto"/>
          <w:sz w:val="24"/>
        </w:rPr>
        <w:t>3．随同本报价函提交响应保证金一份，金额为人民币</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(大写)元(¥</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 xml:space="preserve"> )。</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lang w:val="en-US" w:eastAsia="zh-CN"/>
        </w:rPr>
        <w:t>4</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2</w:t>
      </w:r>
      <w:r>
        <w:rPr>
          <w:rFonts w:ascii="Times New Roman" w:hAnsi="Times New Roman" w:cs="Times New Roman"/>
          <w:sz w:val="24"/>
        </w:rPr>
        <w:t>)我方承诺在合同约定的期限内完成全部合同任务。</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lang w:val="en-US" w:eastAsia="zh-CN"/>
        </w:rPr>
        <w:t>5</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lang w:val="en-US" w:eastAsia="zh-CN"/>
        </w:rPr>
        <w:t>6</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lang w:val="en-US" w:eastAsia="zh-CN"/>
        </w:rPr>
        <w:t>7</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jc w:val="center"/>
        <w:rPr>
          <w:rFonts w:ascii="Times New Roman" w:hAnsi="Times New Roman" w:cs="Times New Roman"/>
          <w:sz w:val="24"/>
        </w:rPr>
      </w:pPr>
      <w:r>
        <w:rPr>
          <w:rFonts w:hint="eastAsia" w:ascii="Times New Roman" w:hAnsi="Times New Roman" w:cs="Times New Roman"/>
          <w:sz w:val="24"/>
        </w:rPr>
        <w:t xml:space="preserve">                                    </w:t>
      </w:r>
    </w:p>
    <w:p>
      <w:pPr>
        <w:spacing w:line="400" w:lineRule="exact"/>
        <w:jc w:val="center"/>
        <w:rPr>
          <w:rFonts w:ascii="Times New Roman" w:hAnsi="Times New Roman" w:cs="Times New Roman"/>
          <w:sz w:val="24"/>
        </w:rPr>
      </w:pPr>
      <w:r>
        <w:rPr>
          <w:rFonts w:hint="eastAsia" w:ascii="Times New Roman" w:hAnsi="Times New Roman" w:cs="Times New Roman"/>
          <w:sz w:val="24"/>
        </w:rPr>
        <w:t xml:space="preserve">                                    </w:t>
      </w:r>
    </w:p>
    <w:p>
      <w:pPr>
        <w:spacing w:line="400" w:lineRule="exact"/>
        <w:jc w:val="center"/>
        <w:outlineLvl w:val="1"/>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t>供应商：</w:t>
      </w:r>
      <w:r>
        <w:rPr>
          <w:rFonts w:hint="eastAsia" w:ascii="Times New Roman" w:hAnsi="Times New Roman" w:cs="Times New Roman"/>
          <w:sz w:val="24"/>
          <w:u w:val="single"/>
        </w:rPr>
        <w:t xml:space="preserve">                         </w:t>
      </w:r>
      <w:r>
        <w:rPr>
          <w:rFonts w:ascii="Times New Roman" w:hAnsi="Times New Roman" w:cs="Times New Roman"/>
          <w:sz w:val="24"/>
        </w:rPr>
        <w:t>(盖单位章)</w:t>
      </w:r>
    </w:p>
    <w:p>
      <w:pPr>
        <w:pStyle w:val="2"/>
      </w:pPr>
    </w:p>
    <w:p>
      <w:pPr>
        <w:spacing w:line="400" w:lineRule="exact"/>
        <w:jc w:val="center"/>
        <w:outlineLvl w:val="1"/>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jc w:val="center"/>
        <w:rPr>
          <w:rFonts w:ascii="Times New Roman" w:hAnsi="Times New Roman" w:cs="Times New Roman"/>
          <w:sz w:val="24"/>
        </w:rPr>
      </w:pPr>
    </w:p>
    <w:p>
      <w:pPr>
        <w:spacing w:line="400" w:lineRule="exact"/>
        <w:jc w:val="center"/>
        <w:outlineLvl w:val="1"/>
        <w:rPr>
          <w:rFonts w:ascii="Times New Roman" w:hAnsi="Times New Roman" w:cs="Times New Roman"/>
          <w:sz w:val="24"/>
          <w:u w:val="single"/>
        </w:rPr>
      </w:pPr>
      <w:r>
        <w:rPr>
          <w:rFonts w:ascii="Times New Roman" w:hAnsi="Times New Roman" w:cs="Times New Roman"/>
          <w:sz w:val="24"/>
        </w:rPr>
        <w:t>地址：</w:t>
      </w:r>
      <w:r>
        <w:rPr>
          <w:rFonts w:hint="eastAsia" w:ascii="Times New Roman" w:hAnsi="Times New Roman" w:cs="Times New Roman"/>
          <w:sz w:val="24"/>
          <w:u w:val="single"/>
        </w:rPr>
        <w:t xml:space="preserve">                                     </w:t>
      </w:r>
    </w:p>
    <w:p>
      <w:pPr>
        <w:spacing w:line="400" w:lineRule="exact"/>
        <w:jc w:val="center"/>
        <w:rPr>
          <w:rFonts w:ascii="Times New Roman" w:hAnsi="Times New Roman" w:cs="Times New Roman"/>
          <w:sz w:val="24"/>
        </w:rPr>
      </w:pPr>
    </w:p>
    <w:p>
      <w:pPr>
        <w:spacing w:line="400" w:lineRule="exact"/>
        <w:jc w:val="center"/>
        <w:outlineLvl w:val="1"/>
        <w:rPr>
          <w:rFonts w:ascii="Times New Roman" w:hAnsi="Times New Roman" w:cs="Times New Roman"/>
          <w:sz w:val="24"/>
          <w:u w:val="single"/>
        </w:rPr>
      </w:pPr>
      <w:r>
        <w:rPr>
          <w:rFonts w:ascii="Times New Roman" w:hAnsi="Times New Roman" w:cs="Times New Roman"/>
          <w:sz w:val="24"/>
        </w:rPr>
        <w:t>电话：</w:t>
      </w:r>
      <w:r>
        <w:rPr>
          <w:rFonts w:hint="eastAsia" w:ascii="Times New Roman" w:hAnsi="Times New Roman" w:cs="Times New Roman"/>
          <w:sz w:val="24"/>
          <w:u w:val="single"/>
        </w:rPr>
        <w:t xml:space="preserve">                                     </w:t>
      </w:r>
    </w:p>
    <w:p>
      <w:pPr>
        <w:spacing w:line="400" w:lineRule="exact"/>
        <w:jc w:val="center"/>
        <w:rPr>
          <w:rFonts w:ascii="Times New Roman" w:hAnsi="Times New Roman" w:cs="Times New Roman"/>
          <w:sz w:val="24"/>
        </w:rPr>
      </w:pPr>
    </w:p>
    <w:p>
      <w:pPr>
        <w:spacing w:line="400" w:lineRule="exact"/>
        <w:jc w:val="center"/>
        <w:outlineLvl w:val="1"/>
        <w:rPr>
          <w:rFonts w:ascii="Times New Roman" w:hAnsi="Times New Roman" w:cs="Times New Roman"/>
          <w:sz w:val="24"/>
          <w:u w:val="single"/>
        </w:rPr>
      </w:pPr>
      <w:r>
        <w:rPr>
          <w:rFonts w:hint="eastAsia" w:ascii="Times New Roman" w:hAnsi="Times New Roman" w:cs="Times New Roman"/>
          <w:sz w:val="24"/>
        </w:rPr>
        <w:t xml:space="preserve">    电子邮箱</w:t>
      </w:r>
      <w:r>
        <w:rPr>
          <w:rFonts w:ascii="Times New Roman" w:hAnsi="Times New Roman" w:cs="Times New Roman"/>
          <w:sz w:val="24"/>
        </w:rPr>
        <w:t>：</w:t>
      </w:r>
      <w:r>
        <w:rPr>
          <w:rFonts w:hint="eastAsia" w:ascii="Times New Roman" w:hAnsi="Times New Roman" w:cs="Times New Roman"/>
          <w:sz w:val="24"/>
          <w:u w:val="single"/>
        </w:rPr>
        <w:t xml:space="preserve">                                 </w:t>
      </w:r>
    </w:p>
    <w:p>
      <w:pPr>
        <w:spacing w:line="400" w:lineRule="exact"/>
        <w:jc w:val="center"/>
        <w:rPr>
          <w:rFonts w:ascii="Times New Roman" w:hAnsi="Times New Roman" w:cs="Times New Roman"/>
          <w:sz w:val="24"/>
        </w:rPr>
      </w:pPr>
    </w:p>
    <w:p>
      <w:pPr>
        <w:spacing w:line="400" w:lineRule="exact"/>
        <w:jc w:val="center"/>
        <w:outlineLvl w:val="1"/>
        <w:rPr>
          <w:rFonts w:ascii="Times New Roman" w:hAnsi="Times New Roman" w:cs="Times New Roman"/>
          <w:sz w:val="24"/>
        </w:rPr>
      </w:pPr>
      <w:r>
        <w:rPr>
          <w:rFonts w:hint="eastAsia" w:ascii="Times New Roman" w:hAnsi="Times New Roman" w:cs="Times New Roman"/>
          <w:sz w:val="24"/>
        </w:rPr>
        <w:t xml:space="preserve">                                                      </w:t>
      </w:r>
      <w:r>
        <w:rPr>
          <w:rFonts w:hint="eastAsia" w:ascii="Times New Roman" w:hAnsi="Times New Roman" w:cs="Times New Roman"/>
          <w:sz w:val="24"/>
          <w:u w:val="single"/>
        </w:rPr>
        <w:t xml:space="preserve">         </w:t>
      </w:r>
      <w:r>
        <w:rPr>
          <w:rFonts w:ascii="Times New Roman" w:hAnsi="Times New Roman" w:cs="Times New Roman"/>
          <w:sz w:val="24"/>
        </w:rPr>
        <w:t>年</w:t>
      </w:r>
      <w:r>
        <w:rPr>
          <w:rFonts w:hint="eastAsia" w:ascii="Times New Roman" w:hAnsi="Times New Roman" w:cs="Times New Roman"/>
          <w:sz w:val="24"/>
          <w:u w:val="single"/>
        </w:rPr>
        <w:t xml:space="preserve">     </w:t>
      </w:r>
      <w:r>
        <w:rPr>
          <w:rFonts w:ascii="Times New Roman" w:hAnsi="Times New Roman" w:cs="Times New Roman"/>
          <w:sz w:val="24"/>
        </w:rPr>
        <w:t>月</w:t>
      </w:r>
      <w:r>
        <w:rPr>
          <w:rFonts w:hint="eastAsia" w:ascii="Times New Roman" w:hAnsi="Times New Roman" w:cs="Times New Roman"/>
          <w:sz w:val="24"/>
          <w:u w:val="single"/>
        </w:rPr>
        <w:t xml:space="preserve">     </w:t>
      </w:r>
      <w:r>
        <w:rPr>
          <w:rFonts w:ascii="Times New Roman" w:hAnsi="Times New Roman" w:cs="Times New Roman"/>
          <w:sz w:val="24"/>
        </w:rPr>
        <w:t>日</w:t>
      </w:r>
    </w:p>
    <w:p>
      <w:pPr>
        <w:jc w:val="center"/>
        <w:rPr>
          <w:rFonts w:ascii="Times New Roman" w:hAnsi="Times New Roman" w:eastAsia="黑体" w:cs="Times New Roman"/>
          <w:sz w:val="20"/>
          <w:szCs w:val="20"/>
        </w:rPr>
      </w:pPr>
      <w:r>
        <w:rPr>
          <w:rFonts w:ascii="Times New Roman" w:hAnsi="Times New Roman" w:cs="Times New Roman"/>
          <w:sz w:val="24"/>
        </w:rPr>
        <w:br w:type="page"/>
      </w:r>
    </w:p>
    <w:p>
      <w:pPr>
        <w:spacing w:line="440" w:lineRule="exact"/>
        <w:jc w:val="center"/>
        <w:outlineLvl w:val="0"/>
        <w:rPr>
          <w:rFonts w:ascii="Times New Roman" w:hAnsi="Times New Roman" w:eastAsia="黑体" w:cs="Times New Roman"/>
          <w:sz w:val="28"/>
          <w:szCs w:val="28"/>
        </w:rPr>
      </w:pPr>
      <w:bookmarkStart w:id="190" w:name="_Toc8695_WPSOffice_Level1"/>
      <w:bookmarkStart w:id="191" w:name="_Toc32350_WPSOffice_Level1"/>
      <w:bookmarkStart w:id="192" w:name="_Toc16271_WPSOffice_Level1"/>
      <w:bookmarkStart w:id="193" w:name="_Toc18668_WPSOffice_Level1"/>
      <w:bookmarkStart w:id="194" w:name="_Toc14563_WPSOffice_Level1"/>
      <w:r>
        <w:rPr>
          <w:rFonts w:ascii="Times New Roman" w:hAnsi="Times New Roman" w:eastAsia="黑体" w:cs="Times New Roman"/>
          <w:sz w:val="28"/>
          <w:szCs w:val="28"/>
        </w:rPr>
        <w:t>二、法定代表人身份证明及授权委托书</w:t>
      </w:r>
      <w:bookmarkEnd w:id="190"/>
      <w:bookmarkEnd w:id="191"/>
      <w:bookmarkEnd w:id="192"/>
      <w:bookmarkEnd w:id="193"/>
      <w:bookmarkEnd w:id="194"/>
    </w:p>
    <w:p>
      <w:pPr>
        <w:spacing w:line="440" w:lineRule="exact"/>
        <w:rPr>
          <w:rFonts w:ascii="Times New Roman" w:hAnsi="Times New Roman" w:cs="Times New Roman"/>
          <w:sz w:val="20"/>
          <w:szCs w:val="20"/>
        </w:rPr>
      </w:pPr>
    </w:p>
    <w:p>
      <w:pPr>
        <w:spacing w:line="440" w:lineRule="exact"/>
        <w:jc w:val="center"/>
        <w:outlineLvl w:val="1"/>
        <w:rPr>
          <w:rFonts w:ascii="Times New Roman" w:hAnsi="Times New Roman" w:cs="Times New Roman"/>
          <w:sz w:val="28"/>
          <w:szCs w:val="28"/>
        </w:rPr>
      </w:pPr>
      <w:bookmarkStart w:id="195" w:name="_Toc5153_WPSOffice_Level2"/>
      <w:bookmarkStart w:id="196" w:name="_Toc20803_WPSOffice_Level2"/>
      <w:r>
        <w:rPr>
          <w:rFonts w:ascii="Times New Roman" w:hAnsi="Times New Roman" w:eastAsia="黑体" w:cs="Times New Roman"/>
          <w:bCs/>
          <w:sz w:val="28"/>
          <w:szCs w:val="28"/>
        </w:rPr>
        <w:t>2-1 法定代表人身份证明</w:t>
      </w:r>
      <w:bookmarkEnd w:id="195"/>
      <w:bookmarkEnd w:id="196"/>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pPr>
        <w:spacing w:line="440" w:lineRule="exact"/>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tbl>
      <w:tblPr>
        <w:tblStyle w:val="22"/>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9"/>
        <w:gridCol w:w="5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4978" w:type="dxa"/>
          </w:tcPr>
          <w:p>
            <w:pPr>
              <w:spacing w:line="440" w:lineRule="exact"/>
              <w:jc w:val="center"/>
              <w:rPr>
                <w:rFonts w:ascii="Times New Roman" w:hAnsi="Times New Roman" w:cs="Times New Roman"/>
                <w:color w:val="0000FF"/>
                <w:sz w:val="24"/>
              </w:rPr>
            </w:pPr>
          </w:p>
        </w:tc>
        <w:tc>
          <w:tcPr>
            <w:tcW w:w="4984" w:type="dxa"/>
          </w:tcPr>
          <w:p>
            <w:pPr>
              <w:spacing w:line="440" w:lineRule="exact"/>
              <w:jc w:val="center"/>
              <w:rPr>
                <w:rFonts w:ascii="Times New Roman" w:hAnsi="Times New Roman" w:cs="Times New Roman"/>
                <w:color w:val="0000FF"/>
                <w:sz w:val="24"/>
              </w:rPr>
            </w:pPr>
          </w:p>
        </w:tc>
      </w:tr>
    </w:tbl>
    <w:p>
      <w:pPr>
        <w:spacing w:line="440" w:lineRule="exact"/>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spacing w:line="440" w:lineRule="exact"/>
        <w:jc w:val="center"/>
        <w:outlineLvl w:val="1"/>
        <w:rPr>
          <w:rFonts w:ascii="Times New Roman" w:hAnsi="Times New Roman" w:eastAsia="黑体" w:cs="Times New Roman"/>
          <w:sz w:val="28"/>
          <w:szCs w:val="28"/>
        </w:rPr>
      </w:pPr>
      <w:r>
        <w:rPr>
          <w:rFonts w:ascii="Times New Roman" w:hAnsi="Times New Roman" w:eastAsia="黑体" w:cs="Times New Roman"/>
          <w:sz w:val="24"/>
        </w:rPr>
        <w:br w:type="page"/>
      </w:r>
      <w:bookmarkStart w:id="197" w:name="_Toc12035_WPSOffice_Level2"/>
      <w:bookmarkStart w:id="198"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97"/>
      <w:bookmarkEnd w:id="198"/>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tbl>
      <w:tblPr>
        <w:tblStyle w:val="22"/>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9"/>
        <w:gridCol w:w="5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4978" w:type="dxa"/>
          </w:tcPr>
          <w:p>
            <w:pPr>
              <w:spacing w:line="440" w:lineRule="exact"/>
              <w:rPr>
                <w:rFonts w:ascii="Times New Roman" w:hAnsi="Times New Roman" w:cs="Times New Roman"/>
                <w:color w:val="0000FF"/>
                <w:sz w:val="24"/>
              </w:rPr>
            </w:pPr>
          </w:p>
        </w:tc>
        <w:tc>
          <w:tcPr>
            <w:tcW w:w="4984" w:type="dxa"/>
          </w:tcPr>
          <w:p>
            <w:pPr>
              <w:spacing w:line="440" w:lineRule="exact"/>
              <w:rPr>
                <w:rFonts w:ascii="Times New Roman" w:hAnsi="Times New Roman" w:cs="Times New Roman"/>
                <w:color w:val="0000FF"/>
                <w:sz w:val="24"/>
              </w:rPr>
            </w:pPr>
          </w:p>
        </w:tc>
      </w:tr>
    </w:tbl>
    <w:p>
      <w:pPr>
        <w:pStyle w:val="2"/>
        <w:rPr>
          <w:rFonts w:ascii="Times New Roman" w:hAnsi="Times New Roman" w:cs="Times New Roman"/>
          <w:sz w:val="24"/>
        </w:rPr>
      </w:pPr>
    </w:p>
    <w:p>
      <w:pPr>
        <w:pStyle w:val="20"/>
        <w:outlineLvl w:val="9"/>
      </w:pPr>
    </w:p>
    <w:p>
      <w:pPr>
        <w:spacing w:line="440" w:lineRule="exact"/>
        <w:jc w:val="righ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ind w:firstLine="4080" w:firstLineChars="1700"/>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ind w:firstLine="4080" w:firstLineChars="1700"/>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jc w:val="right"/>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rPr>
          <w:rFonts w:ascii="Times New Roman" w:hAnsi="Times New Roman" w:eastAsia="黑体" w:cs="Times New Roman"/>
          <w:sz w:val="24"/>
        </w:rPr>
        <w:sectPr>
          <w:pgSz w:w="11906" w:h="16838"/>
          <w:pgMar w:top="1191" w:right="1080" w:bottom="1191" w:left="1080" w:header="851" w:footer="992" w:gutter="0"/>
          <w:cols w:space="425" w:num="1"/>
          <w:docGrid w:type="lines" w:linePitch="312" w:charSpace="0"/>
        </w:sectPr>
      </w:pPr>
      <w:r>
        <w:rPr>
          <w:rFonts w:ascii="Times New Roman" w:hAnsi="Times New Roman" w:eastAsia="黑体" w:cs="Times New Roman"/>
          <w:sz w:val="24"/>
        </w:rPr>
        <w:t xml:space="preserve"> </w:t>
      </w:r>
    </w:p>
    <w:p>
      <w:pPr>
        <w:numPr>
          <w:ilvl w:val="0"/>
          <w:numId w:val="4"/>
        </w:numPr>
        <w:spacing w:line="440" w:lineRule="exact"/>
        <w:jc w:val="center"/>
        <w:outlineLvl w:val="0"/>
        <w:rPr>
          <w:rFonts w:ascii="Times New Roman" w:hAnsi="Times New Roman" w:eastAsia="黑体" w:cs="Times New Roman"/>
          <w:sz w:val="28"/>
          <w:szCs w:val="28"/>
        </w:rPr>
      </w:pPr>
      <w:bookmarkStart w:id="199" w:name="_Toc31532_WPSOffice_Level1"/>
      <w:r>
        <w:rPr>
          <w:rFonts w:hint="eastAsia" w:ascii="Times New Roman" w:hAnsi="Times New Roman" w:eastAsia="黑体" w:cs="Times New Roman"/>
          <w:sz w:val="28"/>
          <w:szCs w:val="28"/>
        </w:rPr>
        <w:t>报价清单</w:t>
      </w:r>
      <w:bookmarkEnd w:id="199"/>
      <w:bookmarkStart w:id="200" w:name="_Toc26477_WPSOffice_Level1"/>
      <w:bookmarkStart w:id="201" w:name="_Toc23545_WPSOffice_Level1"/>
      <w:bookmarkStart w:id="202" w:name="_Toc10436_WPSOffice_Level1"/>
      <w:bookmarkStart w:id="203" w:name="_Toc31445_WPSOffice_Level1"/>
      <w:bookmarkStart w:id="204" w:name="_Toc7738_WPSOffice_Level1"/>
    </w:p>
    <w:tbl>
      <w:tblPr>
        <w:tblStyle w:val="22"/>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2235"/>
        <w:gridCol w:w="840"/>
        <w:gridCol w:w="975"/>
        <w:gridCol w:w="1542"/>
        <w:gridCol w:w="1668"/>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25" w:type="dxa"/>
            <w:vAlign w:val="center"/>
          </w:tcPr>
          <w:p>
            <w:pPr>
              <w:spacing w:line="240" w:lineRule="auto"/>
              <w:ind w:firstLine="0" w:firstLineChars="0"/>
              <w:jc w:val="center"/>
              <w:rPr>
                <w:rFonts w:ascii="宋体" w:hAnsi="宋体"/>
                <w:b/>
                <w:kern w:val="0"/>
                <w:szCs w:val="28"/>
              </w:rPr>
            </w:pPr>
            <w:r>
              <w:rPr>
                <w:rFonts w:hint="eastAsia" w:ascii="宋体" w:hAnsi="宋体"/>
                <w:b/>
                <w:kern w:val="0"/>
                <w:szCs w:val="28"/>
              </w:rPr>
              <w:t>模块名称</w:t>
            </w:r>
          </w:p>
        </w:tc>
        <w:tc>
          <w:tcPr>
            <w:tcW w:w="2235" w:type="dxa"/>
            <w:vAlign w:val="center"/>
          </w:tcPr>
          <w:p>
            <w:pPr>
              <w:spacing w:line="240" w:lineRule="auto"/>
              <w:ind w:firstLine="0" w:firstLineChars="0"/>
              <w:jc w:val="center"/>
              <w:rPr>
                <w:rFonts w:ascii="宋体" w:hAnsi="宋体"/>
                <w:b/>
                <w:kern w:val="0"/>
                <w:szCs w:val="28"/>
              </w:rPr>
            </w:pPr>
            <w:r>
              <w:rPr>
                <w:rFonts w:hint="eastAsia" w:ascii="宋体" w:hAnsi="宋体"/>
                <w:b/>
                <w:kern w:val="0"/>
                <w:szCs w:val="28"/>
              </w:rPr>
              <w:t>子模块名称</w:t>
            </w:r>
          </w:p>
        </w:tc>
        <w:tc>
          <w:tcPr>
            <w:tcW w:w="840" w:type="dxa"/>
            <w:vAlign w:val="center"/>
          </w:tcPr>
          <w:p>
            <w:pPr>
              <w:spacing w:line="240" w:lineRule="auto"/>
              <w:ind w:firstLine="0" w:firstLineChars="0"/>
              <w:jc w:val="center"/>
              <w:rPr>
                <w:rFonts w:ascii="宋体" w:hAnsi="宋体"/>
                <w:b/>
                <w:kern w:val="0"/>
                <w:szCs w:val="28"/>
              </w:rPr>
            </w:pPr>
            <w:r>
              <w:rPr>
                <w:rFonts w:hint="eastAsia" w:ascii="宋体" w:hAnsi="宋体"/>
                <w:b/>
                <w:kern w:val="0"/>
                <w:szCs w:val="28"/>
              </w:rPr>
              <w:t>数量</w:t>
            </w:r>
          </w:p>
        </w:tc>
        <w:tc>
          <w:tcPr>
            <w:tcW w:w="975" w:type="dxa"/>
            <w:vAlign w:val="center"/>
          </w:tcPr>
          <w:p>
            <w:pPr>
              <w:spacing w:line="240" w:lineRule="auto"/>
              <w:ind w:firstLine="0" w:firstLineChars="0"/>
              <w:jc w:val="center"/>
              <w:rPr>
                <w:rFonts w:ascii="宋体" w:hAnsi="宋体"/>
                <w:b/>
                <w:kern w:val="0"/>
                <w:szCs w:val="28"/>
              </w:rPr>
            </w:pPr>
            <w:r>
              <w:rPr>
                <w:rFonts w:hint="eastAsia" w:ascii="宋体" w:hAnsi="宋体"/>
                <w:b/>
                <w:kern w:val="0"/>
                <w:szCs w:val="28"/>
              </w:rPr>
              <w:t>单位</w:t>
            </w:r>
          </w:p>
        </w:tc>
        <w:tc>
          <w:tcPr>
            <w:tcW w:w="1542" w:type="dxa"/>
            <w:vAlign w:val="center"/>
          </w:tcPr>
          <w:p>
            <w:pPr>
              <w:spacing w:line="240" w:lineRule="auto"/>
              <w:ind w:firstLine="0" w:firstLineChars="0"/>
              <w:jc w:val="center"/>
              <w:rPr>
                <w:rFonts w:ascii="宋体" w:hAnsi="宋体"/>
                <w:b/>
                <w:kern w:val="0"/>
                <w:szCs w:val="28"/>
              </w:rPr>
            </w:pPr>
            <w:r>
              <w:rPr>
                <w:rFonts w:hint="eastAsia" w:ascii="宋体" w:hAnsi="宋体"/>
                <w:b/>
                <w:kern w:val="0"/>
                <w:szCs w:val="28"/>
              </w:rPr>
              <w:t>单价（元）</w:t>
            </w:r>
          </w:p>
        </w:tc>
        <w:tc>
          <w:tcPr>
            <w:tcW w:w="1668" w:type="dxa"/>
            <w:vAlign w:val="center"/>
          </w:tcPr>
          <w:p>
            <w:pPr>
              <w:spacing w:line="240" w:lineRule="auto"/>
              <w:ind w:firstLine="0" w:firstLineChars="0"/>
              <w:jc w:val="center"/>
              <w:rPr>
                <w:rFonts w:ascii="宋体" w:hAnsi="宋体"/>
                <w:b/>
                <w:kern w:val="0"/>
                <w:szCs w:val="28"/>
              </w:rPr>
            </w:pPr>
            <w:r>
              <w:rPr>
                <w:rFonts w:hint="eastAsia" w:ascii="宋体" w:hAnsi="宋体"/>
                <w:b/>
                <w:kern w:val="0"/>
                <w:szCs w:val="28"/>
              </w:rPr>
              <w:t>合计（元）</w:t>
            </w:r>
          </w:p>
        </w:tc>
        <w:tc>
          <w:tcPr>
            <w:tcW w:w="1082" w:type="dxa"/>
            <w:vAlign w:val="center"/>
          </w:tcPr>
          <w:p>
            <w:pPr>
              <w:spacing w:line="240" w:lineRule="auto"/>
              <w:ind w:firstLine="0" w:firstLineChars="0"/>
              <w:jc w:val="center"/>
              <w:rPr>
                <w:rFonts w:ascii="宋体" w:hAnsi="宋体"/>
                <w:b/>
                <w:kern w:val="0"/>
                <w:szCs w:val="28"/>
              </w:rPr>
            </w:pPr>
            <w:r>
              <w:rPr>
                <w:rFonts w:hint="eastAsia" w:ascii="宋体" w:hAnsi="宋体"/>
                <w:b/>
                <w:kern w:val="0"/>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25" w:type="dxa"/>
            <w:vMerge w:val="restart"/>
            <w:vAlign w:val="center"/>
          </w:tcPr>
          <w:p>
            <w:pPr>
              <w:spacing w:line="240" w:lineRule="auto"/>
              <w:ind w:firstLine="0" w:firstLineChars="0"/>
              <w:jc w:val="center"/>
              <w:rPr>
                <w:rFonts w:ascii="宋体" w:hAnsi="宋体"/>
                <w:kern w:val="0"/>
                <w:sz w:val="28"/>
                <w:szCs w:val="28"/>
              </w:rPr>
            </w:pPr>
            <w:r>
              <w:rPr>
                <w:rFonts w:hint="eastAsia" w:ascii="宋体" w:hAnsi="宋体"/>
                <w:kern w:val="0"/>
                <w:sz w:val="20"/>
                <w:szCs w:val="28"/>
              </w:rPr>
              <w:t>项目管理平台前端</w:t>
            </w:r>
          </w:p>
        </w:tc>
        <w:tc>
          <w:tcPr>
            <w:tcW w:w="223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项目管理</w:t>
            </w:r>
          </w:p>
        </w:tc>
        <w:tc>
          <w:tcPr>
            <w:tcW w:w="840"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1</w:t>
            </w:r>
          </w:p>
        </w:tc>
        <w:tc>
          <w:tcPr>
            <w:tcW w:w="97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项</w:t>
            </w:r>
          </w:p>
        </w:tc>
        <w:tc>
          <w:tcPr>
            <w:tcW w:w="1542" w:type="dxa"/>
            <w:vAlign w:val="center"/>
          </w:tcPr>
          <w:p>
            <w:pPr>
              <w:spacing w:line="240" w:lineRule="auto"/>
              <w:ind w:firstLine="0" w:firstLineChars="0"/>
              <w:jc w:val="center"/>
              <w:rPr>
                <w:rFonts w:ascii="宋体" w:hAnsi="宋体"/>
                <w:kern w:val="0"/>
                <w:sz w:val="20"/>
                <w:szCs w:val="28"/>
              </w:rPr>
            </w:pPr>
          </w:p>
        </w:tc>
        <w:tc>
          <w:tcPr>
            <w:tcW w:w="1668" w:type="dxa"/>
            <w:vAlign w:val="center"/>
          </w:tcPr>
          <w:p>
            <w:pPr>
              <w:spacing w:line="240" w:lineRule="auto"/>
              <w:ind w:firstLine="0" w:firstLineChars="0"/>
              <w:jc w:val="center"/>
              <w:rPr>
                <w:rFonts w:ascii="宋体" w:hAnsi="宋体"/>
                <w:kern w:val="0"/>
                <w:sz w:val="20"/>
                <w:szCs w:val="28"/>
              </w:rPr>
            </w:pPr>
          </w:p>
        </w:tc>
        <w:tc>
          <w:tcPr>
            <w:tcW w:w="1082" w:type="dxa"/>
            <w:vAlign w:val="center"/>
          </w:tcPr>
          <w:p>
            <w:pPr>
              <w:spacing w:line="240" w:lineRule="auto"/>
              <w:ind w:firstLine="0" w:firstLineChars="0"/>
              <w:jc w:val="center"/>
              <w:rPr>
                <w:rFonts w:ascii="宋体" w:hAnsi="宋体"/>
                <w:kern w:val="0"/>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25" w:type="dxa"/>
            <w:vMerge w:val="continue"/>
            <w:vAlign w:val="center"/>
          </w:tcPr>
          <w:p>
            <w:pPr>
              <w:spacing w:line="240" w:lineRule="auto"/>
              <w:ind w:firstLine="0" w:firstLineChars="0"/>
              <w:jc w:val="center"/>
              <w:rPr>
                <w:rFonts w:ascii="宋体" w:hAnsi="宋体"/>
                <w:kern w:val="0"/>
                <w:sz w:val="20"/>
                <w:szCs w:val="28"/>
              </w:rPr>
            </w:pPr>
          </w:p>
        </w:tc>
        <w:tc>
          <w:tcPr>
            <w:tcW w:w="223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记录表管理</w:t>
            </w:r>
          </w:p>
        </w:tc>
        <w:tc>
          <w:tcPr>
            <w:tcW w:w="840"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1</w:t>
            </w:r>
          </w:p>
        </w:tc>
        <w:tc>
          <w:tcPr>
            <w:tcW w:w="97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项</w:t>
            </w:r>
          </w:p>
        </w:tc>
        <w:tc>
          <w:tcPr>
            <w:tcW w:w="1542" w:type="dxa"/>
            <w:vAlign w:val="center"/>
          </w:tcPr>
          <w:p>
            <w:pPr>
              <w:spacing w:line="240" w:lineRule="auto"/>
              <w:ind w:firstLine="0" w:firstLineChars="0"/>
              <w:jc w:val="center"/>
              <w:rPr>
                <w:rFonts w:ascii="宋体" w:hAnsi="宋体"/>
                <w:kern w:val="0"/>
                <w:sz w:val="20"/>
                <w:szCs w:val="28"/>
              </w:rPr>
            </w:pPr>
          </w:p>
        </w:tc>
        <w:tc>
          <w:tcPr>
            <w:tcW w:w="1668" w:type="dxa"/>
            <w:vAlign w:val="center"/>
          </w:tcPr>
          <w:p>
            <w:pPr>
              <w:spacing w:line="240" w:lineRule="auto"/>
              <w:ind w:firstLine="0" w:firstLineChars="0"/>
              <w:jc w:val="center"/>
              <w:rPr>
                <w:rFonts w:ascii="宋体" w:hAnsi="宋体"/>
                <w:kern w:val="0"/>
                <w:sz w:val="20"/>
                <w:szCs w:val="28"/>
              </w:rPr>
            </w:pPr>
          </w:p>
        </w:tc>
        <w:tc>
          <w:tcPr>
            <w:tcW w:w="1082" w:type="dxa"/>
            <w:vAlign w:val="center"/>
          </w:tcPr>
          <w:p>
            <w:pPr>
              <w:spacing w:line="240" w:lineRule="auto"/>
              <w:ind w:firstLine="0" w:firstLineChars="0"/>
              <w:jc w:val="center"/>
              <w:rPr>
                <w:rFonts w:ascii="宋体" w:hAnsi="宋体"/>
                <w:kern w:val="0"/>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25" w:type="dxa"/>
            <w:vMerge w:val="continue"/>
            <w:vAlign w:val="center"/>
          </w:tcPr>
          <w:p>
            <w:pPr>
              <w:spacing w:line="240" w:lineRule="auto"/>
              <w:ind w:firstLine="0" w:firstLineChars="0"/>
              <w:jc w:val="center"/>
              <w:rPr>
                <w:rFonts w:ascii="宋体" w:hAnsi="宋体"/>
                <w:kern w:val="0"/>
                <w:sz w:val="20"/>
                <w:szCs w:val="28"/>
              </w:rPr>
            </w:pPr>
          </w:p>
        </w:tc>
        <w:tc>
          <w:tcPr>
            <w:tcW w:w="223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检测标准管理</w:t>
            </w:r>
          </w:p>
        </w:tc>
        <w:tc>
          <w:tcPr>
            <w:tcW w:w="840"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1</w:t>
            </w:r>
          </w:p>
        </w:tc>
        <w:tc>
          <w:tcPr>
            <w:tcW w:w="97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项</w:t>
            </w:r>
          </w:p>
        </w:tc>
        <w:tc>
          <w:tcPr>
            <w:tcW w:w="1542" w:type="dxa"/>
            <w:vAlign w:val="center"/>
          </w:tcPr>
          <w:p>
            <w:pPr>
              <w:spacing w:line="240" w:lineRule="auto"/>
              <w:ind w:firstLine="0" w:firstLineChars="0"/>
              <w:jc w:val="center"/>
              <w:rPr>
                <w:rFonts w:ascii="宋体" w:hAnsi="宋体"/>
                <w:kern w:val="0"/>
                <w:sz w:val="20"/>
                <w:szCs w:val="28"/>
              </w:rPr>
            </w:pPr>
          </w:p>
        </w:tc>
        <w:tc>
          <w:tcPr>
            <w:tcW w:w="1668" w:type="dxa"/>
            <w:vAlign w:val="center"/>
          </w:tcPr>
          <w:p>
            <w:pPr>
              <w:spacing w:line="240" w:lineRule="auto"/>
              <w:ind w:firstLine="0" w:firstLineChars="0"/>
              <w:jc w:val="center"/>
              <w:rPr>
                <w:rFonts w:ascii="宋体" w:hAnsi="宋体"/>
                <w:kern w:val="0"/>
                <w:sz w:val="20"/>
                <w:szCs w:val="28"/>
              </w:rPr>
            </w:pPr>
          </w:p>
        </w:tc>
        <w:tc>
          <w:tcPr>
            <w:tcW w:w="1082" w:type="dxa"/>
            <w:vAlign w:val="center"/>
          </w:tcPr>
          <w:p>
            <w:pPr>
              <w:spacing w:line="240" w:lineRule="auto"/>
              <w:ind w:firstLine="0" w:firstLineChars="0"/>
              <w:jc w:val="center"/>
              <w:rPr>
                <w:rFonts w:ascii="宋体" w:hAnsi="宋体"/>
                <w:kern w:val="0"/>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25" w:type="dxa"/>
            <w:vMerge w:val="continue"/>
            <w:vAlign w:val="center"/>
          </w:tcPr>
          <w:p>
            <w:pPr>
              <w:spacing w:line="240" w:lineRule="auto"/>
              <w:ind w:firstLine="0" w:firstLineChars="0"/>
              <w:jc w:val="center"/>
              <w:rPr>
                <w:rFonts w:ascii="宋体" w:hAnsi="宋体"/>
                <w:kern w:val="0"/>
                <w:sz w:val="20"/>
                <w:szCs w:val="28"/>
              </w:rPr>
            </w:pPr>
          </w:p>
        </w:tc>
        <w:tc>
          <w:tcPr>
            <w:tcW w:w="223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仪器库管理</w:t>
            </w:r>
          </w:p>
        </w:tc>
        <w:tc>
          <w:tcPr>
            <w:tcW w:w="840"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1</w:t>
            </w:r>
          </w:p>
        </w:tc>
        <w:tc>
          <w:tcPr>
            <w:tcW w:w="97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项</w:t>
            </w:r>
          </w:p>
        </w:tc>
        <w:tc>
          <w:tcPr>
            <w:tcW w:w="1542" w:type="dxa"/>
            <w:vAlign w:val="center"/>
          </w:tcPr>
          <w:p>
            <w:pPr>
              <w:spacing w:line="240" w:lineRule="auto"/>
              <w:ind w:firstLine="0" w:firstLineChars="0"/>
              <w:jc w:val="center"/>
              <w:rPr>
                <w:rFonts w:ascii="宋体" w:hAnsi="宋体"/>
                <w:kern w:val="0"/>
                <w:sz w:val="20"/>
                <w:szCs w:val="28"/>
              </w:rPr>
            </w:pPr>
          </w:p>
        </w:tc>
        <w:tc>
          <w:tcPr>
            <w:tcW w:w="1668" w:type="dxa"/>
            <w:vAlign w:val="center"/>
          </w:tcPr>
          <w:p>
            <w:pPr>
              <w:spacing w:line="240" w:lineRule="auto"/>
              <w:ind w:firstLine="0" w:firstLineChars="0"/>
              <w:jc w:val="center"/>
              <w:rPr>
                <w:rFonts w:ascii="宋体" w:hAnsi="宋体"/>
                <w:kern w:val="0"/>
                <w:sz w:val="20"/>
                <w:szCs w:val="28"/>
              </w:rPr>
            </w:pPr>
          </w:p>
        </w:tc>
        <w:tc>
          <w:tcPr>
            <w:tcW w:w="1082" w:type="dxa"/>
            <w:vAlign w:val="center"/>
          </w:tcPr>
          <w:p>
            <w:pPr>
              <w:spacing w:line="240" w:lineRule="auto"/>
              <w:ind w:firstLine="0" w:firstLineChars="0"/>
              <w:jc w:val="center"/>
              <w:rPr>
                <w:rFonts w:ascii="宋体" w:hAnsi="宋体"/>
                <w:kern w:val="0"/>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25" w:type="dxa"/>
            <w:vMerge w:val="restart"/>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项目管理平台后台</w:t>
            </w:r>
          </w:p>
        </w:tc>
        <w:tc>
          <w:tcPr>
            <w:tcW w:w="223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组织机构管理</w:t>
            </w:r>
          </w:p>
        </w:tc>
        <w:tc>
          <w:tcPr>
            <w:tcW w:w="840"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1</w:t>
            </w:r>
          </w:p>
        </w:tc>
        <w:tc>
          <w:tcPr>
            <w:tcW w:w="97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项</w:t>
            </w:r>
          </w:p>
        </w:tc>
        <w:tc>
          <w:tcPr>
            <w:tcW w:w="1542" w:type="dxa"/>
            <w:vAlign w:val="center"/>
          </w:tcPr>
          <w:p>
            <w:pPr>
              <w:spacing w:line="240" w:lineRule="auto"/>
              <w:ind w:firstLine="0" w:firstLineChars="0"/>
              <w:jc w:val="center"/>
              <w:rPr>
                <w:rFonts w:ascii="宋体" w:hAnsi="宋体"/>
                <w:kern w:val="0"/>
                <w:sz w:val="20"/>
                <w:szCs w:val="28"/>
              </w:rPr>
            </w:pPr>
          </w:p>
        </w:tc>
        <w:tc>
          <w:tcPr>
            <w:tcW w:w="1668" w:type="dxa"/>
            <w:vAlign w:val="center"/>
          </w:tcPr>
          <w:p>
            <w:pPr>
              <w:spacing w:line="240" w:lineRule="auto"/>
              <w:ind w:firstLine="0" w:firstLineChars="0"/>
              <w:jc w:val="center"/>
              <w:rPr>
                <w:rFonts w:ascii="宋体" w:hAnsi="宋体"/>
                <w:kern w:val="0"/>
                <w:sz w:val="20"/>
                <w:szCs w:val="28"/>
              </w:rPr>
            </w:pPr>
          </w:p>
        </w:tc>
        <w:tc>
          <w:tcPr>
            <w:tcW w:w="1082" w:type="dxa"/>
            <w:vAlign w:val="center"/>
          </w:tcPr>
          <w:p>
            <w:pPr>
              <w:spacing w:line="240" w:lineRule="auto"/>
              <w:ind w:firstLine="0" w:firstLineChars="0"/>
              <w:jc w:val="center"/>
              <w:rPr>
                <w:rFonts w:ascii="宋体" w:hAnsi="宋体"/>
                <w:kern w:val="0"/>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25" w:type="dxa"/>
            <w:vMerge w:val="continue"/>
          </w:tcPr>
          <w:p>
            <w:pPr>
              <w:spacing w:line="240" w:lineRule="auto"/>
              <w:ind w:firstLine="0" w:firstLineChars="0"/>
              <w:jc w:val="center"/>
              <w:rPr>
                <w:rFonts w:ascii="宋体" w:hAnsi="宋体"/>
                <w:kern w:val="0"/>
                <w:sz w:val="20"/>
                <w:szCs w:val="28"/>
              </w:rPr>
            </w:pPr>
          </w:p>
        </w:tc>
        <w:tc>
          <w:tcPr>
            <w:tcW w:w="223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用户管理</w:t>
            </w:r>
          </w:p>
        </w:tc>
        <w:tc>
          <w:tcPr>
            <w:tcW w:w="840"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1</w:t>
            </w:r>
          </w:p>
        </w:tc>
        <w:tc>
          <w:tcPr>
            <w:tcW w:w="97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项</w:t>
            </w:r>
          </w:p>
        </w:tc>
        <w:tc>
          <w:tcPr>
            <w:tcW w:w="1542" w:type="dxa"/>
            <w:vAlign w:val="center"/>
          </w:tcPr>
          <w:p>
            <w:pPr>
              <w:spacing w:line="240" w:lineRule="auto"/>
              <w:ind w:firstLine="0" w:firstLineChars="0"/>
              <w:jc w:val="center"/>
              <w:rPr>
                <w:rFonts w:ascii="宋体" w:hAnsi="宋体"/>
                <w:kern w:val="0"/>
                <w:sz w:val="20"/>
                <w:szCs w:val="28"/>
              </w:rPr>
            </w:pPr>
          </w:p>
        </w:tc>
        <w:tc>
          <w:tcPr>
            <w:tcW w:w="1668" w:type="dxa"/>
            <w:vAlign w:val="center"/>
          </w:tcPr>
          <w:p>
            <w:pPr>
              <w:spacing w:line="240" w:lineRule="auto"/>
              <w:ind w:firstLine="0" w:firstLineChars="0"/>
              <w:jc w:val="center"/>
              <w:rPr>
                <w:rFonts w:ascii="宋体" w:hAnsi="宋体"/>
                <w:kern w:val="0"/>
                <w:sz w:val="20"/>
                <w:szCs w:val="28"/>
              </w:rPr>
            </w:pPr>
          </w:p>
        </w:tc>
        <w:tc>
          <w:tcPr>
            <w:tcW w:w="1082" w:type="dxa"/>
            <w:vAlign w:val="center"/>
          </w:tcPr>
          <w:p>
            <w:pPr>
              <w:spacing w:line="240" w:lineRule="auto"/>
              <w:ind w:firstLine="0" w:firstLineChars="0"/>
              <w:jc w:val="center"/>
              <w:rPr>
                <w:rFonts w:ascii="宋体" w:hAnsi="宋体"/>
                <w:kern w:val="0"/>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25" w:type="dxa"/>
            <w:vMerge w:val="continue"/>
          </w:tcPr>
          <w:p>
            <w:pPr>
              <w:spacing w:line="240" w:lineRule="auto"/>
              <w:ind w:firstLine="0" w:firstLineChars="0"/>
              <w:jc w:val="center"/>
              <w:rPr>
                <w:rFonts w:ascii="宋体" w:hAnsi="宋体"/>
                <w:kern w:val="0"/>
                <w:sz w:val="20"/>
                <w:szCs w:val="28"/>
              </w:rPr>
            </w:pPr>
          </w:p>
        </w:tc>
        <w:tc>
          <w:tcPr>
            <w:tcW w:w="223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权限管理</w:t>
            </w:r>
          </w:p>
        </w:tc>
        <w:tc>
          <w:tcPr>
            <w:tcW w:w="840"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1</w:t>
            </w:r>
          </w:p>
        </w:tc>
        <w:tc>
          <w:tcPr>
            <w:tcW w:w="97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项</w:t>
            </w:r>
          </w:p>
        </w:tc>
        <w:tc>
          <w:tcPr>
            <w:tcW w:w="1542" w:type="dxa"/>
            <w:vAlign w:val="center"/>
          </w:tcPr>
          <w:p>
            <w:pPr>
              <w:spacing w:line="240" w:lineRule="auto"/>
              <w:ind w:firstLine="0" w:firstLineChars="0"/>
              <w:jc w:val="center"/>
              <w:rPr>
                <w:rFonts w:ascii="宋体" w:hAnsi="宋体"/>
                <w:kern w:val="0"/>
                <w:sz w:val="20"/>
                <w:szCs w:val="28"/>
              </w:rPr>
            </w:pPr>
          </w:p>
        </w:tc>
        <w:tc>
          <w:tcPr>
            <w:tcW w:w="1668" w:type="dxa"/>
            <w:vAlign w:val="center"/>
          </w:tcPr>
          <w:p>
            <w:pPr>
              <w:spacing w:line="240" w:lineRule="auto"/>
              <w:ind w:firstLine="0" w:firstLineChars="0"/>
              <w:jc w:val="center"/>
              <w:rPr>
                <w:rFonts w:ascii="宋体" w:hAnsi="宋体"/>
                <w:kern w:val="0"/>
                <w:sz w:val="20"/>
                <w:szCs w:val="28"/>
              </w:rPr>
            </w:pPr>
          </w:p>
        </w:tc>
        <w:tc>
          <w:tcPr>
            <w:tcW w:w="1082" w:type="dxa"/>
            <w:vAlign w:val="center"/>
          </w:tcPr>
          <w:p>
            <w:pPr>
              <w:spacing w:line="240" w:lineRule="auto"/>
              <w:ind w:firstLine="0" w:firstLineChars="0"/>
              <w:jc w:val="center"/>
              <w:rPr>
                <w:rFonts w:ascii="宋体" w:hAnsi="宋体"/>
                <w:kern w:val="0"/>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25" w:type="dxa"/>
            <w:vMerge w:val="restart"/>
            <w:vAlign w:val="center"/>
          </w:tcPr>
          <w:p>
            <w:pPr>
              <w:spacing w:line="240" w:lineRule="auto"/>
              <w:ind w:firstLine="0" w:firstLineChars="0"/>
              <w:jc w:val="center"/>
              <w:rPr>
                <w:rFonts w:ascii="宋体" w:hAnsi="宋体"/>
                <w:kern w:val="0"/>
                <w:sz w:val="28"/>
                <w:szCs w:val="28"/>
              </w:rPr>
            </w:pPr>
            <w:r>
              <w:rPr>
                <w:rFonts w:hint="eastAsia" w:ascii="宋体" w:hAnsi="宋体"/>
                <w:kern w:val="0"/>
                <w:sz w:val="20"/>
                <w:szCs w:val="28"/>
              </w:rPr>
              <w:t>数据采集</w:t>
            </w:r>
          </w:p>
        </w:tc>
        <w:tc>
          <w:tcPr>
            <w:tcW w:w="223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外观检查</w:t>
            </w:r>
          </w:p>
        </w:tc>
        <w:tc>
          <w:tcPr>
            <w:tcW w:w="840"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1</w:t>
            </w:r>
          </w:p>
        </w:tc>
        <w:tc>
          <w:tcPr>
            <w:tcW w:w="97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项</w:t>
            </w:r>
          </w:p>
        </w:tc>
        <w:tc>
          <w:tcPr>
            <w:tcW w:w="1542" w:type="dxa"/>
            <w:vAlign w:val="center"/>
          </w:tcPr>
          <w:p>
            <w:pPr>
              <w:spacing w:line="240" w:lineRule="auto"/>
              <w:ind w:firstLine="0" w:firstLineChars="0"/>
              <w:jc w:val="center"/>
              <w:rPr>
                <w:rFonts w:ascii="宋体" w:hAnsi="宋体"/>
                <w:kern w:val="0"/>
                <w:sz w:val="20"/>
                <w:szCs w:val="28"/>
              </w:rPr>
            </w:pPr>
          </w:p>
        </w:tc>
        <w:tc>
          <w:tcPr>
            <w:tcW w:w="1668" w:type="dxa"/>
            <w:vAlign w:val="center"/>
          </w:tcPr>
          <w:p>
            <w:pPr>
              <w:spacing w:line="240" w:lineRule="auto"/>
              <w:ind w:firstLine="0" w:firstLineChars="0"/>
              <w:jc w:val="center"/>
              <w:rPr>
                <w:rFonts w:ascii="宋体" w:hAnsi="宋体"/>
                <w:kern w:val="0"/>
                <w:sz w:val="20"/>
                <w:szCs w:val="28"/>
              </w:rPr>
            </w:pPr>
          </w:p>
        </w:tc>
        <w:tc>
          <w:tcPr>
            <w:tcW w:w="1082" w:type="dxa"/>
            <w:vAlign w:val="center"/>
          </w:tcPr>
          <w:p>
            <w:pPr>
              <w:spacing w:line="240" w:lineRule="auto"/>
              <w:ind w:firstLine="0" w:firstLineChars="0"/>
              <w:jc w:val="center"/>
              <w:rPr>
                <w:rFonts w:ascii="宋体" w:hAnsi="宋体"/>
                <w:kern w:val="0"/>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25" w:type="dxa"/>
            <w:vMerge w:val="continue"/>
            <w:vAlign w:val="center"/>
          </w:tcPr>
          <w:p>
            <w:pPr>
              <w:spacing w:line="240" w:lineRule="auto"/>
              <w:ind w:firstLine="0" w:firstLineChars="0"/>
              <w:jc w:val="center"/>
              <w:rPr>
                <w:rFonts w:ascii="宋体" w:hAnsi="宋体"/>
                <w:kern w:val="0"/>
                <w:sz w:val="20"/>
                <w:szCs w:val="28"/>
              </w:rPr>
            </w:pPr>
          </w:p>
        </w:tc>
        <w:tc>
          <w:tcPr>
            <w:tcW w:w="223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路面技术状况</w:t>
            </w:r>
          </w:p>
          <w:p>
            <w:pPr>
              <w:spacing w:line="240" w:lineRule="auto"/>
              <w:ind w:firstLine="0" w:firstLineChars="0"/>
              <w:jc w:val="center"/>
              <w:rPr>
                <w:rFonts w:ascii="宋体" w:hAnsi="宋体"/>
                <w:kern w:val="0"/>
                <w:sz w:val="20"/>
                <w:szCs w:val="28"/>
              </w:rPr>
            </w:pPr>
            <w:r>
              <w:rPr>
                <w:rFonts w:hint="eastAsia" w:ascii="宋体" w:hAnsi="宋体"/>
                <w:kern w:val="0"/>
                <w:sz w:val="20"/>
                <w:szCs w:val="28"/>
              </w:rPr>
              <w:t>（高速公路）</w:t>
            </w:r>
          </w:p>
        </w:tc>
        <w:tc>
          <w:tcPr>
            <w:tcW w:w="840"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1</w:t>
            </w:r>
          </w:p>
        </w:tc>
        <w:tc>
          <w:tcPr>
            <w:tcW w:w="97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项</w:t>
            </w:r>
          </w:p>
        </w:tc>
        <w:tc>
          <w:tcPr>
            <w:tcW w:w="1542" w:type="dxa"/>
            <w:vAlign w:val="center"/>
          </w:tcPr>
          <w:p>
            <w:pPr>
              <w:spacing w:line="240" w:lineRule="auto"/>
              <w:ind w:firstLine="0" w:firstLineChars="0"/>
              <w:jc w:val="center"/>
              <w:rPr>
                <w:rFonts w:ascii="宋体" w:hAnsi="宋体"/>
                <w:kern w:val="0"/>
                <w:sz w:val="20"/>
                <w:szCs w:val="28"/>
              </w:rPr>
            </w:pPr>
          </w:p>
        </w:tc>
        <w:tc>
          <w:tcPr>
            <w:tcW w:w="1668" w:type="dxa"/>
            <w:vAlign w:val="center"/>
          </w:tcPr>
          <w:p>
            <w:pPr>
              <w:spacing w:line="240" w:lineRule="auto"/>
              <w:ind w:firstLine="0" w:firstLineChars="0"/>
              <w:jc w:val="center"/>
              <w:rPr>
                <w:rFonts w:ascii="宋体" w:hAnsi="宋体"/>
                <w:kern w:val="0"/>
                <w:sz w:val="20"/>
                <w:szCs w:val="28"/>
              </w:rPr>
            </w:pPr>
          </w:p>
        </w:tc>
        <w:tc>
          <w:tcPr>
            <w:tcW w:w="1082" w:type="dxa"/>
            <w:vAlign w:val="center"/>
          </w:tcPr>
          <w:p>
            <w:pPr>
              <w:spacing w:line="240" w:lineRule="auto"/>
              <w:ind w:firstLine="0" w:firstLineChars="0"/>
              <w:jc w:val="center"/>
              <w:rPr>
                <w:rFonts w:ascii="宋体" w:hAnsi="宋体"/>
                <w:kern w:val="0"/>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25" w:type="dxa"/>
            <w:vMerge w:val="continue"/>
            <w:vAlign w:val="center"/>
          </w:tcPr>
          <w:p>
            <w:pPr>
              <w:spacing w:line="240" w:lineRule="auto"/>
              <w:ind w:firstLine="0" w:firstLineChars="0"/>
              <w:jc w:val="center"/>
              <w:rPr>
                <w:rFonts w:ascii="宋体" w:hAnsi="宋体"/>
                <w:kern w:val="0"/>
                <w:sz w:val="20"/>
                <w:szCs w:val="28"/>
              </w:rPr>
            </w:pPr>
          </w:p>
        </w:tc>
        <w:tc>
          <w:tcPr>
            <w:tcW w:w="223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广告牌检测</w:t>
            </w:r>
          </w:p>
        </w:tc>
        <w:tc>
          <w:tcPr>
            <w:tcW w:w="840"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1</w:t>
            </w:r>
          </w:p>
        </w:tc>
        <w:tc>
          <w:tcPr>
            <w:tcW w:w="97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项</w:t>
            </w:r>
          </w:p>
        </w:tc>
        <w:tc>
          <w:tcPr>
            <w:tcW w:w="1542" w:type="dxa"/>
            <w:vAlign w:val="center"/>
          </w:tcPr>
          <w:p>
            <w:pPr>
              <w:spacing w:line="240" w:lineRule="auto"/>
              <w:ind w:firstLine="0" w:firstLineChars="0"/>
              <w:jc w:val="center"/>
              <w:rPr>
                <w:rFonts w:ascii="宋体" w:hAnsi="宋体"/>
                <w:kern w:val="0"/>
                <w:sz w:val="20"/>
                <w:szCs w:val="28"/>
              </w:rPr>
            </w:pPr>
          </w:p>
        </w:tc>
        <w:tc>
          <w:tcPr>
            <w:tcW w:w="1668" w:type="dxa"/>
            <w:vAlign w:val="center"/>
          </w:tcPr>
          <w:p>
            <w:pPr>
              <w:spacing w:line="240" w:lineRule="auto"/>
              <w:ind w:firstLine="0" w:firstLineChars="0"/>
              <w:jc w:val="center"/>
              <w:rPr>
                <w:rFonts w:ascii="宋体" w:hAnsi="宋体"/>
                <w:kern w:val="0"/>
                <w:sz w:val="20"/>
                <w:szCs w:val="28"/>
              </w:rPr>
            </w:pPr>
          </w:p>
        </w:tc>
        <w:tc>
          <w:tcPr>
            <w:tcW w:w="1082" w:type="dxa"/>
            <w:vAlign w:val="center"/>
          </w:tcPr>
          <w:p>
            <w:pPr>
              <w:spacing w:line="240" w:lineRule="auto"/>
              <w:ind w:firstLine="0" w:firstLineChars="0"/>
              <w:jc w:val="center"/>
              <w:rPr>
                <w:rFonts w:ascii="宋体" w:hAnsi="宋体"/>
                <w:kern w:val="0"/>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25" w:type="dxa"/>
            <w:vMerge w:val="continue"/>
            <w:vAlign w:val="center"/>
          </w:tcPr>
          <w:p>
            <w:pPr>
              <w:spacing w:line="240" w:lineRule="auto"/>
              <w:ind w:firstLine="0" w:firstLineChars="0"/>
              <w:jc w:val="center"/>
              <w:rPr>
                <w:rFonts w:ascii="宋体" w:hAnsi="宋体"/>
                <w:kern w:val="0"/>
                <w:sz w:val="20"/>
                <w:szCs w:val="28"/>
              </w:rPr>
            </w:pPr>
          </w:p>
        </w:tc>
        <w:tc>
          <w:tcPr>
            <w:tcW w:w="2235" w:type="dxa"/>
            <w:vAlign w:val="center"/>
          </w:tcPr>
          <w:p>
            <w:pPr>
              <w:spacing w:line="240" w:lineRule="auto"/>
              <w:ind w:firstLine="0" w:firstLineChars="0"/>
              <w:jc w:val="center"/>
              <w:rPr>
                <w:kern w:val="0"/>
                <w:sz w:val="20"/>
              </w:rPr>
            </w:pPr>
            <w:r>
              <w:rPr>
                <w:rFonts w:hint="eastAsia"/>
                <w:kern w:val="0"/>
                <w:sz w:val="20"/>
              </w:rPr>
              <w:t>需涵盖的受控记录表</w:t>
            </w:r>
          </w:p>
        </w:tc>
        <w:tc>
          <w:tcPr>
            <w:tcW w:w="840" w:type="dxa"/>
            <w:vAlign w:val="center"/>
          </w:tcPr>
          <w:p>
            <w:pPr>
              <w:spacing w:line="240" w:lineRule="auto"/>
              <w:ind w:firstLine="0" w:firstLineChars="0"/>
              <w:jc w:val="center"/>
              <w:rPr>
                <w:kern w:val="0"/>
                <w:sz w:val="20"/>
              </w:rPr>
            </w:pPr>
            <w:r>
              <w:rPr>
                <w:rFonts w:hint="eastAsia"/>
                <w:kern w:val="0"/>
                <w:sz w:val="20"/>
              </w:rPr>
              <w:t>1</w:t>
            </w:r>
          </w:p>
        </w:tc>
        <w:tc>
          <w:tcPr>
            <w:tcW w:w="975" w:type="dxa"/>
            <w:vAlign w:val="center"/>
          </w:tcPr>
          <w:p>
            <w:pPr>
              <w:spacing w:line="240" w:lineRule="auto"/>
              <w:ind w:firstLine="0" w:firstLineChars="0"/>
              <w:jc w:val="center"/>
              <w:rPr>
                <w:kern w:val="0"/>
                <w:sz w:val="20"/>
              </w:rPr>
            </w:pPr>
            <w:r>
              <w:rPr>
                <w:rFonts w:hint="eastAsia" w:ascii="宋体" w:hAnsi="宋体"/>
                <w:kern w:val="0"/>
                <w:sz w:val="20"/>
                <w:szCs w:val="28"/>
              </w:rPr>
              <w:t>项</w:t>
            </w:r>
          </w:p>
        </w:tc>
        <w:tc>
          <w:tcPr>
            <w:tcW w:w="1542" w:type="dxa"/>
            <w:vAlign w:val="center"/>
          </w:tcPr>
          <w:p>
            <w:pPr>
              <w:spacing w:line="240" w:lineRule="auto"/>
              <w:ind w:firstLine="0" w:firstLineChars="0"/>
              <w:jc w:val="center"/>
              <w:rPr>
                <w:kern w:val="0"/>
                <w:sz w:val="20"/>
              </w:rPr>
            </w:pPr>
          </w:p>
        </w:tc>
        <w:tc>
          <w:tcPr>
            <w:tcW w:w="1668" w:type="dxa"/>
            <w:vAlign w:val="center"/>
          </w:tcPr>
          <w:p>
            <w:pPr>
              <w:spacing w:line="240" w:lineRule="auto"/>
              <w:ind w:firstLine="0" w:firstLineChars="0"/>
              <w:jc w:val="center"/>
              <w:rPr>
                <w:kern w:val="0"/>
                <w:sz w:val="20"/>
              </w:rPr>
            </w:pPr>
          </w:p>
        </w:tc>
        <w:tc>
          <w:tcPr>
            <w:tcW w:w="1082" w:type="dxa"/>
            <w:vAlign w:val="center"/>
          </w:tcPr>
          <w:p>
            <w:pPr>
              <w:spacing w:line="240" w:lineRule="auto"/>
              <w:ind w:firstLine="0" w:firstLineChars="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25" w:type="dxa"/>
            <w:vMerge w:val="continue"/>
            <w:vAlign w:val="center"/>
          </w:tcPr>
          <w:p>
            <w:pPr>
              <w:spacing w:line="240" w:lineRule="auto"/>
              <w:ind w:firstLine="0" w:firstLineChars="0"/>
              <w:jc w:val="center"/>
              <w:rPr>
                <w:rFonts w:ascii="宋体" w:hAnsi="宋体"/>
                <w:kern w:val="0"/>
                <w:sz w:val="20"/>
                <w:szCs w:val="28"/>
              </w:rPr>
            </w:pPr>
          </w:p>
        </w:tc>
        <w:tc>
          <w:tcPr>
            <w:tcW w:w="223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支持平台</w:t>
            </w:r>
          </w:p>
        </w:tc>
        <w:tc>
          <w:tcPr>
            <w:tcW w:w="840"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1</w:t>
            </w:r>
          </w:p>
        </w:tc>
        <w:tc>
          <w:tcPr>
            <w:tcW w:w="97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项</w:t>
            </w:r>
          </w:p>
        </w:tc>
        <w:tc>
          <w:tcPr>
            <w:tcW w:w="1542" w:type="dxa"/>
            <w:vAlign w:val="center"/>
          </w:tcPr>
          <w:p>
            <w:pPr>
              <w:spacing w:line="240" w:lineRule="auto"/>
              <w:ind w:firstLine="0" w:firstLineChars="0"/>
              <w:jc w:val="center"/>
              <w:rPr>
                <w:rFonts w:ascii="宋体" w:hAnsi="宋体"/>
                <w:kern w:val="0"/>
                <w:sz w:val="20"/>
                <w:szCs w:val="28"/>
              </w:rPr>
            </w:pPr>
          </w:p>
        </w:tc>
        <w:tc>
          <w:tcPr>
            <w:tcW w:w="1668" w:type="dxa"/>
            <w:vAlign w:val="center"/>
          </w:tcPr>
          <w:p>
            <w:pPr>
              <w:spacing w:line="240" w:lineRule="auto"/>
              <w:ind w:firstLine="0" w:firstLineChars="0"/>
              <w:jc w:val="center"/>
              <w:rPr>
                <w:rFonts w:ascii="宋体" w:hAnsi="宋体"/>
                <w:kern w:val="0"/>
                <w:sz w:val="20"/>
                <w:szCs w:val="28"/>
              </w:rPr>
            </w:pPr>
          </w:p>
        </w:tc>
        <w:tc>
          <w:tcPr>
            <w:tcW w:w="1082" w:type="dxa"/>
            <w:vAlign w:val="center"/>
          </w:tcPr>
          <w:p>
            <w:pPr>
              <w:spacing w:line="240" w:lineRule="auto"/>
              <w:ind w:firstLine="0" w:firstLineChars="0"/>
              <w:jc w:val="center"/>
              <w:rPr>
                <w:rFonts w:ascii="宋体" w:hAnsi="宋体"/>
                <w:kern w:val="0"/>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25" w:type="dxa"/>
            <w:vMerge w:val="restart"/>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数据处理</w:t>
            </w:r>
          </w:p>
        </w:tc>
        <w:tc>
          <w:tcPr>
            <w:tcW w:w="223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外观检查</w:t>
            </w:r>
          </w:p>
        </w:tc>
        <w:tc>
          <w:tcPr>
            <w:tcW w:w="840"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1</w:t>
            </w:r>
          </w:p>
        </w:tc>
        <w:tc>
          <w:tcPr>
            <w:tcW w:w="97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项</w:t>
            </w:r>
          </w:p>
        </w:tc>
        <w:tc>
          <w:tcPr>
            <w:tcW w:w="1542" w:type="dxa"/>
            <w:vAlign w:val="center"/>
          </w:tcPr>
          <w:p>
            <w:pPr>
              <w:spacing w:line="240" w:lineRule="auto"/>
              <w:ind w:firstLine="0" w:firstLineChars="0"/>
              <w:jc w:val="center"/>
              <w:rPr>
                <w:rFonts w:ascii="宋体" w:hAnsi="宋体"/>
                <w:kern w:val="0"/>
                <w:sz w:val="20"/>
                <w:szCs w:val="28"/>
              </w:rPr>
            </w:pPr>
          </w:p>
        </w:tc>
        <w:tc>
          <w:tcPr>
            <w:tcW w:w="1668" w:type="dxa"/>
            <w:vAlign w:val="center"/>
          </w:tcPr>
          <w:p>
            <w:pPr>
              <w:spacing w:line="240" w:lineRule="auto"/>
              <w:ind w:firstLine="0" w:firstLineChars="0"/>
              <w:jc w:val="center"/>
              <w:rPr>
                <w:rFonts w:ascii="宋体" w:hAnsi="宋体"/>
                <w:kern w:val="0"/>
                <w:sz w:val="20"/>
                <w:szCs w:val="28"/>
              </w:rPr>
            </w:pPr>
          </w:p>
        </w:tc>
        <w:tc>
          <w:tcPr>
            <w:tcW w:w="1082" w:type="dxa"/>
            <w:vAlign w:val="center"/>
          </w:tcPr>
          <w:p>
            <w:pPr>
              <w:spacing w:line="240" w:lineRule="auto"/>
              <w:ind w:firstLine="0" w:firstLineChars="0"/>
              <w:jc w:val="center"/>
              <w:rPr>
                <w:rFonts w:ascii="宋体" w:hAnsi="宋体"/>
                <w:kern w:val="0"/>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25" w:type="dxa"/>
            <w:vMerge w:val="continue"/>
            <w:vAlign w:val="center"/>
          </w:tcPr>
          <w:p>
            <w:pPr>
              <w:spacing w:line="240" w:lineRule="auto"/>
              <w:ind w:firstLine="0" w:firstLineChars="0"/>
              <w:jc w:val="center"/>
              <w:rPr>
                <w:rFonts w:ascii="宋体" w:hAnsi="宋体"/>
                <w:kern w:val="0"/>
                <w:sz w:val="20"/>
                <w:szCs w:val="28"/>
              </w:rPr>
            </w:pPr>
          </w:p>
        </w:tc>
        <w:tc>
          <w:tcPr>
            <w:tcW w:w="223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路面技术状况</w:t>
            </w:r>
          </w:p>
          <w:p>
            <w:pPr>
              <w:spacing w:line="240" w:lineRule="auto"/>
              <w:ind w:firstLine="0" w:firstLineChars="0"/>
              <w:jc w:val="center"/>
              <w:rPr>
                <w:rFonts w:ascii="宋体" w:hAnsi="宋体"/>
                <w:kern w:val="0"/>
                <w:sz w:val="20"/>
                <w:szCs w:val="28"/>
              </w:rPr>
            </w:pPr>
            <w:r>
              <w:rPr>
                <w:rFonts w:hint="eastAsia" w:ascii="宋体" w:hAnsi="宋体"/>
                <w:kern w:val="0"/>
                <w:sz w:val="20"/>
                <w:szCs w:val="28"/>
              </w:rPr>
              <w:t>（高速公路）</w:t>
            </w:r>
          </w:p>
        </w:tc>
        <w:tc>
          <w:tcPr>
            <w:tcW w:w="840"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1</w:t>
            </w:r>
          </w:p>
        </w:tc>
        <w:tc>
          <w:tcPr>
            <w:tcW w:w="97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项</w:t>
            </w:r>
          </w:p>
        </w:tc>
        <w:tc>
          <w:tcPr>
            <w:tcW w:w="1542" w:type="dxa"/>
            <w:vAlign w:val="center"/>
          </w:tcPr>
          <w:p>
            <w:pPr>
              <w:spacing w:line="240" w:lineRule="auto"/>
              <w:ind w:firstLine="0" w:firstLineChars="0"/>
              <w:jc w:val="center"/>
              <w:rPr>
                <w:rFonts w:ascii="宋体" w:hAnsi="宋体"/>
                <w:kern w:val="0"/>
                <w:sz w:val="20"/>
                <w:szCs w:val="28"/>
              </w:rPr>
            </w:pPr>
          </w:p>
        </w:tc>
        <w:tc>
          <w:tcPr>
            <w:tcW w:w="1668" w:type="dxa"/>
            <w:vAlign w:val="center"/>
          </w:tcPr>
          <w:p>
            <w:pPr>
              <w:spacing w:line="240" w:lineRule="auto"/>
              <w:ind w:firstLine="0" w:firstLineChars="0"/>
              <w:jc w:val="center"/>
              <w:rPr>
                <w:rFonts w:ascii="宋体" w:hAnsi="宋体"/>
                <w:kern w:val="0"/>
                <w:sz w:val="20"/>
                <w:szCs w:val="28"/>
              </w:rPr>
            </w:pPr>
          </w:p>
        </w:tc>
        <w:tc>
          <w:tcPr>
            <w:tcW w:w="1082" w:type="dxa"/>
            <w:vAlign w:val="center"/>
          </w:tcPr>
          <w:p>
            <w:pPr>
              <w:spacing w:line="240" w:lineRule="auto"/>
              <w:ind w:firstLine="0" w:firstLineChars="0"/>
              <w:jc w:val="center"/>
              <w:rPr>
                <w:rFonts w:ascii="宋体" w:hAnsi="宋体"/>
                <w:kern w:val="0"/>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25" w:type="dxa"/>
            <w:vMerge w:val="continue"/>
            <w:vAlign w:val="center"/>
          </w:tcPr>
          <w:p>
            <w:pPr>
              <w:spacing w:line="240" w:lineRule="auto"/>
              <w:ind w:firstLine="0" w:firstLineChars="0"/>
              <w:jc w:val="center"/>
              <w:rPr>
                <w:rFonts w:ascii="宋体" w:hAnsi="宋体"/>
                <w:kern w:val="0"/>
                <w:sz w:val="20"/>
                <w:szCs w:val="28"/>
              </w:rPr>
            </w:pPr>
          </w:p>
        </w:tc>
        <w:tc>
          <w:tcPr>
            <w:tcW w:w="223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广告牌检测</w:t>
            </w:r>
          </w:p>
        </w:tc>
        <w:tc>
          <w:tcPr>
            <w:tcW w:w="840"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1</w:t>
            </w:r>
          </w:p>
        </w:tc>
        <w:tc>
          <w:tcPr>
            <w:tcW w:w="97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项</w:t>
            </w:r>
          </w:p>
        </w:tc>
        <w:tc>
          <w:tcPr>
            <w:tcW w:w="1542" w:type="dxa"/>
            <w:vAlign w:val="center"/>
          </w:tcPr>
          <w:p>
            <w:pPr>
              <w:spacing w:line="240" w:lineRule="auto"/>
              <w:ind w:firstLine="0" w:firstLineChars="0"/>
              <w:jc w:val="center"/>
              <w:rPr>
                <w:rFonts w:ascii="宋体" w:hAnsi="宋体"/>
                <w:kern w:val="0"/>
                <w:sz w:val="20"/>
                <w:szCs w:val="28"/>
              </w:rPr>
            </w:pPr>
          </w:p>
        </w:tc>
        <w:tc>
          <w:tcPr>
            <w:tcW w:w="1668" w:type="dxa"/>
            <w:vAlign w:val="center"/>
          </w:tcPr>
          <w:p>
            <w:pPr>
              <w:spacing w:line="240" w:lineRule="auto"/>
              <w:ind w:firstLine="0" w:firstLineChars="0"/>
              <w:jc w:val="center"/>
              <w:rPr>
                <w:rFonts w:ascii="宋体" w:hAnsi="宋体"/>
                <w:kern w:val="0"/>
                <w:sz w:val="20"/>
                <w:szCs w:val="28"/>
              </w:rPr>
            </w:pPr>
          </w:p>
        </w:tc>
        <w:tc>
          <w:tcPr>
            <w:tcW w:w="1082" w:type="dxa"/>
            <w:vAlign w:val="center"/>
          </w:tcPr>
          <w:p>
            <w:pPr>
              <w:spacing w:line="240" w:lineRule="auto"/>
              <w:ind w:firstLine="0" w:firstLineChars="0"/>
              <w:jc w:val="center"/>
              <w:rPr>
                <w:rFonts w:ascii="宋体" w:hAnsi="宋体"/>
                <w:kern w:val="0"/>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25" w:type="dxa"/>
            <w:vMerge w:val="continue"/>
            <w:vAlign w:val="center"/>
          </w:tcPr>
          <w:p>
            <w:pPr>
              <w:spacing w:line="240" w:lineRule="auto"/>
              <w:ind w:firstLine="0" w:firstLineChars="0"/>
              <w:jc w:val="center"/>
              <w:rPr>
                <w:rFonts w:ascii="宋体" w:hAnsi="宋体"/>
                <w:kern w:val="0"/>
                <w:sz w:val="20"/>
                <w:szCs w:val="28"/>
              </w:rPr>
            </w:pPr>
          </w:p>
        </w:tc>
        <w:tc>
          <w:tcPr>
            <w:tcW w:w="223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过程计算</w:t>
            </w:r>
          </w:p>
        </w:tc>
        <w:tc>
          <w:tcPr>
            <w:tcW w:w="840"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1</w:t>
            </w:r>
          </w:p>
        </w:tc>
        <w:tc>
          <w:tcPr>
            <w:tcW w:w="97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项</w:t>
            </w:r>
          </w:p>
        </w:tc>
        <w:tc>
          <w:tcPr>
            <w:tcW w:w="1542" w:type="dxa"/>
            <w:vAlign w:val="center"/>
          </w:tcPr>
          <w:p>
            <w:pPr>
              <w:spacing w:line="240" w:lineRule="auto"/>
              <w:ind w:firstLine="0" w:firstLineChars="0"/>
              <w:jc w:val="center"/>
              <w:rPr>
                <w:rFonts w:ascii="宋体" w:hAnsi="宋体"/>
                <w:kern w:val="0"/>
                <w:sz w:val="20"/>
                <w:szCs w:val="28"/>
              </w:rPr>
            </w:pPr>
          </w:p>
        </w:tc>
        <w:tc>
          <w:tcPr>
            <w:tcW w:w="1668" w:type="dxa"/>
            <w:vAlign w:val="center"/>
          </w:tcPr>
          <w:p>
            <w:pPr>
              <w:spacing w:line="240" w:lineRule="auto"/>
              <w:ind w:firstLine="0" w:firstLineChars="0"/>
              <w:jc w:val="center"/>
              <w:rPr>
                <w:rFonts w:ascii="宋体" w:hAnsi="宋体"/>
                <w:kern w:val="0"/>
                <w:sz w:val="20"/>
                <w:szCs w:val="28"/>
              </w:rPr>
            </w:pPr>
          </w:p>
        </w:tc>
        <w:tc>
          <w:tcPr>
            <w:tcW w:w="1082" w:type="dxa"/>
            <w:vAlign w:val="center"/>
          </w:tcPr>
          <w:p>
            <w:pPr>
              <w:spacing w:line="240" w:lineRule="auto"/>
              <w:ind w:firstLine="0" w:firstLineChars="0"/>
              <w:jc w:val="center"/>
              <w:rPr>
                <w:rFonts w:ascii="宋体" w:hAnsi="宋体"/>
                <w:kern w:val="0"/>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25" w:type="dxa"/>
            <w:vMerge w:val="restart"/>
            <w:vAlign w:val="center"/>
          </w:tcPr>
          <w:p>
            <w:pPr>
              <w:spacing w:line="240" w:lineRule="auto"/>
              <w:ind w:firstLine="0" w:firstLineChars="0"/>
              <w:jc w:val="center"/>
              <w:rPr>
                <w:rFonts w:ascii="宋体" w:hAnsi="宋体"/>
                <w:kern w:val="0"/>
                <w:sz w:val="28"/>
                <w:szCs w:val="28"/>
              </w:rPr>
            </w:pPr>
            <w:r>
              <w:rPr>
                <w:rFonts w:hint="eastAsia" w:ascii="宋体" w:hAnsi="宋体"/>
                <w:kern w:val="0"/>
                <w:sz w:val="20"/>
                <w:szCs w:val="28"/>
              </w:rPr>
              <w:t>数据输出</w:t>
            </w:r>
          </w:p>
        </w:tc>
        <w:tc>
          <w:tcPr>
            <w:tcW w:w="223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外观检查</w:t>
            </w:r>
          </w:p>
        </w:tc>
        <w:tc>
          <w:tcPr>
            <w:tcW w:w="840"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1</w:t>
            </w:r>
          </w:p>
        </w:tc>
        <w:tc>
          <w:tcPr>
            <w:tcW w:w="97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项</w:t>
            </w:r>
          </w:p>
        </w:tc>
        <w:tc>
          <w:tcPr>
            <w:tcW w:w="1542" w:type="dxa"/>
            <w:vAlign w:val="center"/>
          </w:tcPr>
          <w:p>
            <w:pPr>
              <w:spacing w:line="240" w:lineRule="auto"/>
              <w:ind w:firstLine="0" w:firstLineChars="0"/>
              <w:jc w:val="center"/>
              <w:rPr>
                <w:rFonts w:ascii="宋体" w:hAnsi="宋体"/>
                <w:kern w:val="0"/>
                <w:sz w:val="20"/>
                <w:szCs w:val="28"/>
              </w:rPr>
            </w:pPr>
          </w:p>
        </w:tc>
        <w:tc>
          <w:tcPr>
            <w:tcW w:w="1668" w:type="dxa"/>
            <w:vAlign w:val="center"/>
          </w:tcPr>
          <w:p>
            <w:pPr>
              <w:spacing w:line="240" w:lineRule="auto"/>
              <w:ind w:firstLine="0" w:firstLineChars="0"/>
              <w:jc w:val="center"/>
              <w:rPr>
                <w:rFonts w:ascii="宋体" w:hAnsi="宋体"/>
                <w:kern w:val="0"/>
                <w:sz w:val="20"/>
                <w:szCs w:val="28"/>
              </w:rPr>
            </w:pPr>
          </w:p>
        </w:tc>
        <w:tc>
          <w:tcPr>
            <w:tcW w:w="1082" w:type="dxa"/>
            <w:vAlign w:val="center"/>
          </w:tcPr>
          <w:p>
            <w:pPr>
              <w:spacing w:line="240" w:lineRule="auto"/>
              <w:ind w:firstLine="0" w:firstLineChars="0"/>
              <w:jc w:val="center"/>
              <w:rPr>
                <w:rFonts w:ascii="宋体" w:hAnsi="宋体"/>
                <w:kern w:val="0"/>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25" w:type="dxa"/>
            <w:vMerge w:val="continue"/>
            <w:vAlign w:val="center"/>
          </w:tcPr>
          <w:p>
            <w:pPr>
              <w:spacing w:line="240" w:lineRule="auto"/>
              <w:ind w:firstLine="0" w:firstLineChars="0"/>
              <w:jc w:val="center"/>
              <w:rPr>
                <w:rFonts w:ascii="宋体" w:hAnsi="宋体"/>
                <w:kern w:val="0"/>
                <w:sz w:val="20"/>
                <w:szCs w:val="28"/>
              </w:rPr>
            </w:pPr>
          </w:p>
        </w:tc>
        <w:tc>
          <w:tcPr>
            <w:tcW w:w="223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路面技术状况</w:t>
            </w:r>
          </w:p>
          <w:p>
            <w:pPr>
              <w:spacing w:line="240" w:lineRule="auto"/>
              <w:ind w:firstLine="0" w:firstLineChars="0"/>
              <w:jc w:val="center"/>
              <w:rPr>
                <w:rFonts w:ascii="宋体" w:hAnsi="宋体"/>
                <w:kern w:val="0"/>
                <w:sz w:val="20"/>
                <w:szCs w:val="28"/>
              </w:rPr>
            </w:pPr>
            <w:r>
              <w:rPr>
                <w:rFonts w:hint="eastAsia" w:ascii="宋体" w:hAnsi="宋体"/>
                <w:kern w:val="0"/>
                <w:sz w:val="20"/>
                <w:szCs w:val="28"/>
              </w:rPr>
              <w:t>（高速公路）</w:t>
            </w:r>
          </w:p>
        </w:tc>
        <w:tc>
          <w:tcPr>
            <w:tcW w:w="840"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1</w:t>
            </w:r>
          </w:p>
        </w:tc>
        <w:tc>
          <w:tcPr>
            <w:tcW w:w="97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项</w:t>
            </w:r>
          </w:p>
        </w:tc>
        <w:tc>
          <w:tcPr>
            <w:tcW w:w="1542" w:type="dxa"/>
            <w:vAlign w:val="center"/>
          </w:tcPr>
          <w:p>
            <w:pPr>
              <w:spacing w:line="240" w:lineRule="auto"/>
              <w:ind w:firstLine="0" w:firstLineChars="0"/>
              <w:jc w:val="center"/>
              <w:rPr>
                <w:rFonts w:ascii="宋体" w:hAnsi="宋体"/>
                <w:kern w:val="0"/>
                <w:sz w:val="20"/>
                <w:szCs w:val="28"/>
              </w:rPr>
            </w:pPr>
          </w:p>
        </w:tc>
        <w:tc>
          <w:tcPr>
            <w:tcW w:w="1668" w:type="dxa"/>
            <w:vAlign w:val="center"/>
          </w:tcPr>
          <w:p>
            <w:pPr>
              <w:spacing w:line="240" w:lineRule="auto"/>
              <w:ind w:firstLine="0" w:firstLineChars="0"/>
              <w:jc w:val="center"/>
              <w:rPr>
                <w:rFonts w:ascii="宋体" w:hAnsi="宋体"/>
                <w:kern w:val="0"/>
                <w:sz w:val="20"/>
                <w:szCs w:val="28"/>
              </w:rPr>
            </w:pPr>
          </w:p>
        </w:tc>
        <w:tc>
          <w:tcPr>
            <w:tcW w:w="1082" w:type="dxa"/>
            <w:vAlign w:val="center"/>
          </w:tcPr>
          <w:p>
            <w:pPr>
              <w:spacing w:line="240" w:lineRule="auto"/>
              <w:ind w:firstLine="0" w:firstLineChars="0"/>
              <w:jc w:val="center"/>
              <w:rPr>
                <w:rFonts w:ascii="宋体" w:hAnsi="宋体"/>
                <w:kern w:val="0"/>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25" w:type="dxa"/>
            <w:vMerge w:val="continue"/>
            <w:vAlign w:val="center"/>
          </w:tcPr>
          <w:p>
            <w:pPr>
              <w:spacing w:line="240" w:lineRule="auto"/>
              <w:ind w:firstLine="0" w:firstLineChars="0"/>
              <w:jc w:val="center"/>
              <w:rPr>
                <w:rFonts w:ascii="宋体" w:hAnsi="宋体"/>
                <w:kern w:val="0"/>
                <w:sz w:val="20"/>
                <w:szCs w:val="28"/>
              </w:rPr>
            </w:pPr>
          </w:p>
        </w:tc>
        <w:tc>
          <w:tcPr>
            <w:tcW w:w="223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广告牌检测</w:t>
            </w:r>
          </w:p>
        </w:tc>
        <w:tc>
          <w:tcPr>
            <w:tcW w:w="840"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1</w:t>
            </w:r>
          </w:p>
        </w:tc>
        <w:tc>
          <w:tcPr>
            <w:tcW w:w="97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项</w:t>
            </w:r>
          </w:p>
        </w:tc>
        <w:tc>
          <w:tcPr>
            <w:tcW w:w="1542" w:type="dxa"/>
            <w:vAlign w:val="center"/>
          </w:tcPr>
          <w:p>
            <w:pPr>
              <w:spacing w:line="240" w:lineRule="auto"/>
              <w:ind w:firstLine="0" w:firstLineChars="0"/>
              <w:jc w:val="center"/>
              <w:rPr>
                <w:rFonts w:ascii="宋体" w:hAnsi="宋体"/>
                <w:kern w:val="0"/>
                <w:sz w:val="20"/>
                <w:szCs w:val="28"/>
              </w:rPr>
            </w:pPr>
          </w:p>
        </w:tc>
        <w:tc>
          <w:tcPr>
            <w:tcW w:w="1668" w:type="dxa"/>
            <w:vAlign w:val="center"/>
          </w:tcPr>
          <w:p>
            <w:pPr>
              <w:spacing w:line="240" w:lineRule="auto"/>
              <w:ind w:firstLine="0" w:firstLineChars="0"/>
              <w:jc w:val="center"/>
              <w:rPr>
                <w:rFonts w:ascii="宋体" w:hAnsi="宋体"/>
                <w:kern w:val="0"/>
                <w:sz w:val="20"/>
                <w:szCs w:val="28"/>
              </w:rPr>
            </w:pPr>
          </w:p>
        </w:tc>
        <w:tc>
          <w:tcPr>
            <w:tcW w:w="1082" w:type="dxa"/>
            <w:vAlign w:val="center"/>
          </w:tcPr>
          <w:p>
            <w:pPr>
              <w:spacing w:line="240" w:lineRule="auto"/>
              <w:ind w:firstLine="0" w:firstLineChars="0"/>
              <w:jc w:val="center"/>
              <w:rPr>
                <w:rFonts w:ascii="宋体" w:hAnsi="宋体"/>
                <w:kern w:val="0"/>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25" w:type="dxa"/>
            <w:vMerge w:val="continue"/>
            <w:vAlign w:val="center"/>
          </w:tcPr>
          <w:p>
            <w:pPr>
              <w:spacing w:line="240" w:lineRule="auto"/>
              <w:ind w:firstLine="0" w:firstLineChars="0"/>
              <w:jc w:val="center"/>
              <w:rPr>
                <w:rFonts w:ascii="宋体" w:hAnsi="宋体"/>
                <w:kern w:val="0"/>
                <w:sz w:val="20"/>
                <w:szCs w:val="28"/>
              </w:rPr>
            </w:pPr>
          </w:p>
        </w:tc>
        <w:tc>
          <w:tcPr>
            <w:tcW w:w="2235" w:type="dxa"/>
            <w:vAlign w:val="center"/>
          </w:tcPr>
          <w:p>
            <w:pPr>
              <w:spacing w:line="240" w:lineRule="auto"/>
              <w:ind w:firstLine="0" w:firstLineChars="0"/>
              <w:jc w:val="center"/>
              <w:rPr>
                <w:rFonts w:ascii="宋体" w:hAnsi="宋体"/>
                <w:kern w:val="0"/>
                <w:sz w:val="20"/>
                <w:szCs w:val="28"/>
              </w:rPr>
            </w:pPr>
            <w:r>
              <w:rPr>
                <w:rFonts w:hint="eastAsia"/>
                <w:kern w:val="0"/>
                <w:sz w:val="20"/>
              </w:rPr>
              <w:t>需涵盖的受控记录表</w:t>
            </w:r>
          </w:p>
        </w:tc>
        <w:tc>
          <w:tcPr>
            <w:tcW w:w="840" w:type="dxa"/>
            <w:vAlign w:val="center"/>
          </w:tcPr>
          <w:p>
            <w:pPr>
              <w:spacing w:line="240" w:lineRule="auto"/>
              <w:ind w:firstLine="0" w:firstLineChars="0"/>
              <w:jc w:val="center"/>
              <w:rPr>
                <w:kern w:val="0"/>
                <w:sz w:val="20"/>
              </w:rPr>
            </w:pPr>
            <w:r>
              <w:rPr>
                <w:rFonts w:hint="eastAsia"/>
                <w:kern w:val="0"/>
                <w:sz w:val="20"/>
              </w:rPr>
              <w:t>1</w:t>
            </w:r>
          </w:p>
        </w:tc>
        <w:tc>
          <w:tcPr>
            <w:tcW w:w="975" w:type="dxa"/>
            <w:vAlign w:val="center"/>
          </w:tcPr>
          <w:p>
            <w:pPr>
              <w:spacing w:line="240" w:lineRule="auto"/>
              <w:ind w:firstLine="0" w:firstLineChars="0"/>
              <w:jc w:val="center"/>
              <w:rPr>
                <w:kern w:val="0"/>
                <w:sz w:val="20"/>
              </w:rPr>
            </w:pPr>
            <w:r>
              <w:rPr>
                <w:rFonts w:hint="eastAsia" w:ascii="宋体" w:hAnsi="宋体"/>
                <w:kern w:val="0"/>
                <w:sz w:val="20"/>
                <w:szCs w:val="28"/>
              </w:rPr>
              <w:t>项</w:t>
            </w:r>
          </w:p>
        </w:tc>
        <w:tc>
          <w:tcPr>
            <w:tcW w:w="1542" w:type="dxa"/>
            <w:vAlign w:val="center"/>
          </w:tcPr>
          <w:p>
            <w:pPr>
              <w:spacing w:line="240" w:lineRule="auto"/>
              <w:ind w:firstLine="0" w:firstLineChars="0"/>
              <w:jc w:val="center"/>
              <w:rPr>
                <w:kern w:val="0"/>
                <w:sz w:val="20"/>
              </w:rPr>
            </w:pPr>
          </w:p>
        </w:tc>
        <w:tc>
          <w:tcPr>
            <w:tcW w:w="1668" w:type="dxa"/>
            <w:vAlign w:val="center"/>
          </w:tcPr>
          <w:p>
            <w:pPr>
              <w:spacing w:line="240" w:lineRule="auto"/>
              <w:ind w:firstLine="0" w:firstLineChars="0"/>
              <w:jc w:val="center"/>
              <w:rPr>
                <w:kern w:val="0"/>
                <w:sz w:val="20"/>
              </w:rPr>
            </w:pPr>
          </w:p>
        </w:tc>
        <w:tc>
          <w:tcPr>
            <w:tcW w:w="1082" w:type="dxa"/>
            <w:vAlign w:val="center"/>
          </w:tcPr>
          <w:p>
            <w:pPr>
              <w:spacing w:line="240" w:lineRule="auto"/>
              <w:ind w:firstLine="0" w:firstLineChars="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25" w:type="dxa"/>
            <w:vMerge w:val="continue"/>
            <w:vAlign w:val="center"/>
          </w:tcPr>
          <w:p>
            <w:pPr>
              <w:spacing w:line="240" w:lineRule="auto"/>
              <w:ind w:firstLine="0" w:firstLineChars="0"/>
              <w:jc w:val="center"/>
              <w:rPr>
                <w:rFonts w:ascii="宋体" w:hAnsi="宋体"/>
                <w:kern w:val="0"/>
                <w:sz w:val="20"/>
                <w:szCs w:val="28"/>
              </w:rPr>
            </w:pPr>
          </w:p>
        </w:tc>
        <w:tc>
          <w:tcPr>
            <w:tcW w:w="223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数据加工</w:t>
            </w:r>
          </w:p>
        </w:tc>
        <w:tc>
          <w:tcPr>
            <w:tcW w:w="840"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1</w:t>
            </w:r>
          </w:p>
        </w:tc>
        <w:tc>
          <w:tcPr>
            <w:tcW w:w="97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项</w:t>
            </w:r>
          </w:p>
        </w:tc>
        <w:tc>
          <w:tcPr>
            <w:tcW w:w="1542" w:type="dxa"/>
            <w:vAlign w:val="center"/>
          </w:tcPr>
          <w:p>
            <w:pPr>
              <w:spacing w:line="240" w:lineRule="auto"/>
              <w:ind w:firstLine="0" w:firstLineChars="0"/>
              <w:jc w:val="center"/>
              <w:rPr>
                <w:rFonts w:ascii="宋体" w:hAnsi="宋体"/>
                <w:kern w:val="0"/>
                <w:sz w:val="20"/>
                <w:szCs w:val="28"/>
              </w:rPr>
            </w:pPr>
          </w:p>
        </w:tc>
        <w:tc>
          <w:tcPr>
            <w:tcW w:w="1668" w:type="dxa"/>
            <w:vAlign w:val="center"/>
          </w:tcPr>
          <w:p>
            <w:pPr>
              <w:spacing w:line="240" w:lineRule="auto"/>
              <w:ind w:firstLine="0" w:firstLineChars="0"/>
              <w:jc w:val="center"/>
              <w:rPr>
                <w:rFonts w:ascii="宋体" w:hAnsi="宋体"/>
                <w:kern w:val="0"/>
                <w:sz w:val="20"/>
                <w:szCs w:val="28"/>
              </w:rPr>
            </w:pPr>
          </w:p>
        </w:tc>
        <w:tc>
          <w:tcPr>
            <w:tcW w:w="1082" w:type="dxa"/>
            <w:vAlign w:val="center"/>
          </w:tcPr>
          <w:p>
            <w:pPr>
              <w:spacing w:line="240" w:lineRule="auto"/>
              <w:ind w:firstLine="0" w:firstLineChars="0"/>
              <w:jc w:val="center"/>
              <w:rPr>
                <w:rFonts w:ascii="宋体" w:hAnsi="宋体"/>
                <w:kern w:val="0"/>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25" w:type="dxa"/>
            <w:vMerge w:val="continue"/>
            <w:vAlign w:val="center"/>
          </w:tcPr>
          <w:p>
            <w:pPr>
              <w:spacing w:line="240" w:lineRule="auto"/>
              <w:ind w:firstLine="0" w:firstLineChars="0"/>
              <w:jc w:val="center"/>
              <w:rPr>
                <w:rFonts w:ascii="宋体" w:hAnsi="宋体"/>
                <w:kern w:val="0"/>
                <w:sz w:val="20"/>
                <w:szCs w:val="28"/>
              </w:rPr>
            </w:pPr>
          </w:p>
        </w:tc>
        <w:tc>
          <w:tcPr>
            <w:tcW w:w="223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报告生成</w:t>
            </w:r>
          </w:p>
        </w:tc>
        <w:tc>
          <w:tcPr>
            <w:tcW w:w="840"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1</w:t>
            </w:r>
          </w:p>
        </w:tc>
        <w:tc>
          <w:tcPr>
            <w:tcW w:w="97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项</w:t>
            </w:r>
          </w:p>
        </w:tc>
        <w:tc>
          <w:tcPr>
            <w:tcW w:w="1542" w:type="dxa"/>
            <w:vAlign w:val="center"/>
          </w:tcPr>
          <w:p>
            <w:pPr>
              <w:spacing w:line="240" w:lineRule="auto"/>
              <w:ind w:firstLine="0" w:firstLineChars="0"/>
              <w:jc w:val="center"/>
              <w:rPr>
                <w:rFonts w:ascii="宋体" w:hAnsi="宋体"/>
                <w:kern w:val="0"/>
                <w:sz w:val="20"/>
                <w:szCs w:val="28"/>
              </w:rPr>
            </w:pPr>
          </w:p>
        </w:tc>
        <w:tc>
          <w:tcPr>
            <w:tcW w:w="1668" w:type="dxa"/>
            <w:vAlign w:val="center"/>
          </w:tcPr>
          <w:p>
            <w:pPr>
              <w:spacing w:line="240" w:lineRule="auto"/>
              <w:ind w:firstLine="0" w:firstLineChars="0"/>
              <w:jc w:val="center"/>
              <w:rPr>
                <w:rFonts w:ascii="宋体" w:hAnsi="宋体"/>
                <w:kern w:val="0"/>
                <w:sz w:val="20"/>
                <w:szCs w:val="28"/>
              </w:rPr>
            </w:pPr>
          </w:p>
        </w:tc>
        <w:tc>
          <w:tcPr>
            <w:tcW w:w="1082" w:type="dxa"/>
            <w:vAlign w:val="center"/>
          </w:tcPr>
          <w:p>
            <w:pPr>
              <w:spacing w:line="240" w:lineRule="auto"/>
              <w:ind w:firstLine="0" w:firstLineChars="0"/>
              <w:jc w:val="center"/>
              <w:rPr>
                <w:rFonts w:ascii="宋体" w:hAnsi="宋体"/>
                <w:kern w:val="0"/>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25" w:type="dxa"/>
            <w:vMerge w:val="restart"/>
            <w:vAlign w:val="center"/>
          </w:tcPr>
          <w:p>
            <w:pPr>
              <w:spacing w:line="240" w:lineRule="auto"/>
              <w:ind w:firstLine="0" w:firstLineChars="0"/>
              <w:jc w:val="center"/>
              <w:rPr>
                <w:rFonts w:ascii="宋体" w:hAnsi="宋体"/>
                <w:kern w:val="0"/>
                <w:sz w:val="28"/>
                <w:szCs w:val="28"/>
              </w:rPr>
            </w:pPr>
            <w:r>
              <w:rPr>
                <w:rFonts w:hint="eastAsia" w:ascii="宋体" w:hAnsi="宋体"/>
                <w:kern w:val="0"/>
                <w:sz w:val="20"/>
                <w:szCs w:val="28"/>
              </w:rPr>
              <w:t>其他需求</w:t>
            </w:r>
          </w:p>
        </w:tc>
        <w:tc>
          <w:tcPr>
            <w:tcW w:w="223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报告汇总（基桩完整性）</w:t>
            </w:r>
          </w:p>
        </w:tc>
        <w:tc>
          <w:tcPr>
            <w:tcW w:w="840"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1</w:t>
            </w:r>
          </w:p>
        </w:tc>
        <w:tc>
          <w:tcPr>
            <w:tcW w:w="97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项</w:t>
            </w:r>
          </w:p>
        </w:tc>
        <w:tc>
          <w:tcPr>
            <w:tcW w:w="1542" w:type="dxa"/>
            <w:vAlign w:val="center"/>
          </w:tcPr>
          <w:p>
            <w:pPr>
              <w:spacing w:line="240" w:lineRule="auto"/>
              <w:ind w:firstLine="0" w:firstLineChars="0"/>
              <w:jc w:val="center"/>
              <w:rPr>
                <w:rFonts w:ascii="宋体" w:hAnsi="宋体"/>
                <w:kern w:val="0"/>
                <w:sz w:val="20"/>
                <w:szCs w:val="28"/>
              </w:rPr>
            </w:pPr>
          </w:p>
        </w:tc>
        <w:tc>
          <w:tcPr>
            <w:tcW w:w="1668" w:type="dxa"/>
            <w:vAlign w:val="center"/>
          </w:tcPr>
          <w:p>
            <w:pPr>
              <w:spacing w:line="240" w:lineRule="auto"/>
              <w:ind w:firstLine="0" w:firstLineChars="0"/>
              <w:jc w:val="center"/>
              <w:rPr>
                <w:rFonts w:ascii="宋体" w:hAnsi="宋体"/>
                <w:kern w:val="0"/>
                <w:sz w:val="20"/>
                <w:szCs w:val="28"/>
              </w:rPr>
            </w:pPr>
          </w:p>
        </w:tc>
        <w:tc>
          <w:tcPr>
            <w:tcW w:w="1082" w:type="dxa"/>
            <w:vAlign w:val="center"/>
          </w:tcPr>
          <w:p>
            <w:pPr>
              <w:spacing w:line="240" w:lineRule="auto"/>
              <w:ind w:firstLine="0" w:firstLineChars="0"/>
              <w:jc w:val="center"/>
              <w:rPr>
                <w:rFonts w:ascii="宋体" w:hAnsi="宋体"/>
                <w:kern w:val="0"/>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25" w:type="dxa"/>
            <w:vMerge w:val="continue"/>
            <w:vAlign w:val="center"/>
          </w:tcPr>
          <w:p>
            <w:pPr>
              <w:spacing w:line="240" w:lineRule="auto"/>
              <w:ind w:firstLine="0" w:firstLineChars="0"/>
              <w:jc w:val="center"/>
              <w:rPr>
                <w:rFonts w:ascii="宋体" w:hAnsi="宋体"/>
                <w:kern w:val="0"/>
                <w:sz w:val="28"/>
                <w:szCs w:val="28"/>
              </w:rPr>
            </w:pPr>
          </w:p>
        </w:tc>
        <w:tc>
          <w:tcPr>
            <w:tcW w:w="223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人机交互</w:t>
            </w:r>
          </w:p>
        </w:tc>
        <w:tc>
          <w:tcPr>
            <w:tcW w:w="840"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1</w:t>
            </w:r>
          </w:p>
        </w:tc>
        <w:tc>
          <w:tcPr>
            <w:tcW w:w="97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项</w:t>
            </w:r>
          </w:p>
        </w:tc>
        <w:tc>
          <w:tcPr>
            <w:tcW w:w="1542" w:type="dxa"/>
            <w:vAlign w:val="center"/>
          </w:tcPr>
          <w:p>
            <w:pPr>
              <w:spacing w:line="240" w:lineRule="auto"/>
              <w:ind w:firstLine="0" w:firstLineChars="0"/>
              <w:jc w:val="center"/>
              <w:rPr>
                <w:rFonts w:ascii="宋体" w:hAnsi="宋体"/>
                <w:kern w:val="0"/>
                <w:sz w:val="20"/>
                <w:szCs w:val="28"/>
              </w:rPr>
            </w:pPr>
          </w:p>
        </w:tc>
        <w:tc>
          <w:tcPr>
            <w:tcW w:w="1668" w:type="dxa"/>
            <w:vAlign w:val="center"/>
          </w:tcPr>
          <w:p>
            <w:pPr>
              <w:spacing w:line="240" w:lineRule="auto"/>
              <w:ind w:firstLine="0" w:firstLineChars="0"/>
              <w:jc w:val="center"/>
              <w:rPr>
                <w:rFonts w:ascii="宋体" w:hAnsi="宋体"/>
                <w:kern w:val="0"/>
                <w:sz w:val="20"/>
                <w:szCs w:val="28"/>
              </w:rPr>
            </w:pPr>
          </w:p>
        </w:tc>
        <w:tc>
          <w:tcPr>
            <w:tcW w:w="1082" w:type="dxa"/>
            <w:vAlign w:val="center"/>
          </w:tcPr>
          <w:p>
            <w:pPr>
              <w:spacing w:line="240" w:lineRule="auto"/>
              <w:ind w:firstLine="0" w:firstLineChars="0"/>
              <w:jc w:val="center"/>
              <w:rPr>
                <w:rFonts w:ascii="宋体" w:hAnsi="宋体"/>
                <w:kern w:val="0"/>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25" w:type="dxa"/>
            <w:vMerge w:val="continue"/>
            <w:vAlign w:val="center"/>
          </w:tcPr>
          <w:p>
            <w:pPr>
              <w:spacing w:line="240" w:lineRule="auto"/>
              <w:ind w:firstLine="0" w:firstLineChars="0"/>
              <w:jc w:val="center"/>
              <w:rPr>
                <w:rFonts w:ascii="宋体" w:hAnsi="宋体"/>
                <w:kern w:val="0"/>
                <w:sz w:val="20"/>
                <w:szCs w:val="28"/>
              </w:rPr>
            </w:pPr>
          </w:p>
        </w:tc>
        <w:tc>
          <w:tcPr>
            <w:tcW w:w="223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界面设计</w:t>
            </w:r>
          </w:p>
        </w:tc>
        <w:tc>
          <w:tcPr>
            <w:tcW w:w="840"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1</w:t>
            </w:r>
          </w:p>
        </w:tc>
        <w:tc>
          <w:tcPr>
            <w:tcW w:w="97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项</w:t>
            </w:r>
          </w:p>
        </w:tc>
        <w:tc>
          <w:tcPr>
            <w:tcW w:w="1542" w:type="dxa"/>
            <w:vAlign w:val="center"/>
          </w:tcPr>
          <w:p>
            <w:pPr>
              <w:spacing w:line="240" w:lineRule="auto"/>
              <w:ind w:firstLine="0" w:firstLineChars="0"/>
              <w:jc w:val="center"/>
              <w:rPr>
                <w:rFonts w:ascii="宋体" w:hAnsi="宋体"/>
                <w:kern w:val="0"/>
                <w:sz w:val="20"/>
                <w:szCs w:val="28"/>
              </w:rPr>
            </w:pPr>
          </w:p>
        </w:tc>
        <w:tc>
          <w:tcPr>
            <w:tcW w:w="1668" w:type="dxa"/>
            <w:vAlign w:val="center"/>
          </w:tcPr>
          <w:p>
            <w:pPr>
              <w:spacing w:line="240" w:lineRule="auto"/>
              <w:ind w:firstLine="0" w:firstLineChars="0"/>
              <w:jc w:val="center"/>
              <w:rPr>
                <w:rFonts w:ascii="宋体" w:hAnsi="宋体"/>
                <w:kern w:val="0"/>
                <w:sz w:val="20"/>
                <w:szCs w:val="28"/>
              </w:rPr>
            </w:pPr>
          </w:p>
        </w:tc>
        <w:tc>
          <w:tcPr>
            <w:tcW w:w="1082" w:type="dxa"/>
            <w:vAlign w:val="center"/>
          </w:tcPr>
          <w:p>
            <w:pPr>
              <w:spacing w:line="240" w:lineRule="auto"/>
              <w:ind w:firstLine="0" w:firstLineChars="0"/>
              <w:jc w:val="center"/>
              <w:rPr>
                <w:rFonts w:ascii="宋体" w:hAnsi="宋体"/>
                <w:kern w:val="0"/>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25" w:type="dxa"/>
            <w:vMerge w:val="continue"/>
          </w:tcPr>
          <w:p>
            <w:pPr>
              <w:spacing w:line="240" w:lineRule="auto"/>
              <w:ind w:firstLine="0" w:firstLineChars="0"/>
              <w:jc w:val="center"/>
              <w:rPr>
                <w:rFonts w:ascii="宋体" w:hAnsi="宋体"/>
                <w:kern w:val="0"/>
                <w:sz w:val="20"/>
                <w:szCs w:val="28"/>
              </w:rPr>
            </w:pPr>
          </w:p>
        </w:tc>
        <w:tc>
          <w:tcPr>
            <w:tcW w:w="223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痕迹管理</w:t>
            </w:r>
          </w:p>
        </w:tc>
        <w:tc>
          <w:tcPr>
            <w:tcW w:w="840"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1</w:t>
            </w:r>
          </w:p>
        </w:tc>
        <w:tc>
          <w:tcPr>
            <w:tcW w:w="975" w:type="dxa"/>
            <w:vAlign w:val="center"/>
          </w:tcPr>
          <w:p>
            <w:pPr>
              <w:spacing w:line="240" w:lineRule="auto"/>
              <w:ind w:firstLine="0" w:firstLineChars="0"/>
              <w:jc w:val="center"/>
              <w:rPr>
                <w:rFonts w:ascii="宋体" w:hAnsi="宋体"/>
                <w:kern w:val="0"/>
                <w:sz w:val="20"/>
                <w:szCs w:val="28"/>
              </w:rPr>
            </w:pPr>
            <w:r>
              <w:rPr>
                <w:rFonts w:hint="eastAsia" w:ascii="宋体" w:hAnsi="宋体"/>
                <w:kern w:val="0"/>
                <w:sz w:val="20"/>
                <w:szCs w:val="28"/>
              </w:rPr>
              <w:t>项</w:t>
            </w:r>
          </w:p>
        </w:tc>
        <w:tc>
          <w:tcPr>
            <w:tcW w:w="1542" w:type="dxa"/>
            <w:vAlign w:val="center"/>
          </w:tcPr>
          <w:p>
            <w:pPr>
              <w:spacing w:line="240" w:lineRule="auto"/>
              <w:ind w:firstLine="0" w:firstLineChars="0"/>
              <w:jc w:val="center"/>
              <w:rPr>
                <w:rFonts w:ascii="宋体" w:hAnsi="宋体"/>
                <w:kern w:val="0"/>
                <w:sz w:val="20"/>
                <w:szCs w:val="28"/>
              </w:rPr>
            </w:pPr>
          </w:p>
        </w:tc>
        <w:tc>
          <w:tcPr>
            <w:tcW w:w="1668" w:type="dxa"/>
            <w:vAlign w:val="center"/>
          </w:tcPr>
          <w:p>
            <w:pPr>
              <w:spacing w:line="240" w:lineRule="auto"/>
              <w:ind w:firstLine="0" w:firstLineChars="0"/>
              <w:jc w:val="center"/>
              <w:rPr>
                <w:rFonts w:ascii="宋体" w:hAnsi="宋体"/>
                <w:kern w:val="0"/>
                <w:sz w:val="20"/>
                <w:szCs w:val="28"/>
              </w:rPr>
            </w:pPr>
          </w:p>
        </w:tc>
        <w:tc>
          <w:tcPr>
            <w:tcW w:w="1082" w:type="dxa"/>
            <w:vAlign w:val="center"/>
          </w:tcPr>
          <w:p>
            <w:pPr>
              <w:spacing w:line="240" w:lineRule="auto"/>
              <w:ind w:firstLine="0" w:firstLineChars="0"/>
              <w:jc w:val="center"/>
              <w:rPr>
                <w:rFonts w:ascii="宋体" w:hAnsi="宋体"/>
                <w:kern w:val="0"/>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0" w:type="dxa"/>
            <w:gridSpan w:val="3"/>
          </w:tcPr>
          <w:p>
            <w:pPr>
              <w:ind w:firstLine="0" w:firstLineChars="0"/>
              <w:jc w:val="center"/>
              <w:rPr>
                <w:rFonts w:hint="eastAsia" w:ascii="宋体" w:hAnsi="宋体" w:eastAsiaTheme="minorEastAsia"/>
                <w:kern w:val="0"/>
                <w:sz w:val="20"/>
                <w:szCs w:val="28"/>
                <w:lang w:eastAsia="zh-CN"/>
              </w:rPr>
            </w:pPr>
            <w:r>
              <w:rPr>
                <w:rFonts w:hint="eastAsia" w:ascii="宋体" w:hAnsi="宋体"/>
                <w:kern w:val="0"/>
                <w:sz w:val="20"/>
                <w:szCs w:val="28"/>
                <w:lang w:val="en-US" w:eastAsia="zh-CN"/>
              </w:rPr>
              <w:t>总计</w:t>
            </w:r>
          </w:p>
        </w:tc>
        <w:tc>
          <w:tcPr>
            <w:tcW w:w="5267" w:type="dxa"/>
            <w:gridSpan w:val="4"/>
            <w:vAlign w:val="center"/>
          </w:tcPr>
          <w:p>
            <w:pPr>
              <w:ind w:firstLine="0" w:firstLineChars="0"/>
              <w:jc w:val="center"/>
              <w:rPr>
                <w:rFonts w:ascii="宋体" w:hAnsi="宋体"/>
                <w:kern w:val="0"/>
                <w:sz w:val="20"/>
                <w:szCs w:val="28"/>
              </w:rPr>
            </w:pPr>
            <w:r>
              <w:rPr>
                <w:rFonts w:ascii="Times New Roman" w:hAnsi="Times New Roman" w:cs="Times New Roman"/>
                <w:sz w:val="24"/>
              </w:rPr>
              <w:t>大写</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lang w:eastAsia="zh-CN"/>
              </w:rPr>
              <w:t>：</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w:t>
            </w:r>
          </w:p>
        </w:tc>
      </w:tr>
    </w:tbl>
    <w:p>
      <w:pPr>
        <w:jc w:val="left"/>
        <w:rPr>
          <w:rFonts w:hint="eastAsia"/>
          <w:b/>
          <w:bCs/>
        </w:rPr>
      </w:pPr>
      <w:r>
        <w:rPr>
          <w:rFonts w:hint="eastAsia"/>
          <w:b/>
          <w:bCs/>
        </w:rPr>
        <w:t>备注：</w:t>
      </w:r>
    </w:p>
    <w:p>
      <w:pPr>
        <w:jc w:val="left"/>
        <w:rPr>
          <w:b/>
          <w:bCs/>
        </w:rPr>
      </w:pPr>
      <w:r>
        <w:rPr>
          <w:rFonts w:hint="eastAsia"/>
          <w:b/>
          <w:bCs/>
        </w:rPr>
        <w:t>1、报价中应包含两年免费的云服务器使用费；</w:t>
      </w:r>
    </w:p>
    <w:p>
      <w:pPr>
        <w:topLinePunct/>
        <w:spacing w:line="440" w:lineRule="exact"/>
        <w:jc w:val="left"/>
        <w:outlineLvl w:val="0"/>
        <w:rPr>
          <w:rFonts w:hint="eastAsia"/>
          <w:b/>
          <w:bCs/>
          <w:lang w:eastAsia="zh-CN"/>
        </w:rPr>
      </w:pPr>
      <w:r>
        <w:rPr>
          <w:b/>
          <w:bCs/>
        </w:rPr>
        <w:t>2</w:t>
      </w:r>
      <w:r>
        <w:rPr>
          <w:rFonts w:hint="eastAsia"/>
          <w:b/>
          <w:bCs/>
        </w:rPr>
        <w:t>、报价为完成采购人指定任务所投入的人员、设备、车辆及安全投入等综合费用，包含人员工资、福利、伙食费、住宿费、水电气费、办公费、车辆使用费、燃油费、维修保养费、保险费、过路过桥费，同时也包含了为实施和完成合同工作内容所需的劳务、管理、维修、保险、利润、安全费、税费、加班费等全部费用</w:t>
      </w:r>
      <w:r>
        <w:rPr>
          <w:rFonts w:hint="eastAsia"/>
          <w:b/>
          <w:bCs/>
          <w:lang w:eastAsia="zh-CN"/>
        </w:rPr>
        <w:t>；</w:t>
      </w:r>
    </w:p>
    <w:p>
      <w:pPr>
        <w:topLinePunct/>
        <w:spacing w:line="440" w:lineRule="exact"/>
        <w:jc w:val="left"/>
        <w:outlineLvl w:val="0"/>
        <w:rPr>
          <w:rFonts w:hint="default"/>
          <w:b/>
          <w:bCs/>
          <w:lang w:val="en-US" w:eastAsia="zh-CN"/>
        </w:rPr>
      </w:pPr>
      <w:r>
        <w:rPr>
          <w:rFonts w:hint="eastAsia"/>
          <w:b/>
          <w:bCs/>
          <w:lang w:val="en-US" w:eastAsia="zh-CN"/>
        </w:rPr>
        <w:t>3、总计为各合计之和，且与报价函中报价一致。</w:t>
      </w:r>
    </w:p>
    <w:p>
      <w:pPr>
        <w:topLinePunct/>
        <w:spacing w:line="440" w:lineRule="exact"/>
        <w:jc w:val="both"/>
        <w:outlineLvl w:val="9"/>
        <w:rPr>
          <w:rFonts w:hint="eastAsia" w:ascii="Times New Roman" w:hAnsi="Times New Roman" w:eastAsia="黑体" w:cs="Times New Roman"/>
          <w:sz w:val="28"/>
          <w:szCs w:val="28"/>
        </w:rPr>
      </w:pPr>
    </w:p>
    <w:p>
      <w:pPr>
        <w:topLinePunct/>
        <w:spacing w:line="440" w:lineRule="exact"/>
        <w:jc w:val="center"/>
        <w:outlineLvl w:val="0"/>
        <w:rPr>
          <w:rFonts w:ascii="Times New Roman" w:hAnsi="Times New Roman" w:eastAsia="黑体" w:cs="Times New Roman"/>
          <w:sz w:val="28"/>
          <w:szCs w:val="28"/>
        </w:rPr>
      </w:pPr>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205" w:name="_Toc2807_WPSOffice_Level2"/>
      <w:bookmarkStart w:id="206" w:name="_Toc27600_WPSOffice_Level2"/>
      <w:r>
        <w:rPr>
          <w:rFonts w:ascii="Times New Roman" w:hAnsi="Times New Roman" w:eastAsia="黑体" w:cs="Times New Roman"/>
          <w:sz w:val="28"/>
          <w:szCs w:val="28"/>
        </w:rPr>
        <w:t>供应商基本情况</w:t>
      </w:r>
      <w:bookmarkEnd w:id="200"/>
      <w:bookmarkEnd w:id="201"/>
      <w:bookmarkEnd w:id="202"/>
      <w:bookmarkEnd w:id="203"/>
      <w:bookmarkEnd w:id="204"/>
      <w:bookmarkEnd w:id="205"/>
      <w:bookmarkEnd w:id="206"/>
    </w:p>
    <w:p>
      <w:pPr>
        <w:topLinePunct/>
        <w:spacing w:line="440" w:lineRule="exact"/>
        <w:jc w:val="center"/>
        <w:rPr>
          <w:rFonts w:ascii="Times New Roman" w:hAnsi="Times New Roman" w:cs="Times New Roman"/>
          <w:sz w:val="23"/>
          <w:szCs w:val="23"/>
        </w:rPr>
      </w:pPr>
    </w:p>
    <w:tbl>
      <w:tblPr>
        <w:tblStyle w:val="21"/>
        <w:tblW w:w="850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3"/>
        <w:gridCol w:w="1074"/>
        <w:gridCol w:w="2143"/>
        <w:gridCol w:w="1071"/>
        <w:gridCol w:w="23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numPr>
          <w:ilvl w:val="0"/>
          <w:numId w:val="5"/>
        </w:numPr>
        <w:autoSpaceDE w:val="0"/>
        <w:autoSpaceDN w:val="0"/>
        <w:spacing w:line="360" w:lineRule="atLeast"/>
        <w:ind w:left="420" w:leftChars="200"/>
        <w:textAlignment w:val="bottom"/>
        <w:rPr>
          <w:rFonts w:hint="eastAsia" w:ascii="Times New Roman" w:hAnsi="Times New Roman" w:eastAsia="黑体" w:cs="Times New Roman"/>
          <w:szCs w:val="21"/>
          <w:lang w:val="en-US" w:eastAsia="zh-CN"/>
        </w:rPr>
      </w:pPr>
      <w:r>
        <w:rPr>
          <w:rFonts w:ascii="Times New Roman" w:hAnsi="Times New Roman" w:eastAsia="黑体" w:cs="Times New Roman"/>
          <w:szCs w:val="21"/>
        </w:rPr>
        <w:t>在本表后应附企业法人营业执照复印件</w:t>
      </w:r>
      <w:r>
        <w:rPr>
          <w:rFonts w:hint="eastAsia" w:ascii="Times New Roman" w:hAnsi="Times New Roman" w:eastAsia="黑体" w:cs="Times New Roman"/>
          <w:szCs w:val="21"/>
          <w:lang w:val="en-US" w:eastAsia="zh-CN"/>
        </w:rPr>
        <w:t>或扫描件；</w:t>
      </w:r>
    </w:p>
    <w:p>
      <w:pPr>
        <w:widowControl/>
        <w:numPr>
          <w:ilvl w:val="0"/>
          <w:numId w:val="5"/>
        </w:numPr>
        <w:autoSpaceDE w:val="0"/>
        <w:autoSpaceDN w:val="0"/>
        <w:spacing w:line="360" w:lineRule="atLeast"/>
        <w:ind w:left="420" w:leftChars="200"/>
        <w:textAlignment w:val="bottom"/>
        <w:rPr>
          <w:rFonts w:ascii="Times New Roman" w:hAnsi="Times New Roman" w:eastAsia="黑体" w:cs="Times New Roman"/>
          <w:szCs w:val="21"/>
          <w:lang w:val="en-US" w:eastAsia="zh-CN"/>
        </w:rPr>
      </w:pPr>
      <w:r>
        <w:rPr>
          <w:rFonts w:hint="eastAsia" w:ascii="Times New Roman" w:hAnsi="Times New Roman" w:eastAsia="黑体" w:cs="Times New Roman"/>
          <w:szCs w:val="21"/>
          <w:lang w:val="en-US" w:eastAsia="zh-CN"/>
        </w:rPr>
        <w:t>双软企业资格证明</w:t>
      </w:r>
      <w:r>
        <w:rPr>
          <w:rFonts w:ascii="Times New Roman" w:hAnsi="Times New Roman" w:eastAsia="黑体" w:cs="Times New Roman"/>
          <w:szCs w:val="21"/>
        </w:rPr>
        <w:t>复印件</w:t>
      </w:r>
      <w:r>
        <w:rPr>
          <w:rFonts w:hint="eastAsia" w:ascii="Times New Roman" w:hAnsi="Times New Roman" w:eastAsia="黑体" w:cs="Times New Roman"/>
          <w:szCs w:val="21"/>
          <w:lang w:val="en-US" w:eastAsia="zh-CN"/>
        </w:rPr>
        <w:t>或扫描件；</w:t>
      </w:r>
    </w:p>
    <w:p>
      <w:pPr>
        <w:widowControl/>
        <w:numPr>
          <w:ilvl w:val="0"/>
          <w:numId w:val="5"/>
        </w:numPr>
        <w:autoSpaceDE w:val="0"/>
        <w:autoSpaceDN w:val="0"/>
        <w:spacing w:line="360" w:lineRule="atLeast"/>
        <w:ind w:left="420" w:leftChars="200"/>
        <w:textAlignment w:val="bottom"/>
        <w:rPr>
          <w:rFonts w:hint="default"/>
          <w:lang w:val="en-US" w:eastAsia="zh-CN"/>
        </w:rPr>
      </w:pPr>
      <w:r>
        <w:rPr>
          <w:rFonts w:hint="eastAsia" w:ascii="Times New Roman" w:hAnsi="Times New Roman" w:eastAsia="黑体" w:cs="Times New Roman"/>
          <w:szCs w:val="21"/>
          <w:lang w:val="en-US" w:eastAsia="zh-CN"/>
        </w:rPr>
        <w:t>软件服务商交付能力证书三级及以上资质；</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 w:val="28"/>
          <w:szCs w:val="28"/>
        </w:rPr>
      </w:pPr>
      <w:bookmarkStart w:id="207" w:name="_Toc9267_WPSOffice_Level1"/>
      <w:bookmarkStart w:id="208" w:name="_Toc12019_WPSOffice_Level1"/>
      <w:bookmarkStart w:id="209" w:name="_Toc3893_WPSOffice_Level1"/>
      <w:bookmarkStart w:id="210" w:name="_Toc32222_WPSOffice_Level1"/>
      <w:bookmarkStart w:id="211" w:name="_Toc5403_WPSOffice_Level1"/>
    </w:p>
    <w:p>
      <w:pPr>
        <w:pStyle w:val="2"/>
        <w:rPr>
          <w:rFonts w:ascii="Times New Roman" w:hAnsi="Times New Roman" w:eastAsia="黑体" w:cs="Times New Roman"/>
          <w:sz w:val="28"/>
          <w:szCs w:val="28"/>
        </w:rPr>
      </w:pPr>
    </w:p>
    <w:p/>
    <w:p>
      <w:pPr>
        <w:tabs>
          <w:tab w:val="left" w:pos="3060"/>
        </w:tabs>
        <w:topLinePunct/>
        <w:spacing w:line="440" w:lineRule="exact"/>
        <w:jc w:val="center"/>
        <w:rPr>
          <w:rFonts w:ascii="Times New Roman" w:hAnsi="Times New Roman" w:eastAsia="黑体" w:cs="Times New Roman"/>
          <w:sz w:val="28"/>
          <w:szCs w:val="28"/>
        </w:rPr>
      </w:pPr>
    </w:p>
    <w:p>
      <w:pPr>
        <w:tabs>
          <w:tab w:val="left" w:pos="3060"/>
        </w:tabs>
        <w:topLinePunct/>
        <w:spacing w:line="440" w:lineRule="exact"/>
        <w:jc w:val="center"/>
        <w:rPr>
          <w:rFonts w:ascii="Times New Roman" w:hAnsi="Times New Roman" w:eastAsia="黑体" w:cs="Times New Roman"/>
          <w:sz w:val="28"/>
          <w:szCs w:val="28"/>
        </w:rPr>
      </w:pPr>
    </w:p>
    <w:p>
      <w:pPr>
        <w:tabs>
          <w:tab w:val="left" w:pos="3060"/>
        </w:tabs>
        <w:topLinePunct/>
        <w:spacing w:line="440" w:lineRule="exact"/>
        <w:jc w:val="center"/>
        <w:rPr>
          <w:rFonts w:ascii="Times New Roman" w:hAnsi="Times New Roman" w:eastAsia="黑体" w:cs="Times New Roman"/>
          <w:sz w:val="28"/>
          <w:szCs w:val="28"/>
        </w:rPr>
      </w:pPr>
    </w:p>
    <w:p>
      <w:pPr>
        <w:tabs>
          <w:tab w:val="left" w:pos="3060"/>
        </w:tabs>
        <w:topLinePunct/>
        <w:spacing w:line="440" w:lineRule="exact"/>
        <w:jc w:val="center"/>
        <w:rPr>
          <w:rFonts w:ascii="Times New Roman" w:hAnsi="Times New Roman" w:eastAsia="黑体" w:cs="Times New Roman"/>
          <w:sz w:val="28"/>
          <w:szCs w:val="28"/>
        </w:rPr>
      </w:pPr>
    </w:p>
    <w:p>
      <w:pPr>
        <w:tabs>
          <w:tab w:val="left" w:pos="3060"/>
        </w:tabs>
        <w:topLinePunct/>
        <w:spacing w:line="440" w:lineRule="exact"/>
        <w:jc w:val="center"/>
        <w:rPr>
          <w:rFonts w:ascii="Times New Roman" w:hAnsi="Times New Roman" w:eastAsia="黑体" w:cs="Times New Roman"/>
          <w:sz w:val="28"/>
          <w:szCs w:val="28"/>
        </w:rPr>
      </w:pPr>
    </w:p>
    <w:p>
      <w:pPr>
        <w:tabs>
          <w:tab w:val="left" w:pos="3060"/>
        </w:tabs>
        <w:topLinePunct/>
        <w:spacing w:line="440" w:lineRule="exact"/>
        <w:jc w:val="center"/>
        <w:rPr>
          <w:rFonts w:ascii="Times New Roman" w:hAnsi="Times New Roman" w:eastAsia="黑体" w:cs="Times New Roman"/>
          <w:sz w:val="28"/>
          <w:szCs w:val="28"/>
        </w:rPr>
      </w:pPr>
    </w:p>
    <w:p>
      <w:pPr>
        <w:tabs>
          <w:tab w:val="left" w:pos="3060"/>
        </w:tabs>
        <w:topLinePunct/>
        <w:spacing w:line="440" w:lineRule="exact"/>
        <w:jc w:val="center"/>
        <w:rPr>
          <w:rFonts w:ascii="Times New Roman" w:hAnsi="Times New Roman" w:eastAsia="黑体" w:cs="Times New Roman"/>
          <w:sz w:val="28"/>
          <w:szCs w:val="28"/>
        </w:rPr>
      </w:pPr>
    </w:p>
    <w:p>
      <w:pPr>
        <w:tabs>
          <w:tab w:val="left" w:pos="3060"/>
        </w:tabs>
        <w:topLinePunct/>
        <w:spacing w:line="440" w:lineRule="exact"/>
        <w:jc w:val="center"/>
        <w:rPr>
          <w:rFonts w:ascii="Times New Roman" w:hAnsi="Times New Roman" w:eastAsia="黑体" w:cs="Times New Roman"/>
          <w:sz w:val="28"/>
          <w:szCs w:val="28"/>
        </w:rPr>
      </w:pPr>
    </w:p>
    <w:p>
      <w:pPr>
        <w:pStyle w:val="10"/>
        <w:spacing w:line="240" w:lineRule="atLeast"/>
        <w:ind w:left="560" w:leftChars="0" w:right="-512" w:rightChars="-244" w:hanging="560" w:hangingChars="200"/>
        <w:jc w:val="center"/>
        <w:outlineLvl w:val="0"/>
        <w:rPr>
          <w:rFonts w:ascii="Times New Roman" w:hAnsi="Times New Roman" w:cs="Times New Roman"/>
          <w:sz w:val="28"/>
          <w:szCs w:val="28"/>
        </w:rPr>
      </w:pPr>
      <w:r>
        <w:rPr>
          <w:rFonts w:hint="eastAsia" w:ascii="Times New Roman" w:hAnsi="Times New Roman" w:eastAsia="黑体" w:cs="Times New Roman"/>
          <w:sz w:val="28"/>
          <w:szCs w:val="28"/>
          <w:lang w:val="en-US" w:eastAsia="zh-CN"/>
        </w:rPr>
        <w:t>五</w:t>
      </w:r>
      <w:r>
        <w:rPr>
          <w:rFonts w:ascii="Times New Roman" w:hAnsi="Times New Roman" w:eastAsia="黑体" w:cs="Times New Roman"/>
          <w:sz w:val="28"/>
          <w:szCs w:val="28"/>
        </w:rPr>
        <w:t>、近</w:t>
      </w:r>
      <w:r>
        <w:rPr>
          <w:rFonts w:hint="eastAsia" w:ascii="Times New Roman" w:hAnsi="Times New Roman" w:eastAsia="黑体" w:cs="Times New Roman"/>
          <w:sz w:val="28"/>
          <w:szCs w:val="28"/>
          <w:lang w:val="en-US" w:eastAsia="zh-CN"/>
        </w:rPr>
        <w:t>三</w:t>
      </w:r>
      <w:r>
        <w:rPr>
          <w:rFonts w:ascii="Times New Roman" w:hAnsi="Times New Roman" w:eastAsia="黑体" w:cs="Times New Roman"/>
          <w:sz w:val="28"/>
          <w:szCs w:val="28"/>
        </w:rPr>
        <w:t>年业绩情况</w:t>
      </w:r>
    </w:p>
    <w:tbl>
      <w:tblPr>
        <w:tblStyle w:val="21"/>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6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项目所在地</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开工日期</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noWrap/>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完成</w:t>
            </w:r>
            <w:r>
              <w:rPr>
                <w:rFonts w:ascii="Times New Roman" w:hAnsi="Times New Roman" w:cs="Times New Roman"/>
                <w:szCs w:val="21"/>
              </w:rPr>
              <w:t>日期</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承担的工作</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w:t>
            </w:r>
            <w:r>
              <w:rPr>
                <w:rFonts w:hint="eastAsia" w:ascii="Times New Roman" w:hAnsi="Times New Roman" w:cs="Times New Roman"/>
                <w:szCs w:val="21"/>
              </w:rPr>
              <w:t>负责人</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noWrap/>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outlineLvl w:val="0"/>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2、业绩证明材料要求：</w:t>
      </w:r>
      <w:r>
        <w:rPr>
          <w:rFonts w:hint="eastAsia" w:ascii="Times New Roman" w:hAnsi="Times New Roman" w:cs="Times New Roman"/>
          <w:b/>
          <w:bCs/>
          <w:szCs w:val="22"/>
          <w:u w:val="single"/>
          <w:lang w:val="en-US" w:eastAsia="zh-CN"/>
        </w:rPr>
        <w:t>近3年（指2018年1月1日至响应文件递交截止日期，以合同签订时间为准）至少独立完成过一个公路工程项目信息化或信息化管理平台服务或信息化管理系统项目业绩，且业绩单项合同金额不低于50万元（包含本数）</w:t>
      </w:r>
      <w:r>
        <w:rPr>
          <w:rFonts w:hint="eastAsia" w:ascii="Times New Roman" w:hAnsi="Times New Roman" w:eastAsia="黑体" w:cs="Times New Roman"/>
          <w:szCs w:val="21"/>
          <w:u w:val="single"/>
          <w:lang w:val="en-US" w:eastAsia="zh-CN"/>
        </w:rPr>
        <w:t>。</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3、如近年来，供应商法人机构发生合法变更或重组或法人名称变更时，应提供相关部门的合法批件或其他相关证明材料来证明其所附业绩的继承性。</w:t>
      </w:r>
      <w:r>
        <w:rPr>
          <w:rFonts w:hint="eastAsia" w:ascii="Times New Roman" w:hAnsi="Times New Roman" w:eastAsia="黑体" w:cs="Times New Roman"/>
          <w:szCs w:val="21"/>
        </w:rPr>
        <w:t xml:space="preserve"> </w:t>
      </w:r>
    </w:p>
    <w:p>
      <w:pPr>
        <w:tabs>
          <w:tab w:val="left" w:pos="3060"/>
        </w:tabs>
        <w:topLinePunct/>
        <w:spacing w:line="440" w:lineRule="exact"/>
        <w:rPr>
          <w:rFonts w:ascii="Times New Roman" w:hAnsi="Times New Roman" w:eastAsia="黑体" w:cs="Times New Roman"/>
          <w:sz w:val="28"/>
          <w:szCs w:val="28"/>
        </w:rPr>
      </w:pPr>
    </w:p>
    <w:p>
      <w:pPr>
        <w:tabs>
          <w:tab w:val="left" w:pos="3060"/>
        </w:tabs>
        <w:topLinePunct/>
        <w:spacing w:line="440" w:lineRule="exact"/>
        <w:rPr>
          <w:rFonts w:ascii="Times New Roman" w:hAnsi="Times New Roman" w:eastAsia="黑体" w:cs="Times New Roman"/>
          <w:sz w:val="28"/>
          <w:szCs w:val="28"/>
        </w:rPr>
      </w:pPr>
      <w:bookmarkStart w:id="217" w:name="_GoBack"/>
      <w:bookmarkEnd w:id="217"/>
    </w:p>
    <w:p>
      <w:pPr>
        <w:tabs>
          <w:tab w:val="left" w:pos="3060"/>
        </w:tabs>
        <w:topLinePunct/>
        <w:spacing w:line="440" w:lineRule="exact"/>
        <w:rPr>
          <w:rFonts w:ascii="Times New Roman" w:hAnsi="Times New Roman" w:eastAsia="黑体" w:cs="Times New Roman"/>
          <w:sz w:val="28"/>
          <w:szCs w:val="28"/>
        </w:rPr>
      </w:pPr>
    </w:p>
    <w:p>
      <w:pPr>
        <w:tabs>
          <w:tab w:val="left" w:pos="3060"/>
        </w:tabs>
        <w:topLinePunct/>
        <w:spacing w:line="440" w:lineRule="exact"/>
        <w:rPr>
          <w:rFonts w:ascii="Times New Roman" w:hAnsi="Times New Roman" w:eastAsia="黑体" w:cs="Times New Roman"/>
          <w:sz w:val="28"/>
          <w:szCs w:val="28"/>
        </w:rPr>
      </w:pPr>
    </w:p>
    <w:p>
      <w:pPr>
        <w:pStyle w:val="2"/>
      </w:pPr>
    </w:p>
    <w:p>
      <w:pPr>
        <w:pStyle w:val="20"/>
        <w:outlineLvl w:val="9"/>
        <w:rPr>
          <w:rFonts w:hint="eastAsia"/>
        </w:rPr>
      </w:pPr>
    </w:p>
    <w:p>
      <w:pPr>
        <w:tabs>
          <w:tab w:val="left" w:pos="3060"/>
        </w:tabs>
        <w:topLinePunct/>
        <w:spacing w:line="440" w:lineRule="exact"/>
        <w:jc w:val="center"/>
        <w:outlineLvl w:val="0"/>
        <w:rPr>
          <w:rFonts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六</w:t>
      </w:r>
      <w:r>
        <w:rPr>
          <w:rFonts w:hint="eastAsia" w:ascii="Times New Roman" w:hAnsi="Times New Roman" w:eastAsia="黑体" w:cs="Times New Roman"/>
          <w:sz w:val="28"/>
          <w:szCs w:val="28"/>
        </w:rPr>
        <w:t>、信誉情况</w:t>
      </w:r>
      <w:bookmarkEnd w:id="207"/>
      <w:bookmarkEnd w:id="208"/>
      <w:bookmarkEnd w:id="209"/>
      <w:bookmarkEnd w:id="210"/>
      <w:bookmarkEnd w:id="211"/>
    </w:p>
    <w:p>
      <w:pPr>
        <w:topLinePunct/>
        <w:spacing w:line="440" w:lineRule="exact"/>
        <w:rPr>
          <w:rFonts w:ascii="Times New Roman" w:hAnsi="Times New Roman" w:cs="Times New Roman"/>
          <w:bCs/>
          <w:sz w:val="23"/>
          <w:szCs w:val="23"/>
        </w:rPr>
      </w:pPr>
    </w:p>
    <w:tbl>
      <w:tblPr>
        <w:tblStyle w:val="21"/>
        <w:tblW w:w="9510" w:type="dxa"/>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 目</w:t>
            </w:r>
          </w:p>
        </w:tc>
        <w:tc>
          <w:tcPr>
            <w:tcW w:w="477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735" w:type="dxa"/>
            <w:vAlign w:val="center"/>
          </w:tcPr>
          <w:p>
            <w:pPr>
              <w:topLinePunct/>
              <w:spacing w:line="440" w:lineRule="exact"/>
              <w:jc w:val="center"/>
              <w:rPr>
                <w:rFonts w:ascii="Times New Roman" w:hAnsi="Times New Roman" w:cs="Times New Roman"/>
                <w:bCs/>
                <w:szCs w:val="21"/>
              </w:rPr>
            </w:pPr>
            <w:r>
              <w:rPr>
                <w:rFonts w:ascii="Times New Roman" w:hAnsi="Times New Roman" w:cs="Times New Roman"/>
                <w:sz w:val="24"/>
              </w:rPr>
              <w:t>被人民法院列入失信被执行人的竞标人不得参加竞标。（以“信用中国”官网http://www.creditchina.gov.cn查询为准。</w:t>
            </w:r>
          </w:p>
        </w:tc>
        <w:tc>
          <w:tcPr>
            <w:tcW w:w="4775" w:type="dxa"/>
            <w:vAlign w:val="center"/>
          </w:tcPr>
          <w:p>
            <w:pPr>
              <w:topLinePunct/>
              <w:spacing w:line="440" w:lineRule="exact"/>
              <w:jc w:val="center"/>
              <w:rPr>
                <w:rFonts w:ascii="Times New Roman" w:hAnsi="Times New Roman" w:eastAsia="仿宋_GB2312" w:cs="Times New Roman"/>
                <w:bCs/>
                <w:szCs w:val="21"/>
              </w:rPr>
            </w:pPr>
            <w:r>
              <w:rPr>
                <w:rFonts w:ascii="Times New Roman" w:hAnsi="Times New Roman" w:cs="Times New Roman"/>
                <w:sz w:val="24"/>
                <w:szCs w:val="28"/>
              </w:rPr>
              <w:t>是</w:t>
            </w:r>
            <w:r>
              <w:rPr>
                <w:rFonts w:hint="eastAsia" w:ascii="仿宋_GB2312" w:hAnsi="仿宋_GB2312" w:eastAsia="仿宋_GB2312" w:cs="仿宋_GB2312"/>
                <w:b/>
                <w:bCs/>
                <w:sz w:val="32"/>
                <w:szCs w:val="32"/>
              </w:rPr>
              <w:t xml:space="preserve">□     </w:t>
            </w:r>
            <w:r>
              <w:rPr>
                <w:rFonts w:ascii="Times New Roman" w:hAnsi="Times New Roman" w:cs="Times New Roman"/>
                <w:sz w:val="24"/>
                <w:szCs w:val="28"/>
              </w:rPr>
              <w:t>否</w:t>
            </w:r>
            <w:r>
              <w:rPr>
                <w:rFonts w:hint="eastAsia" w:ascii="仿宋_GB2312" w:hAnsi="仿宋_GB2312" w:eastAsia="仿宋_GB2312" w:cs="仿宋_GB2312"/>
                <w:b/>
                <w:bCs/>
                <w:sz w:val="32"/>
                <w:szCs w:val="32"/>
              </w:rPr>
              <w:t>□</w:t>
            </w:r>
          </w:p>
        </w:tc>
      </w:tr>
    </w:tbl>
    <w:p>
      <w:pPr>
        <w:spacing w:line="440" w:lineRule="exact"/>
        <w:jc w:val="left"/>
        <w:rPr>
          <w:rFonts w:ascii="Times New Roman" w:hAnsi="Times New Roman" w:cs="Times New Roman"/>
          <w:sz w:val="24"/>
        </w:rPr>
      </w:pPr>
      <w:r>
        <w:rPr>
          <w:rFonts w:ascii="Times New Roman" w:hAnsi="Times New Roman" w:cs="Times New Roman"/>
          <w:sz w:val="24"/>
        </w:rPr>
        <w:t>注：本表</w:t>
      </w:r>
      <w:r>
        <w:rPr>
          <w:rFonts w:hint="eastAsia" w:ascii="Times New Roman" w:hAnsi="Times New Roman" w:cs="Times New Roman"/>
          <w:sz w:val="24"/>
        </w:rPr>
        <w:t>后</w:t>
      </w:r>
      <w:r>
        <w:rPr>
          <w:rFonts w:ascii="Times New Roman" w:hAnsi="Times New Roman" w:cs="Times New Roman"/>
          <w:sz w:val="24"/>
        </w:rPr>
        <w:t>需附</w:t>
      </w:r>
      <w:r>
        <w:rPr>
          <w:rFonts w:ascii="Times New Roman" w:hAnsi="Times New Roman" w:cs="Times New Roman"/>
          <w:sz w:val="24"/>
          <w:szCs w:val="28"/>
        </w:rPr>
        <w:t>信用中国”网站（http://www.creditchina.gov.cn）</w:t>
      </w:r>
      <w:r>
        <w:rPr>
          <w:rFonts w:hint="eastAsia" w:ascii="Times New Roman" w:hAnsi="Times New Roman" w:cs="Times New Roman"/>
          <w:sz w:val="24"/>
        </w:rPr>
        <w:t>查询截图。</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pStyle w:val="2"/>
        <w:jc w:val="right"/>
        <w:rPr>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2"/>
      </w:pPr>
    </w:p>
    <w:p>
      <w:pPr>
        <w:pStyle w:val="2"/>
        <w:spacing w:line="440" w:lineRule="exact"/>
        <w:rPr>
          <w:rFonts w:ascii="Times New Roman" w:hAnsi="Times New Roman" w:cs="Times New Roman"/>
          <w:sz w:val="24"/>
        </w:rPr>
      </w:pPr>
    </w:p>
    <w:p>
      <w:pPr>
        <w:spacing w:line="400" w:lineRule="atLeast"/>
        <w:jc w:val="center"/>
        <w:rPr>
          <w:rFonts w:ascii="Times New Roman" w:hAnsi="Times New Roman" w:cs="Times New Roman"/>
          <w:sz w:val="24"/>
        </w:rPr>
      </w:pPr>
      <w:r>
        <w:rPr>
          <w:rFonts w:ascii="Times New Roman" w:hAnsi="Times New Roman" w:eastAsia="黑体" w:cs="Times New Roman"/>
          <w:sz w:val="27"/>
          <w:szCs w:val="27"/>
        </w:rPr>
        <w:br w:type="page"/>
      </w:r>
    </w:p>
    <w:p>
      <w:pPr>
        <w:spacing w:line="440" w:lineRule="exact"/>
        <w:jc w:val="center"/>
        <w:outlineLvl w:val="0"/>
        <w:rPr>
          <w:rFonts w:ascii="Times New Roman" w:hAnsi="Times New Roman" w:eastAsia="黑体" w:cs="Times New Roman"/>
          <w:sz w:val="28"/>
          <w:szCs w:val="28"/>
        </w:rPr>
      </w:pPr>
      <w:bookmarkStart w:id="212" w:name="_Toc22303_WPSOffice_Level1"/>
      <w:bookmarkStart w:id="213" w:name="_Toc13165_WPSOffice_Level1"/>
      <w:bookmarkStart w:id="214" w:name="_Toc15887_WPSOffice_Level1"/>
      <w:bookmarkStart w:id="215" w:name="_Toc11219_WPSOffice_Level1"/>
      <w:bookmarkStart w:id="216" w:name="_Toc2428_WPSOffice_Level1"/>
      <w:r>
        <w:rPr>
          <w:rFonts w:hint="eastAsia" w:ascii="Times New Roman" w:hAnsi="Times New Roman" w:eastAsia="黑体" w:cs="Times New Roman"/>
          <w:sz w:val="28"/>
          <w:szCs w:val="28"/>
          <w:lang w:val="en-US" w:eastAsia="zh-CN"/>
        </w:rPr>
        <w:t>七</w:t>
      </w:r>
      <w:r>
        <w:rPr>
          <w:rFonts w:ascii="Times New Roman" w:hAnsi="Times New Roman" w:eastAsia="黑体" w:cs="Times New Roman"/>
          <w:sz w:val="28"/>
          <w:szCs w:val="28"/>
        </w:rPr>
        <w:t>、其它</w:t>
      </w:r>
      <w:bookmarkEnd w:id="212"/>
      <w:r>
        <w:rPr>
          <w:rFonts w:ascii="Times New Roman" w:hAnsi="Times New Roman" w:eastAsia="黑体" w:cs="Times New Roman"/>
          <w:sz w:val="28"/>
          <w:szCs w:val="28"/>
        </w:rPr>
        <w:t>材料</w:t>
      </w:r>
      <w:bookmarkEnd w:id="213"/>
      <w:bookmarkEnd w:id="214"/>
      <w:bookmarkEnd w:id="215"/>
      <w:bookmarkEnd w:id="216"/>
    </w:p>
    <w:p>
      <w:pPr>
        <w:pStyle w:val="28"/>
        <w:rPr>
          <w:rFonts w:hint="default" w:ascii="Times New Roman" w:hAnsi="Times New Roman" w:eastAsiaTheme="minorEastAsia"/>
          <w:color w:val="auto"/>
          <w:kern w:val="2"/>
          <w:szCs w:val="24"/>
        </w:rPr>
      </w:pPr>
    </w:p>
    <w:p>
      <w:pPr>
        <w:pStyle w:val="28"/>
        <w:rPr>
          <w:rFonts w:hint="eastAsia" w:ascii="Times New Roman" w:hAnsi="Times New Roman" w:eastAsiaTheme="minorEastAsia"/>
          <w:color w:val="auto"/>
          <w:kern w:val="2"/>
          <w:szCs w:val="24"/>
          <w:lang w:val="en-US" w:eastAsia="zh-CN"/>
        </w:rPr>
      </w:pPr>
      <w:r>
        <w:rPr>
          <w:rFonts w:ascii="Times New Roman" w:hAnsi="Times New Roman" w:eastAsiaTheme="minorEastAsia"/>
          <w:color w:val="auto"/>
          <w:kern w:val="2"/>
          <w:szCs w:val="24"/>
        </w:rPr>
        <w:t>注：</w:t>
      </w:r>
      <w:r>
        <w:rPr>
          <w:rFonts w:hint="eastAsia" w:ascii="Times New Roman" w:hAnsi="Times New Roman" w:eastAsiaTheme="minorEastAsia"/>
          <w:color w:val="auto"/>
          <w:kern w:val="2"/>
          <w:szCs w:val="24"/>
          <w:lang w:val="en-US" w:eastAsia="zh-CN"/>
        </w:rPr>
        <w:t>1、本页须附响应保证金转账证明（照片、扫描件或复印件）；</w:t>
      </w:r>
    </w:p>
    <w:p>
      <w:pPr>
        <w:pStyle w:val="28"/>
        <w:rPr>
          <w:rFonts w:hint="default"/>
          <w:color w:val="0000FF"/>
        </w:rPr>
      </w:pPr>
      <w:r>
        <w:rPr>
          <w:rFonts w:hint="eastAsia" w:ascii="Times New Roman" w:hAnsi="Times New Roman" w:eastAsiaTheme="minorEastAsia"/>
          <w:color w:val="auto"/>
          <w:kern w:val="2"/>
          <w:szCs w:val="24"/>
          <w:lang w:val="en-US" w:eastAsia="zh-CN"/>
        </w:rPr>
        <w:t>2、</w:t>
      </w:r>
      <w:r>
        <w:rPr>
          <w:rFonts w:ascii="Times New Roman" w:hAnsi="Times New Roman" w:eastAsiaTheme="minorEastAsia"/>
          <w:color w:val="auto"/>
          <w:kern w:val="2"/>
          <w:szCs w:val="24"/>
        </w:rPr>
        <w:t>供应商认为有必要提交的材料。</w:t>
      </w:r>
    </w:p>
    <w:p>
      <w:pPr>
        <w:pStyle w:val="28"/>
        <w:rPr>
          <w:rFonts w:hint="default"/>
          <w:color w:val="0000FF"/>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ang Song">
    <w:altName w:val="宋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path/>
          <v:fill on="f" focussize="0,0"/>
          <v:stroke on="f" joinstyle="miter"/>
          <v:imagedata o:title=""/>
          <o:lock v:ext="edit"/>
          <v:textbox inset="0mm,0mm,0mm,0mm" style="mso-fit-shape-to-text:t;">
            <w:txbxContent>
              <w:p>
                <w:pPr>
                  <w:pStyle w:val="14"/>
                  <w:ind w:firstLine="36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FD33D48"/>
    <w:multiLevelType w:val="singleLevel"/>
    <w:tmpl w:val="CFD33D48"/>
    <w:lvl w:ilvl="0" w:tentative="0">
      <w:start w:val="3"/>
      <w:numFmt w:val="chineseCounting"/>
      <w:suff w:val="nothing"/>
      <w:lvlText w:val="%1、"/>
      <w:lvlJc w:val="left"/>
      <w:rPr>
        <w:rFonts w:hint="eastAsia"/>
      </w:rPr>
    </w:lvl>
  </w:abstractNum>
  <w:abstractNum w:abstractNumId="2">
    <w:nsid w:val="0361BCAA"/>
    <w:multiLevelType w:val="singleLevel"/>
    <w:tmpl w:val="0361BCAA"/>
    <w:lvl w:ilvl="0" w:tentative="0">
      <w:start w:val="2"/>
      <w:numFmt w:val="chineseCounting"/>
      <w:suff w:val="nothing"/>
      <w:lvlText w:val="%1、"/>
      <w:lvlJc w:val="left"/>
      <w:rPr>
        <w:rFonts w:hint="eastAsia"/>
      </w:rPr>
    </w:lvl>
  </w:abstractNum>
  <w:abstractNum w:abstractNumId="3">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4">
    <w:nsid w:val="3FE9AD0A"/>
    <w:multiLevelType w:val="singleLevel"/>
    <w:tmpl w:val="3FE9AD0A"/>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028B8"/>
    <w:rsid w:val="00076DFD"/>
    <w:rsid w:val="00085C36"/>
    <w:rsid w:val="00093752"/>
    <w:rsid w:val="00126DE8"/>
    <w:rsid w:val="001460A6"/>
    <w:rsid w:val="001659E6"/>
    <w:rsid w:val="0027310A"/>
    <w:rsid w:val="00286930"/>
    <w:rsid w:val="00294976"/>
    <w:rsid w:val="003028B8"/>
    <w:rsid w:val="003A33B3"/>
    <w:rsid w:val="003C6A6E"/>
    <w:rsid w:val="003E0BAA"/>
    <w:rsid w:val="00466F51"/>
    <w:rsid w:val="004932B8"/>
    <w:rsid w:val="004B3C4C"/>
    <w:rsid w:val="00512041"/>
    <w:rsid w:val="005B1C62"/>
    <w:rsid w:val="005D408C"/>
    <w:rsid w:val="00774C23"/>
    <w:rsid w:val="007B6F9A"/>
    <w:rsid w:val="007C5358"/>
    <w:rsid w:val="007F0E50"/>
    <w:rsid w:val="008358C2"/>
    <w:rsid w:val="009A18F5"/>
    <w:rsid w:val="009E0BE7"/>
    <w:rsid w:val="00AB364A"/>
    <w:rsid w:val="00AC1385"/>
    <w:rsid w:val="00AE1115"/>
    <w:rsid w:val="00AF0DA2"/>
    <w:rsid w:val="00B006AD"/>
    <w:rsid w:val="00B1069D"/>
    <w:rsid w:val="00B56F3C"/>
    <w:rsid w:val="00B71C0E"/>
    <w:rsid w:val="00DF6258"/>
    <w:rsid w:val="00F43DE7"/>
    <w:rsid w:val="00F73AE7"/>
    <w:rsid w:val="00FA1044"/>
    <w:rsid w:val="00FD2626"/>
    <w:rsid w:val="01082DCE"/>
    <w:rsid w:val="01196377"/>
    <w:rsid w:val="011A27E6"/>
    <w:rsid w:val="011B4B0A"/>
    <w:rsid w:val="011D6ED0"/>
    <w:rsid w:val="013C7065"/>
    <w:rsid w:val="014D641B"/>
    <w:rsid w:val="01604B65"/>
    <w:rsid w:val="01631629"/>
    <w:rsid w:val="016A3995"/>
    <w:rsid w:val="01767A67"/>
    <w:rsid w:val="0187479B"/>
    <w:rsid w:val="018B2605"/>
    <w:rsid w:val="019312E0"/>
    <w:rsid w:val="0195715E"/>
    <w:rsid w:val="019D2FC7"/>
    <w:rsid w:val="019E058F"/>
    <w:rsid w:val="01B82FCB"/>
    <w:rsid w:val="01BC5540"/>
    <w:rsid w:val="01C27CFF"/>
    <w:rsid w:val="01E22FC9"/>
    <w:rsid w:val="01EC32DA"/>
    <w:rsid w:val="01ED4448"/>
    <w:rsid w:val="01FB068C"/>
    <w:rsid w:val="02047B14"/>
    <w:rsid w:val="021A334D"/>
    <w:rsid w:val="02241CA7"/>
    <w:rsid w:val="022C0382"/>
    <w:rsid w:val="022D7E5C"/>
    <w:rsid w:val="02454DC6"/>
    <w:rsid w:val="02460711"/>
    <w:rsid w:val="024B086A"/>
    <w:rsid w:val="024C3FDE"/>
    <w:rsid w:val="024E6F66"/>
    <w:rsid w:val="025C2FF3"/>
    <w:rsid w:val="0260580C"/>
    <w:rsid w:val="026F50F7"/>
    <w:rsid w:val="0292228F"/>
    <w:rsid w:val="029D3473"/>
    <w:rsid w:val="02A843B9"/>
    <w:rsid w:val="02AF018D"/>
    <w:rsid w:val="02B17534"/>
    <w:rsid w:val="02C148EA"/>
    <w:rsid w:val="02C52E19"/>
    <w:rsid w:val="02F11F86"/>
    <w:rsid w:val="031402A0"/>
    <w:rsid w:val="03275F0C"/>
    <w:rsid w:val="03530EF0"/>
    <w:rsid w:val="035C1D76"/>
    <w:rsid w:val="03601717"/>
    <w:rsid w:val="03666726"/>
    <w:rsid w:val="036A6013"/>
    <w:rsid w:val="036B0042"/>
    <w:rsid w:val="038460EB"/>
    <w:rsid w:val="03921536"/>
    <w:rsid w:val="03957CCA"/>
    <w:rsid w:val="03BA168E"/>
    <w:rsid w:val="03DE6BBF"/>
    <w:rsid w:val="03EA0F31"/>
    <w:rsid w:val="03EC548F"/>
    <w:rsid w:val="03FB6B06"/>
    <w:rsid w:val="040F168E"/>
    <w:rsid w:val="041C4143"/>
    <w:rsid w:val="04233E93"/>
    <w:rsid w:val="04295DA0"/>
    <w:rsid w:val="042D3241"/>
    <w:rsid w:val="042F0E97"/>
    <w:rsid w:val="04352FAD"/>
    <w:rsid w:val="04533F12"/>
    <w:rsid w:val="046B7205"/>
    <w:rsid w:val="047B3AB4"/>
    <w:rsid w:val="047C0CFA"/>
    <w:rsid w:val="047C234D"/>
    <w:rsid w:val="048328A9"/>
    <w:rsid w:val="049F1121"/>
    <w:rsid w:val="04A52713"/>
    <w:rsid w:val="04A61CAB"/>
    <w:rsid w:val="04B66E9B"/>
    <w:rsid w:val="04B76022"/>
    <w:rsid w:val="04D91B0C"/>
    <w:rsid w:val="04DF02F5"/>
    <w:rsid w:val="04EA65EC"/>
    <w:rsid w:val="04EB6AA2"/>
    <w:rsid w:val="04F54297"/>
    <w:rsid w:val="04F76AAC"/>
    <w:rsid w:val="04F95D73"/>
    <w:rsid w:val="050022AA"/>
    <w:rsid w:val="05162632"/>
    <w:rsid w:val="05474D67"/>
    <w:rsid w:val="057351EA"/>
    <w:rsid w:val="05817F9F"/>
    <w:rsid w:val="058B4724"/>
    <w:rsid w:val="059761EF"/>
    <w:rsid w:val="059F2433"/>
    <w:rsid w:val="05A12F8F"/>
    <w:rsid w:val="05B16949"/>
    <w:rsid w:val="05B62340"/>
    <w:rsid w:val="05C614B1"/>
    <w:rsid w:val="05E55ECC"/>
    <w:rsid w:val="05EC3DBF"/>
    <w:rsid w:val="05F90297"/>
    <w:rsid w:val="060C39DD"/>
    <w:rsid w:val="061006D5"/>
    <w:rsid w:val="06227012"/>
    <w:rsid w:val="06291D77"/>
    <w:rsid w:val="062929E2"/>
    <w:rsid w:val="064B1FD0"/>
    <w:rsid w:val="06510831"/>
    <w:rsid w:val="06521FF7"/>
    <w:rsid w:val="0655574A"/>
    <w:rsid w:val="066756C3"/>
    <w:rsid w:val="066E7995"/>
    <w:rsid w:val="0671119D"/>
    <w:rsid w:val="068C07A0"/>
    <w:rsid w:val="069C2279"/>
    <w:rsid w:val="06C75E0F"/>
    <w:rsid w:val="06CD2659"/>
    <w:rsid w:val="06D92FF2"/>
    <w:rsid w:val="06D9617D"/>
    <w:rsid w:val="06E209B7"/>
    <w:rsid w:val="06E93094"/>
    <w:rsid w:val="06EE5449"/>
    <w:rsid w:val="071D3AEF"/>
    <w:rsid w:val="071F775B"/>
    <w:rsid w:val="0725414F"/>
    <w:rsid w:val="073E4D0F"/>
    <w:rsid w:val="07914D92"/>
    <w:rsid w:val="07B51055"/>
    <w:rsid w:val="07C93DD2"/>
    <w:rsid w:val="07E31EF0"/>
    <w:rsid w:val="07E82B07"/>
    <w:rsid w:val="07ED1B1A"/>
    <w:rsid w:val="07F10BD9"/>
    <w:rsid w:val="07F33261"/>
    <w:rsid w:val="07FB3039"/>
    <w:rsid w:val="07FC2047"/>
    <w:rsid w:val="080A4F8B"/>
    <w:rsid w:val="081D312D"/>
    <w:rsid w:val="08290DFC"/>
    <w:rsid w:val="082D031A"/>
    <w:rsid w:val="083227D0"/>
    <w:rsid w:val="083E61F6"/>
    <w:rsid w:val="08441F41"/>
    <w:rsid w:val="0871359F"/>
    <w:rsid w:val="08762289"/>
    <w:rsid w:val="088909C5"/>
    <w:rsid w:val="08A45B58"/>
    <w:rsid w:val="08A75E9F"/>
    <w:rsid w:val="08AC4CDC"/>
    <w:rsid w:val="08B51EFD"/>
    <w:rsid w:val="08C520FD"/>
    <w:rsid w:val="08C644EB"/>
    <w:rsid w:val="08CB31B1"/>
    <w:rsid w:val="08DE0702"/>
    <w:rsid w:val="08E36B16"/>
    <w:rsid w:val="08EB2A28"/>
    <w:rsid w:val="09033D88"/>
    <w:rsid w:val="091033C7"/>
    <w:rsid w:val="092454AE"/>
    <w:rsid w:val="094350D2"/>
    <w:rsid w:val="09520EC1"/>
    <w:rsid w:val="09522E65"/>
    <w:rsid w:val="096126C2"/>
    <w:rsid w:val="09667ECC"/>
    <w:rsid w:val="09904735"/>
    <w:rsid w:val="099E22BF"/>
    <w:rsid w:val="09A14FA9"/>
    <w:rsid w:val="09A1577F"/>
    <w:rsid w:val="09B1743D"/>
    <w:rsid w:val="09BF3C5F"/>
    <w:rsid w:val="09C32774"/>
    <w:rsid w:val="09EC3543"/>
    <w:rsid w:val="0A017749"/>
    <w:rsid w:val="0A18640B"/>
    <w:rsid w:val="0A2B3D2D"/>
    <w:rsid w:val="0A31325F"/>
    <w:rsid w:val="0A433EA3"/>
    <w:rsid w:val="0A4C0A53"/>
    <w:rsid w:val="0A562E5C"/>
    <w:rsid w:val="0A595E3B"/>
    <w:rsid w:val="0A6D4428"/>
    <w:rsid w:val="0A70103F"/>
    <w:rsid w:val="0A7A5777"/>
    <w:rsid w:val="0A830A8F"/>
    <w:rsid w:val="0ABA6BDF"/>
    <w:rsid w:val="0ADB488F"/>
    <w:rsid w:val="0ADF4740"/>
    <w:rsid w:val="0AF404CA"/>
    <w:rsid w:val="0B237F0C"/>
    <w:rsid w:val="0B25655D"/>
    <w:rsid w:val="0B3B41A4"/>
    <w:rsid w:val="0B466158"/>
    <w:rsid w:val="0B765704"/>
    <w:rsid w:val="0B78273B"/>
    <w:rsid w:val="0B7B1D60"/>
    <w:rsid w:val="0B7D0BA2"/>
    <w:rsid w:val="0B831417"/>
    <w:rsid w:val="0B976282"/>
    <w:rsid w:val="0B977E1E"/>
    <w:rsid w:val="0BAA0921"/>
    <w:rsid w:val="0BAB4B61"/>
    <w:rsid w:val="0BBE3C8E"/>
    <w:rsid w:val="0BD75140"/>
    <w:rsid w:val="0BD821CA"/>
    <w:rsid w:val="0BE00F68"/>
    <w:rsid w:val="0C0A4650"/>
    <w:rsid w:val="0C122E87"/>
    <w:rsid w:val="0C142061"/>
    <w:rsid w:val="0C25115F"/>
    <w:rsid w:val="0C30164C"/>
    <w:rsid w:val="0C4909C1"/>
    <w:rsid w:val="0C54553C"/>
    <w:rsid w:val="0C6153DA"/>
    <w:rsid w:val="0C680BDD"/>
    <w:rsid w:val="0C715D36"/>
    <w:rsid w:val="0C72723E"/>
    <w:rsid w:val="0C8830F0"/>
    <w:rsid w:val="0C915D6B"/>
    <w:rsid w:val="0C9F0011"/>
    <w:rsid w:val="0CA8035A"/>
    <w:rsid w:val="0CAD361F"/>
    <w:rsid w:val="0CAD70A0"/>
    <w:rsid w:val="0CCA7A68"/>
    <w:rsid w:val="0CDE4D0D"/>
    <w:rsid w:val="0CE45ABA"/>
    <w:rsid w:val="0CE55D2A"/>
    <w:rsid w:val="0CEA1161"/>
    <w:rsid w:val="0D0E1A16"/>
    <w:rsid w:val="0D10611A"/>
    <w:rsid w:val="0D204464"/>
    <w:rsid w:val="0D245D5D"/>
    <w:rsid w:val="0D2A5D78"/>
    <w:rsid w:val="0D643C93"/>
    <w:rsid w:val="0D820DCE"/>
    <w:rsid w:val="0D8328E8"/>
    <w:rsid w:val="0D840310"/>
    <w:rsid w:val="0D935001"/>
    <w:rsid w:val="0D99433B"/>
    <w:rsid w:val="0DA75F7E"/>
    <w:rsid w:val="0DAE4A0C"/>
    <w:rsid w:val="0DCE19B4"/>
    <w:rsid w:val="0DFE181D"/>
    <w:rsid w:val="0E10556B"/>
    <w:rsid w:val="0E14052A"/>
    <w:rsid w:val="0E1B588D"/>
    <w:rsid w:val="0E265F28"/>
    <w:rsid w:val="0E2873E9"/>
    <w:rsid w:val="0E2D3308"/>
    <w:rsid w:val="0E6113A0"/>
    <w:rsid w:val="0E744B2D"/>
    <w:rsid w:val="0E863ACB"/>
    <w:rsid w:val="0E8D05E0"/>
    <w:rsid w:val="0E9529BB"/>
    <w:rsid w:val="0E9B3C63"/>
    <w:rsid w:val="0EA6433C"/>
    <w:rsid w:val="0EB4636E"/>
    <w:rsid w:val="0EB75DCA"/>
    <w:rsid w:val="0EC81177"/>
    <w:rsid w:val="0ED12EB4"/>
    <w:rsid w:val="0ED16605"/>
    <w:rsid w:val="0ED97B37"/>
    <w:rsid w:val="0EE3071C"/>
    <w:rsid w:val="0EED2DF2"/>
    <w:rsid w:val="0EF81537"/>
    <w:rsid w:val="0EF83DB8"/>
    <w:rsid w:val="0EFF0CDC"/>
    <w:rsid w:val="0F401FA4"/>
    <w:rsid w:val="0F4F57E8"/>
    <w:rsid w:val="0F6C3B60"/>
    <w:rsid w:val="0F6F6315"/>
    <w:rsid w:val="0F7150A0"/>
    <w:rsid w:val="0F7A125F"/>
    <w:rsid w:val="0FB81B5B"/>
    <w:rsid w:val="0FBC4E69"/>
    <w:rsid w:val="0FCD5301"/>
    <w:rsid w:val="0FD00E8A"/>
    <w:rsid w:val="0FE65A61"/>
    <w:rsid w:val="10090199"/>
    <w:rsid w:val="10321533"/>
    <w:rsid w:val="10337DDD"/>
    <w:rsid w:val="103656D1"/>
    <w:rsid w:val="103C7917"/>
    <w:rsid w:val="103D08C2"/>
    <w:rsid w:val="10564A8B"/>
    <w:rsid w:val="1058602D"/>
    <w:rsid w:val="10795C93"/>
    <w:rsid w:val="108B3AFA"/>
    <w:rsid w:val="10B15280"/>
    <w:rsid w:val="10CF164C"/>
    <w:rsid w:val="10D50461"/>
    <w:rsid w:val="10E24CD8"/>
    <w:rsid w:val="10F15163"/>
    <w:rsid w:val="10F26CDC"/>
    <w:rsid w:val="10FE1D37"/>
    <w:rsid w:val="11163C77"/>
    <w:rsid w:val="1139732F"/>
    <w:rsid w:val="114A7510"/>
    <w:rsid w:val="114C67B8"/>
    <w:rsid w:val="115A4908"/>
    <w:rsid w:val="115A53BC"/>
    <w:rsid w:val="11696085"/>
    <w:rsid w:val="117A2D8F"/>
    <w:rsid w:val="118060D4"/>
    <w:rsid w:val="118E75B9"/>
    <w:rsid w:val="1194155A"/>
    <w:rsid w:val="119C1623"/>
    <w:rsid w:val="11AB3509"/>
    <w:rsid w:val="11B42B23"/>
    <w:rsid w:val="11B5299E"/>
    <w:rsid w:val="11C3745F"/>
    <w:rsid w:val="11C92B03"/>
    <w:rsid w:val="11E52624"/>
    <w:rsid w:val="11E8124D"/>
    <w:rsid w:val="11F9333E"/>
    <w:rsid w:val="11FE31AD"/>
    <w:rsid w:val="121466AA"/>
    <w:rsid w:val="12224FD0"/>
    <w:rsid w:val="122B6577"/>
    <w:rsid w:val="12343761"/>
    <w:rsid w:val="123756D1"/>
    <w:rsid w:val="123B7167"/>
    <w:rsid w:val="124E5F2C"/>
    <w:rsid w:val="12597E87"/>
    <w:rsid w:val="125B3739"/>
    <w:rsid w:val="126943EE"/>
    <w:rsid w:val="12865675"/>
    <w:rsid w:val="129A697A"/>
    <w:rsid w:val="12C6189A"/>
    <w:rsid w:val="12CE785B"/>
    <w:rsid w:val="12D16BCB"/>
    <w:rsid w:val="12DC2AAB"/>
    <w:rsid w:val="12E74E3F"/>
    <w:rsid w:val="12ED7F8F"/>
    <w:rsid w:val="12F04674"/>
    <w:rsid w:val="12F429E8"/>
    <w:rsid w:val="12FE1AE7"/>
    <w:rsid w:val="13190BA4"/>
    <w:rsid w:val="13293F8A"/>
    <w:rsid w:val="132A5815"/>
    <w:rsid w:val="132F6187"/>
    <w:rsid w:val="13356A71"/>
    <w:rsid w:val="134854F2"/>
    <w:rsid w:val="13594F2D"/>
    <w:rsid w:val="136B7830"/>
    <w:rsid w:val="13714DE1"/>
    <w:rsid w:val="13A70B15"/>
    <w:rsid w:val="13B72E13"/>
    <w:rsid w:val="13BA32C6"/>
    <w:rsid w:val="13DE4A24"/>
    <w:rsid w:val="14003B68"/>
    <w:rsid w:val="14077165"/>
    <w:rsid w:val="140A4876"/>
    <w:rsid w:val="14231FAC"/>
    <w:rsid w:val="14264818"/>
    <w:rsid w:val="14317E7A"/>
    <w:rsid w:val="1440472E"/>
    <w:rsid w:val="145378D4"/>
    <w:rsid w:val="1463315F"/>
    <w:rsid w:val="14664519"/>
    <w:rsid w:val="146F09C5"/>
    <w:rsid w:val="147441B4"/>
    <w:rsid w:val="14745B8C"/>
    <w:rsid w:val="14757CE3"/>
    <w:rsid w:val="14832530"/>
    <w:rsid w:val="14936D19"/>
    <w:rsid w:val="14991E4B"/>
    <w:rsid w:val="14AA3E63"/>
    <w:rsid w:val="14D60FAD"/>
    <w:rsid w:val="14DF65DE"/>
    <w:rsid w:val="14F33B67"/>
    <w:rsid w:val="151E62FD"/>
    <w:rsid w:val="151F03B5"/>
    <w:rsid w:val="153A48EA"/>
    <w:rsid w:val="153A65BE"/>
    <w:rsid w:val="15422B45"/>
    <w:rsid w:val="156629A4"/>
    <w:rsid w:val="156A38D6"/>
    <w:rsid w:val="156C688A"/>
    <w:rsid w:val="1584295D"/>
    <w:rsid w:val="158735B1"/>
    <w:rsid w:val="15895244"/>
    <w:rsid w:val="159E013D"/>
    <w:rsid w:val="15A63FB3"/>
    <w:rsid w:val="15BA0961"/>
    <w:rsid w:val="15BC6BCB"/>
    <w:rsid w:val="15D32868"/>
    <w:rsid w:val="15EE1192"/>
    <w:rsid w:val="15FD0081"/>
    <w:rsid w:val="161713B9"/>
    <w:rsid w:val="162117F2"/>
    <w:rsid w:val="163D38BD"/>
    <w:rsid w:val="164432FC"/>
    <w:rsid w:val="166867F9"/>
    <w:rsid w:val="16746126"/>
    <w:rsid w:val="16746A12"/>
    <w:rsid w:val="16763172"/>
    <w:rsid w:val="167E2633"/>
    <w:rsid w:val="168431DE"/>
    <w:rsid w:val="168C763B"/>
    <w:rsid w:val="1690501F"/>
    <w:rsid w:val="16976668"/>
    <w:rsid w:val="16B22F9A"/>
    <w:rsid w:val="16D147CF"/>
    <w:rsid w:val="16D6731E"/>
    <w:rsid w:val="16DB2D50"/>
    <w:rsid w:val="16DE5569"/>
    <w:rsid w:val="16E8299C"/>
    <w:rsid w:val="16F40010"/>
    <w:rsid w:val="16FB1042"/>
    <w:rsid w:val="17096A52"/>
    <w:rsid w:val="170A434D"/>
    <w:rsid w:val="170A608F"/>
    <w:rsid w:val="17176EC0"/>
    <w:rsid w:val="171A22E9"/>
    <w:rsid w:val="173213AE"/>
    <w:rsid w:val="1735048C"/>
    <w:rsid w:val="173C70F5"/>
    <w:rsid w:val="174206F3"/>
    <w:rsid w:val="1761165F"/>
    <w:rsid w:val="176B4C2E"/>
    <w:rsid w:val="17912DBB"/>
    <w:rsid w:val="179E2BB2"/>
    <w:rsid w:val="17A31E57"/>
    <w:rsid w:val="17A41A09"/>
    <w:rsid w:val="17BE7705"/>
    <w:rsid w:val="17DE1931"/>
    <w:rsid w:val="17E43CA4"/>
    <w:rsid w:val="17FF683E"/>
    <w:rsid w:val="1800449F"/>
    <w:rsid w:val="1803234F"/>
    <w:rsid w:val="181F7B0D"/>
    <w:rsid w:val="182D59F2"/>
    <w:rsid w:val="184D7361"/>
    <w:rsid w:val="18611ADF"/>
    <w:rsid w:val="18660D83"/>
    <w:rsid w:val="188F0361"/>
    <w:rsid w:val="18A34D8C"/>
    <w:rsid w:val="18AD0BE1"/>
    <w:rsid w:val="18B619A6"/>
    <w:rsid w:val="18BB43F9"/>
    <w:rsid w:val="18BD2A66"/>
    <w:rsid w:val="18C13AC1"/>
    <w:rsid w:val="18D119EE"/>
    <w:rsid w:val="18DC3D6C"/>
    <w:rsid w:val="190524A1"/>
    <w:rsid w:val="19111C94"/>
    <w:rsid w:val="192C2A2F"/>
    <w:rsid w:val="193809C2"/>
    <w:rsid w:val="194361A3"/>
    <w:rsid w:val="194E641E"/>
    <w:rsid w:val="195E6542"/>
    <w:rsid w:val="19646B2F"/>
    <w:rsid w:val="19651738"/>
    <w:rsid w:val="198365E2"/>
    <w:rsid w:val="19976995"/>
    <w:rsid w:val="19B044DF"/>
    <w:rsid w:val="19BC07B3"/>
    <w:rsid w:val="19FA5475"/>
    <w:rsid w:val="19FC6A1D"/>
    <w:rsid w:val="1A110767"/>
    <w:rsid w:val="1A1964F4"/>
    <w:rsid w:val="1A576AE8"/>
    <w:rsid w:val="1A613F40"/>
    <w:rsid w:val="1A6450AE"/>
    <w:rsid w:val="1A6F3D1D"/>
    <w:rsid w:val="1A725150"/>
    <w:rsid w:val="1A742AE7"/>
    <w:rsid w:val="1A851E5E"/>
    <w:rsid w:val="1A8C2F08"/>
    <w:rsid w:val="1A976D8E"/>
    <w:rsid w:val="1A9A00BD"/>
    <w:rsid w:val="1A9F3526"/>
    <w:rsid w:val="1AB60854"/>
    <w:rsid w:val="1AB62259"/>
    <w:rsid w:val="1ADB5923"/>
    <w:rsid w:val="1ADF24BC"/>
    <w:rsid w:val="1AFB2F34"/>
    <w:rsid w:val="1B104512"/>
    <w:rsid w:val="1B111758"/>
    <w:rsid w:val="1B142E41"/>
    <w:rsid w:val="1B16359A"/>
    <w:rsid w:val="1B1C4A6C"/>
    <w:rsid w:val="1B1F0131"/>
    <w:rsid w:val="1B2372F3"/>
    <w:rsid w:val="1B2709C3"/>
    <w:rsid w:val="1B2C2EBB"/>
    <w:rsid w:val="1B300A8F"/>
    <w:rsid w:val="1B3028D7"/>
    <w:rsid w:val="1B344A57"/>
    <w:rsid w:val="1B364075"/>
    <w:rsid w:val="1B387860"/>
    <w:rsid w:val="1B5607D5"/>
    <w:rsid w:val="1B5A266B"/>
    <w:rsid w:val="1B6D006C"/>
    <w:rsid w:val="1B6F3157"/>
    <w:rsid w:val="1B745152"/>
    <w:rsid w:val="1B763A15"/>
    <w:rsid w:val="1B8B1071"/>
    <w:rsid w:val="1B941FF2"/>
    <w:rsid w:val="1BB91E00"/>
    <w:rsid w:val="1BBC3580"/>
    <w:rsid w:val="1BBE0387"/>
    <w:rsid w:val="1BC0329E"/>
    <w:rsid w:val="1BC863D0"/>
    <w:rsid w:val="1BEF1A51"/>
    <w:rsid w:val="1C01157A"/>
    <w:rsid w:val="1C297D63"/>
    <w:rsid w:val="1C337FF5"/>
    <w:rsid w:val="1C3B4532"/>
    <w:rsid w:val="1C3F63C6"/>
    <w:rsid w:val="1C495A9B"/>
    <w:rsid w:val="1C4A4F18"/>
    <w:rsid w:val="1C4C62F2"/>
    <w:rsid w:val="1C565AA2"/>
    <w:rsid w:val="1C6063BC"/>
    <w:rsid w:val="1C677760"/>
    <w:rsid w:val="1C8342C9"/>
    <w:rsid w:val="1C835541"/>
    <w:rsid w:val="1C9D2E24"/>
    <w:rsid w:val="1CA63F16"/>
    <w:rsid w:val="1CB63D17"/>
    <w:rsid w:val="1CBE15B8"/>
    <w:rsid w:val="1CC70AAE"/>
    <w:rsid w:val="1CF93C71"/>
    <w:rsid w:val="1CF97B60"/>
    <w:rsid w:val="1D030883"/>
    <w:rsid w:val="1D1D75F2"/>
    <w:rsid w:val="1D2B549A"/>
    <w:rsid w:val="1D5039A9"/>
    <w:rsid w:val="1D670B14"/>
    <w:rsid w:val="1D924EB5"/>
    <w:rsid w:val="1D9F65B1"/>
    <w:rsid w:val="1DA002EB"/>
    <w:rsid w:val="1DD7785D"/>
    <w:rsid w:val="1DDF4AE1"/>
    <w:rsid w:val="1DE0242C"/>
    <w:rsid w:val="1DE02E8C"/>
    <w:rsid w:val="1DF11CEB"/>
    <w:rsid w:val="1DFB418B"/>
    <w:rsid w:val="1E061D8D"/>
    <w:rsid w:val="1E1510B3"/>
    <w:rsid w:val="1E1B06D7"/>
    <w:rsid w:val="1E1D003B"/>
    <w:rsid w:val="1E2A636A"/>
    <w:rsid w:val="1E2B5895"/>
    <w:rsid w:val="1E36533D"/>
    <w:rsid w:val="1E3F71AC"/>
    <w:rsid w:val="1E407FC7"/>
    <w:rsid w:val="1E484768"/>
    <w:rsid w:val="1E4946FB"/>
    <w:rsid w:val="1E4A65BA"/>
    <w:rsid w:val="1E506677"/>
    <w:rsid w:val="1E5A2DA3"/>
    <w:rsid w:val="1E60103D"/>
    <w:rsid w:val="1E611165"/>
    <w:rsid w:val="1E6C6427"/>
    <w:rsid w:val="1E7646AA"/>
    <w:rsid w:val="1E897274"/>
    <w:rsid w:val="1E965D04"/>
    <w:rsid w:val="1EA26379"/>
    <w:rsid w:val="1EC13239"/>
    <w:rsid w:val="1EC51899"/>
    <w:rsid w:val="1ED352F2"/>
    <w:rsid w:val="1ED920BE"/>
    <w:rsid w:val="1EF7470E"/>
    <w:rsid w:val="1F05265B"/>
    <w:rsid w:val="1F073AFB"/>
    <w:rsid w:val="1F0E2E4B"/>
    <w:rsid w:val="1F1068A9"/>
    <w:rsid w:val="1F11207D"/>
    <w:rsid w:val="1F204C25"/>
    <w:rsid w:val="1F2579D0"/>
    <w:rsid w:val="1F3309E4"/>
    <w:rsid w:val="1F3C6344"/>
    <w:rsid w:val="1F5435CA"/>
    <w:rsid w:val="1F546D45"/>
    <w:rsid w:val="1F6A639E"/>
    <w:rsid w:val="1F8132C8"/>
    <w:rsid w:val="1FA02744"/>
    <w:rsid w:val="1FA40FE8"/>
    <w:rsid w:val="1FAC011C"/>
    <w:rsid w:val="1FC24714"/>
    <w:rsid w:val="1FCC3990"/>
    <w:rsid w:val="1FD33427"/>
    <w:rsid w:val="200C298F"/>
    <w:rsid w:val="201C54FE"/>
    <w:rsid w:val="202A4D90"/>
    <w:rsid w:val="20351B26"/>
    <w:rsid w:val="20435529"/>
    <w:rsid w:val="20517E69"/>
    <w:rsid w:val="20530F08"/>
    <w:rsid w:val="2066350B"/>
    <w:rsid w:val="208701DC"/>
    <w:rsid w:val="20942936"/>
    <w:rsid w:val="20AD1511"/>
    <w:rsid w:val="20AE71CD"/>
    <w:rsid w:val="20C75587"/>
    <w:rsid w:val="20DD7EA1"/>
    <w:rsid w:val="20EC6F0D"/>
    <w:rsid w:val="20EF3849"/>
    <w:rsid w:val="21062AD1"/>
    <w:rsid w:val="210835D5"/>
    <w:rsid w:val="21114D59"/>
    <w:rsid w:val="21194C2A"/>
    <w:rsid w:val="212707FC"/>
    <w:rsid w:val="212E5B46"/>
    <w:rsid w:val="215134A4"/>
    <w:rsid w:val="216D73A5"/>
    <w:rsid w:val="21734752"/>
    <w:rsid w:val="2181475C"/>
    <w:rsid w:val="21865BCD"/>
    <w:rsid w:val="2186661B"/>
    <w:rsid w:val="21883536"/>
    <w:rsid w:val="218D6398"/>
    <w:rsid w:val="21C614F6"/>
    <w:rsid w:val="21D57E5D"/>
    <w:rsid w:val="220B38D3"/>
    <w:rsid w:val="220F27AB"/>
    <w:rsid w:val="223029AE"/>
    <w:rsid w:val="224B1241"/>
    <w:rsid w:val="22565E31"/>
    <w:rsid w:val="2264591F"/>
    <w:rsid w:val="226C24D9"/>
    <w:rsid w:val="227540C8"/>
    <w:rsid w:val="229C12D9"/>
    <w:rsid w:val="22C438D9"/>
    <w:rsid w:val="22C90127"/>
    <w:rsid w:val="22D008F7"/>
    <w:rsid w:val="22D42D6B"/>
    <w:rsid w:val="22DF5D82"/>
    <w:rsid w:val="22E9418C"/>
    <w:rsid w:val="22FD581D"/>
    <w:rsid w:val="231A6446"/>
    <w:rsid w:val="23200D04"/>
    <w:rsid w:val="23252F62"/>
    <w:rsid w:val="2329015A"/>
    <w:rsid w:val="233D41F6"/>
    <w:rsid w:val="233E1D9D"/>
    <w:rsid w:val="235A23F9"/>
    <w:rsid w:val="23690BF3"/>
    <w:rsid w:val="237057D0"/>
    <w:rsid w:val="238A746E"/>
    <w:rsid w:val="238E0DF3"/>
    <w:rsid w:val="23A70DB3"/>
    <w:rsid w:val="23D003FB"/>
    <w:rsid w:val="23E06FF0"/>
    <w:rsid w:val="23F26B67"/>
    <w:rsid w:val="241A5AEC"/>
    <w:rsid w:val="24321DFA"/>
    <w:rsid w:val="24530C8F"/>
    <w:rsid w:val="24636547"/>
    <w:rsid w:val="24717D47"/>
    <w:rsid w:val="249C788A"/>
    <w:rsid w:val="24B82B32"/>
    <w:rsid w:val="24BB6D5B"/>
    <w:rsid w:val="24DC6375"/>
    <w:rsid w:val="24DF0B67"/>
    <w:rsid w:val="24F755BB"/>
    <w:rsid w:val="24FA5375"/>
    <w:rsid w:val="251224C4"/>
    <w:rsid w:val="25167458"/>
    <w:rsid w:val="251E581D"/>
    <w:rsid w:val="252A368C"/>
    <w:rsid w:val="253317B8"/>
    <w:rsid w:val="2537641D"/>
    <w:rsid w:val="253C3EF7"/>
    <w:rsid w:val="2558795E"/>
    <w:rsid w:val="255E089E"/>
    <w:rsid w:val="257F5882"/>
    <w:rsid w:val="25987884"/>
    <w:rsid w:val="259E1AE4"/>
    <w:rsid w:val="25BF330D"/>
    <w:rsid w:val="25C27A7C"/>
    <w:rsid w:val="25C76039"/>
    <w:rsid w:val="25C97EC1"/>
    <w:rsid w:val="25E31DB1"/>
    <w:rsid w:val="25F341F9"/>
    <w:rsid w:val="25FD4EFD"/>
    <w:rsid w:val="2603678D"/>
    <w:rsid w:val="26050C41"/>
    <w:rsid w:val="261A0D6A"/>
    <w:rsid w:val="263F4733"/>
    <w:rsid w:val="264826D8"/>
    <w:rsid w:val="26486C62"/>
    <w:rsid w:val="26581526"/>
    <w:rsid w:val="26845C6C"/>
    <w:rsid w:val="26854595"/>
    <w:rsid w:val="26873841"/>
    <w:rsid w:val="269408C3"/>
    <w:rsid w:val="26A244E0"/>
    <w:rsid w:val="26AF5A72"/>
    <w:rsid w:val="26BE55EA"/>
    <w:rsid w:val="26C35476"/>
    <w:rsid w:val="26C762DB"/>
    <w:rsid w:val="26DC20E5"/>
    <w:rsid w:val="26F97745"/>
    <w:rsid w:val="270471C7"/>
    <w:rsid w:val="270E3585"/>
    <w:rsid w:val="272F01F7"/>
    <w:rsid w:val="274B353E"/>
    <w:rsid w:val="27524FD4"/>
    <w:rsid w:val="275319F4"/>
    <w:rsid w:val="27600BBF"/>
    <w:rsid w:val="27613BAA"/>
    <w:rsid w:val="276A2C20"/>
    <w:rsid w:val="276E6872"/>
    <w:rsid w:val="278E3101"/>
    <w:rsid w:val="27941CFF"/>
    <w:rsid w:val="27A31688"/>
    <w:rsid w:val="27BC1DF8"/>
    <w:rsid w:val="27F4633D"/>
    <w:rsid w:val="2802487C"/>
    <w:rsid w:val="28076074"/>
    <w:rsid w:val="280D4614"/>
    <w:rsid w:val="281846D4"/>
    <w:rsid w:val="282F78FD"/>
    <w:rsid w:val="28413164"/>
    <w:rsid w:val="28436F61"/>
    <w:rsid w:val="286A2391"/>
    <w:rsid w:val="28724132"/>
    <w:rsid w:val="287B59F6"/>
    <w:rsid w:val="28847D06"/>
    <w:rsid w:val="28875BF5"/>
    <w:rsid w:val="288F48FB"/>
    <w:rsid w:val="28974169"/>
    <w:rsid w:val="28AC0ECF"/>
    <w:rsid w:val="28AE2264"/>
    <w:rsid w:val="28BE57FD"/>
    <w:rsid w:val="28C01F1D"/>
    <w:rsid w:val="28C14CAA"/>
    <w:rsid w:val="28D35487"/>
    <w:rsid w:val="28EB33ED"/>
    <w:rsid w:val="29001D45"/>
    <w:rsid w:val="290C512F"/>
    <w:rsid w:val="290D0C20"/>
    <w:rsid w:val="29154A5F"/>
    <w:rsid w:val="29162105"/>
    <w:rsid w:val="291D6CFF"/>
    <w:rsid w:val="291E564E"/>
    <w:rsid w:val="29454998"/>
    <w:rsid w:val="29741CFA"/>
    <w:rsid w:val="297C2E49"/>
    <w:rsid w:val="29874E83"/>
    <w:rsid w:val="29941624"/>
    <w:rsid w:val="299554BA"/>
    <w:rsid w:val="29956056"/>
    <w:rsid w:val="29A27CEA"/>
    <w:rsid w:val="29A873CE"/>
    <w:rsid w:val="29AA3C23"/>
    <w:rsid w:val="29BF59D6"/>
    <w:rsid w:val="29C53546"/>
    <w:rsid w:val="29C941A2"/>
    <w:rsid w:val="29EB49C9"/>
    <w:rsid w:val="29EE3DF2"/>
    <w:rsid w:val="29EF3FB8"/>
    <w:rsid w:val="29F12286"/>
    <w:rsid w:val="29FB2966"/>
    <w:rsid w:val="29FE6780"/>
    <w:rsid w:val="2A1D7695"/>
    <w:rsid w:val="2A2B2E5B"/>
    <w:rsid w:val="2A37472F"/>
    <w:rsid w:val="2A3A63BF"/>
    <w:rsid w:val="2A411009"/>
    <w:rsid w:val="2A48150B"/>
    <w:rsid w:val="2A4C0A1A"/>
    <w:rsid w:val="2A4C6A3D"/>
    <w:rsid w:val="2A633D38"/>
    <w:rsid w:val="2A655AFF"/>
    <w:rsid w:val="2A715DEA"/>
    <w:rsid w:val="2A97631D"/>
    <w:rsid w:val="2AA4290E"/>
    <w:rsid w:val="2AB4054B"/>
    <w:rsid w:val="2AB843C9"/>
    <w:rsid w:val="2AC60E73"/>
    <w:rsid w:val="2AD307BD"/>
    <w:rsid w:val="2AD373B2"/>
    <w:rsid w:val="2AEA4C38"/>
    <w:rsid w:val="2AFE46B0"/>
    <w:rsid w:val="2B0739B9"/>
    <w:rsid w:val="2B073FBC"/>
    <w:rsid w:val="2B0C18DB"/>
    <w:rsid w:val="2B22095A"/>
    <w:rsid w:val="2B392180"/>
    <w:rsid w:val="2B3C1D66"/>
    <w:rsid w:val="2B3E28EB"/>
    <w:rsid w:val="2B430D79"/>
    <w:rsid w:val="2B6E1F63"/>
    <w:rsid w:val="2B9215B2"/>
    <w:rsid w:val="2B9E76FA"/>
    <w:rsid w:val="2BA42C24"/>
    <w:rsid w:val="2BB623FD"/>
    <w:rsid w:val="2BC566C7"/>
    <w:rsid w:val="2BC81736"/>
    <w:rsid w:val="2BE267D6"/>
    <w:rsid w:val="2BE3479D"/>
    <w:rsid w:val="2BF06232"/>
    <w:rsid w:val="2BFB3F34"/>
    <w:rsid w:val="2C0B75D0"/>
    <w:rsid w:val="2C0E0D00"/>
    <w:rsid w:val="2C19133D"/>
    <w:rsid w:val="2C1A1B3D"/>
    <w:rsid w:val="2C1D008A"/>
    <w:rsid w:val="2C221397"/>
    <w:rsid w:val="2C544E8E"/>
    <w:rsid w:val="2C703ADA"/>
    <w:rsid w:val="2C81653D"/>
    <w:rsid w:val="2CB9247E"/>
    <w:rsid w:val="2CDB73CF"/>
    <w:rsid w:val="2CF42A2C"/>
    <w:rsid w:val="2D1547AA"/>
    <w:rsid w:val="2D1C0C8B"/>
    <w:rsid w:val="2D334831"/>
    <w:rsid w:val="2D500625"/>
    <w:rsid w:val="2D511CF8"/>
    <w:rsid w:val="2D524590"/>
    <w:rsid w:val="2D707B2E"/>
    <w:rsid w:val="2D8E5DB3"/>
    <w:rsid w:val="2D9C231F"/>
    <w:rsid w:val="2D9F3C27"/>
    <w:rsid w:val="2DAB019F"/>
    <w:rsid w:val="2DB15F1B"/>
    <w:rsid w:val="2DE44B7D"/>
    <w:rsid w:val="2DE83586"/>
    <w:rsid w:val="2DE85A59"/>
    <w:rsid w:val="2E00515D"/>
    <w:rsid w:val="2E153C96"/>
    <w:rsid w:val="2E1D043E"/>
    <w:rsid w:val="2E2C3CC9"/>
    <w:rsid w:val="2E2D39B2"/>
    <w:rsid w:val="2E3944DD"/>
    <w:rsid w:val="2E524DAC"/>
    <w:rsid w:val="2E553313"/>
    <w:rsid w:val="2E6C4C6B"/>
    <w:rsid w:val="2E760F81"/>
    <w:rsid w:val="2E7A64DB"/>
    <w:rsid w:val="2E7F0E45"/>
    <w:rsid w:val="2E816717"/>
    <w:rsid w:val="2EB750F8"/>
    <w:rsid w:val="2EB774D0"/>
    <w:rsid w:val="2ED62883"/>
    <w:rsid w:val="2EDD72E4"/>
    <w:rsid w:val="2EE04406"/>
    <w:rsid w:val="2EE461BC"/>
    <w:rsid w:val="2EE642AD"/>
    <w:rsid w:val="2F05447E"/>
    <w:rsid w:val="2F3E36CD"/>
    <w:rsid w:val="2F3F6D21"/>
    <w:rsid w:val="2F427B64"/>
    <w:rsid w:val="2F4438E1"/>
    <w:rsid w:val="2F6C766B"/>
    <w:rsid w:val="2F7A7771"/>
    <w:rsid w:val="2F842328"/>
    <w:rsid w:val="2F8E7570"/>
    <w:rsid w:val="2FA70B41"/>
    <w:rsid w:val="2FAE780E"/>
    <w:rsid w:val="2FE3603D"/>
    <w:rsid w:val="2FEA61C6"/>
    <w:rsid w:val="2FF46A33"/>
    <w:rsid w:val="30164ACC"/>
    <w:rsid w:val="301746AE"/>
    <w:rsid w:val="301A510E"/>
    <w:rsid w:val="30446691"/>
    <w:rsid w:val="304A340C"/>
    <w:rsid w:val="30536DA5"/>
    <w:rsid w:val="30555F0B"/>
    <w:rsid w:val="305B18F9"/>
    <w:rsid w:val="306675DB"/>
    <w:rsid w:val="306F4A5C"/>
    <w:rsid w:val="30704F1E"/>
    <w:rsid w:val="30B74EB9"/>
    <w:rsid w:val="30BE49D8"/>
    <w:rsid w:val="30D21B3B"/>
    <w:rsid w:val="31130579"/>
    <w:rsid w:val="31150AF7"/>
    <w:rsid w:val="312977F5"/>
    <w:rsid w:val="3140510D"/>
    <w:rsid w:val="31490B16"/>
    <w:rsid w:val="31500AF0"/>
    <w:rsid w:val="31606BA9"/>
    <w:rsid w:val="317A746C"/>
    <w:rsid w:val="317B5137"/>
    <w:rsid w:val="31A028FB"/>
    <w:rsid w:val="31B173FD"/>
    <w:rsid w:val="31B535AF"/>
    <w:rsid w:val="31E07E1A"/>
    <w:rsid w:val="31EA44FA"/>
    <w:rsid w:val="31F304A6"/>
    <w:rsid w:val="31F8681B"/>
    <w:rsid w:val="32091243"/>
    <w:rsid w:val="32236298"/>
    <w:rsid w:val="32294765"/>
    <w:rsid w:val="323B6914"/>
    <w:rsid w:val="327E7CD9"/>
    <w:rsid w:val="32A92512"/>
    <w:rsid w:val="32AA7A12"/>
    <w:rsid w:val="32B56E69"/>
    <w:rsid w:val="32E24572"/>
    <w:rsid w:val="32F445A5"/>
    <w:rsid w:val="32FC5FC6"/>
    <w:rsid w:val="33053A94"/>
    <w:rsid w:val="330F4401"/>
    <w:rsid w:val="331E1E02"/>
    <w:rsid w:val="33353215"/>
    <w:rsid w:val="33435036"/>
    <w:rsid w:val="33472431"/>
    <w:rsid w:val="335D7B29"/>
    <w:rsid w:val="336B0B61"/>
    <w:rsid w:val="338C3ABE"/>
    <w:rsid w:val="33A867A1"/>
    <w:rsid w:val="33BE0CB2"/>
    <w:rsid w:val="33C02706"/>
    <w:rsid w:val="33D21CA6"/>
    <w:rsid w:val="33E7235C"/>
    <w:rsid w:val="33F133C2"/>
    <w:rsid w:val="33F943AC"/>
    <w:rsid w:val="341548E7"/>
    <w:rsid w:val="34251F8E"/>
    <w:rsid w:val="343B5AF3"/>
    <w:rsid w:val="34435914"/>
    <w:rsid w:val="3457286D"/>
    <w:rsid w:val="345A7961"/>
    <w:rsid w:val="347A05C3"/>
    <w:rsid w:val="347E5080"/>
    <w:rsid w:val="348075DB"/>
    <w:rsid w:val="348D4D75"/>
    <w:rsid w:val="34902CE5"/>
    <w:rsid w:val="34965FFC"/>
    <w:rsid w:val="349E0792"/>
    <w:rsid w:val="34B475AD"/>
    <w:rsid w:val="34B862ED"/>
    <w:rsid w:val="34C1398D"/>
    <w:rsid w:val="34C63D5B"/>
    <w:rsid w:val="34D33C1F"/>
    <w:rsid w:val="34DB71D0"/>
    <w:rsid w:val="34E077DE"/>
    <w:rsid w:val="34EB3FFA"/>
    <w:rsid w:val="351529DC"/>
    <w:rsid w:val="351911D3"/>
    <w:rsid w:val="351C58FB"/>
    <w:rsid w:val="35240A2A"/>
    <w:rsid w:val="35493147"/>
    <w:rsid w:val="35572F42"/>
    <w:rsid w:val="35597C68"/>
    <w:rsid w:val="355F3871"/>
    <w:rsid w:val="35680A2A"/>
    <w:rsid w:val="35682CA4"/>
    <w:rsid w:val="356E5C0E"/>
    <w:rsid w:val="357375C4"/>
    <w:rsid w:val="357A743D"/>
    <w:rsid w:val="358B52B4"/>
    <w:rsid w:val="35990A65"/>
    <w:rsid w:val="359D6299"/>
    <w:rsid w:val="35A6171B"/>
    <w:rsid w:val="35A82F5F"/>
    <w:rsid w:val="35B603F5"/>
    <w:rsid w:val="35CC2089"/>
    <w:rsid w:val="35EF1F65"/>
    <w:rsid w:val="35EF4E9F"/>
    <w:rsid w:val="35FA7C22"/>
    <w:rsid w:val="36011B96"/>
    <w:rsid w:val="360757D2"/>
    <w:rsid w:val="360D3064"/>
    <w:rsid w:val="3652616D"/>
    <w:rsid w:val="366046B9"/>
    <w:rsid w:val="366135C0"/>
    <w:rsid w:val="36671AA6"/>
    <w:rsid w:val="366A5627"/>
    <w:rsid w:val="36710AA2"/>
    <w:rsid w:val="36AC26B2"/>
    <w:rsid w:val="36C81B5B"/>
    <w:rsid w:val="36CA4796"/>
    <w:rsid w:val="36D305E5"/>
    <w:rsid w:val="36EA7FF2"/>
    <w:rsid w:val="36F11D9A"/>
    <w:rsid w:val="37017235"/>
    <w:rsid w:val="370B4CB3"/>
    <w:rsid w:val="373D169F"/>
    <w:rsid w:val="374E143A"/>
    <w:rsid w:val="375145A6"/>
    <w:rsid w:val="37522485"/>
    <w:rsid w:val="37613C52"/>
    <w:rsid w:val="376D6E4F"/>
    <w:rsid w:val="376F2885"/>
    <w:rsid w:val="377835C6"/>
    <w:rsid w:val="37DD1744"/>
    <w:rsid w:val="37DD7F51"/>
    <w:rsid w:val="37F25243"/>
    <w:rsid w:val="380255AF"/>
    <w:rsid w:val="382C7212"/>
    <w:rsid w:val="38333626"/>
    <w:rsid w:val="383F0981"/>
    <w:rsid w:val="384E441A"/>
    <w:rsid w:val="38506C2F"/>
    <w:rsid w:val="38803B23"/>
    <w:rsid w:val="38877CF7"/>
    <w:rsid w:val="388E389A"/>
    <w:rsid w:val="38961914"/>
    <w:rsid w:val="38AF3010"/>
    <w:rsid w:val="38D822E9"/>
    <w:rsid w:val="38DD6A3B"/>
    <w:rsid w:val="38E03474"/>
    <w:rsid w:val="38E2286A"/>
    <w:rsid w:val="38E32D4B"/>
    <w:rsid w:val="38E94228"/>
    <w:rsid w:val="38F45BAD"/>
    <w:rsid w:val="39051B96"/>
    <w:rsid w:val="39090EB2"/>
    <w:rsid w:val="390A09B4"/>
    <w:rsid w:val="390B2C76"/>
    <w:rsid w:val="391644FB"/>
    <w:rsid w:val="39257351"/>
    <w:rsid w:val="392F0F3D"/>
    <w:rsid w:val="39322F95"/>
    <w:rsid w:val="393578EF"/>
    <w:rsid w:val="39430A5E"/>
    <w:rsid w:val="39436B1B"/>
    <w:rsid w:val="39602F23"/>
    <w:rsid w:val="396B58C4"/>
    <w:rsid w:val="397B0BB4"/>
    <w:rsid w:val="399B3376"/>
    <w:rsid w:val="39A64195"/>
    <w:rsid w:val="39AF1465"/>
    <w:rsid w:val="39C04E20"/>
    <w:rsid w:val="39CA3463"/>
    <w:rsid w:val="39CF6662"/>
    <w:rsid w:val="39DA6F82"/>
    <w:rsid w:val="39E11825"/>
    <w:rsid w:val="39E34201"/>
    <w:rsid w:val="39E80849"/>
    <w:rsid w:val="39F2252B"/>
    <w:rsid w:val="3A0E5A41"/>
    <w:rsid w:val="3A2175BE"/>
    <w:rsid w:val="3A2436D1"/>
    <w:rsid w:val="3A2A7F00"/>
    <w:rsid w:val="3A593D19"/>
    <w:rsid w:val="3A6A27D7"/>
    <w:rsid w:val="3ABC09E4"/>
    <w:rsid w:val="3AC12C28"/>
    <w:rsid w:val="3AC407C9"/>
    <w:rsid w:val="3AC86569"/>
    <w:rsid w:val="3ADD1A06"/>
    <w:rsid w:val="3AED0A0F"/>
    <w:rsid w:val="3AF06CC1"/>
    <w:rsid w:val="3B09581A"/>
    <w:rsid w:val="3B183E18"/>
    <w:rsid w:val="3B2035BA"/>
    <w:rsid w:val="3B215631"/>
    <w:rsid w:val="3B2D6711"/>
    <w:rsid w:val="3B51309B"/>
    <w:rsid w:val="3B6F2AF7"/>
    <w:rsid w:val="3B842F2C"/>
    <w:rsid w:val="3B883403"/>
    <w:rsid w:val="3B954F85"/>
    <w:rsid w:val="3B9C0E95"/>
    <w:rsid w:val="3BA96A60"/>
    <w:rsid w:val="3BB47304"/>
    <w:rsid w:val="3BBD0AD4"/>
    <w:rsid w:val="3BFD5C4B"/>
    <w:rsid w:val="3BFE5D03"/>
    <w:rsid w:val="3C0248C3"/>
    <w:rsid w:val="3C072215"/>
    <w:rsid w:val="3C167592"/>
    <w:rsid w:val="3C170EB9"/>
    <w:rsid w:val="3C250799"/>
    <w:rsid w:val="3C276162"/>
    <w:rsid w:val="3C2A1D4A"/>
    <w:rsid w:val="3C2B1BD6"/>
    <w:rsid w:val="3C2C17DF"/>
    <w:rsid w:val="3C396A58"/>
    <w:rsid w:val="3C432995"/>
    <w:rsid w:val="3C663D83"/>
    <w:rsid w:val="3C714A0F"/>
    <w:rsid w:val="3C762FBC"/>
    <w:rsid w:val="3C80126B"/>
    <w:rsid w:val="3C9108DC"/>
    <w:rsid w:val="3CA427D7"/>
    <w:rsid w:val="3CA431D4"/>
    <w:rsid w:val="3CA86B29"/>
    <w:rsid w:val="3CAC710F"/>
    <w:rsid w:val="3CBD03A6"/>
    <w:rsid w:val="3CDC27C9"/>
    <w:rsid w:val="3CE068D8"/>
    <w:rsid w:val="3CF21AEE"/>
    <w:rsid w:val="3D0A22D5"/>
    <w:rsid w:val="3D0B5F2D"/>
    <w:rsid w:val="3D114B5C"/>
    <w:rsid w:val="3D133607"/>
    <w:rsid w:val="3D193B16"/>
    <w:rsid w:val="3D2C2175"/>
    <w:rsid w:val="3D3F2810"/>
    <w:rsid w:val="3D484D37"/>
    <w:rsid w:val="3D495DF7"/>
    <w:rsid w:val="3D504798"/>
    <w:rsid w:val="3D851633"/>
    <w:rsid w:val="3D875BB8"/>
    <w:rsid w:val="3DBF1661"/>
    <w:rsid w:val="3DF07CB2"/>
    <w:rsid w:val="3E051FCE"/>
    <w:rsid w:val="3E1756B6"/>
    <w:rsid w:val="3E1920C0"/>
    <w:rsid w:val="3E2048C2"/>
    <w:rsid w:val="3E28471D"/>
    <w:rsid w:val="3E42659A"/>
    <w:rsid w:val="3E4C632F"/>
    <w:rsid w:val="3E5D6A46"/>
    <w:rsid w:val="3E5E3BF8"/>
    <w:rsid w:val="3E5F70CE"/>
    <w:rsid w:val="3E610DA9"/>
    <w:rsid w:val="3E645172"/>
    <w:rsid w:val="3E701062"/>
    <w:rsid w:val="3E77442B"/>
    <w:rsid w:val="3E981358"/>
    <w:rsid w:val="3EAC39B4"/>
    <w:rsid w:val="3EC11BF7"/>
    <w:rsid w:val="3EC13CE7"/>
    <w:rsid w:val="3EF169DA"/>
    <w:rsid w:val="3EF93089"/>
    <w:rsid w:val="3F0E4239"/>
    <w:rsid w:val="3F127531"/>
    <w:rsid w:val="3F2B4E96"/>
    <w:rsid w:val="3F3A7BF4"/>
    <w:rsid w:val="3F4C6C3F"/>
    <w:rsid w:val="3F507482"/>
    <w:rsid w:val="3F5661ED"/>
    <w:rsid w:val="3F5A10E3"/>
    <w:rsid w:val="3F5C181E"/>
    <w:rsid w:val="3F6263C0"/>
    <w:rsid w:val="3F6F78D3"/>
    <w:rsid w:val="3F700303"/>
    <w:rsid w:val="3F755AF4"/>
    <w:rsid w:val="3F7A035D"/>
    <w:rsid w:val="3F7A4AAC"/>
    <w:rsid w:val="3F7F2AED"/>
    <w:rsid w:val="3F8568C6"/>
    <w:rsid w:val="3F895D56"/>
    <w:rsid w:val="3FAA1713"/>
    <w:rsid w:val="3FAF7F99"/>
    <w:rsid w:val="3FBE325D"/>
    <w:rsid w:val="3FC24EFB"/>
    <w:rsid w:val="3FC42D5D"/>
    <w:rsid w:val="3FC470DF"/>
    <w:rsid w:val="3FDD44BD"/>
    <w:rsid w:val="3FEE70B9"/>
    <w:rsid w:val="4016105A"/>
    <w:rsid w:val="404126D4"/>
    <w:rsid w:val="4044028D"/>
    <w:rsid w:val="40502BEC"/>
    <w:rsid w:val="40507088"/>
    <w:rsid w:val="40511B29"/>
    <w:rsid w:val="40525CFA"/>
    <w:rsid w:val="405666DE"/>
    <w:rsid w:val="405A164D"/>
    <w:rsid w:val="405A2653"/>
    <w:rsid w:val="40622EEA"/>
    <w:rsid w:val="407D09B4"/>
    <w:rsid w:val="40892F96"/>
    <w:rsid w:val="408E1F25"/>
    <w:rsid w:val="409D774F"/>
    <w:rsid w:val="40A22DA0"/>
    <w:rsid w:val="40A354E5"/>
    <w:rsid w:val="40B03322"/>
    <w:rsid w:val="40C444B5"/>
    <w:rsid w:val="4109777D"/>
    <w:rsid w:val="411F6223"/>
    <w:rsid w:val="41390C96"/>
    <w:rsid w:val="413B683F"/>
    <w:rsid w:val="41466C95"/>
    <w:rsid w:val="414B6987"/>
    <w:rsid w:val="4158647C"/>
    <w:rsid w:val="415F77BE"/>
    <w:rsid w:val="416140A9"/>
    <w:rsid w:val="416B0B98"/>
    <w:rsid w:val="4175321B"/>
    <w:rsid w:val="418F78FA"/>
    <w:rsid w:val="4195768D"/>
    <w:rsid w:val="41A605D0"/>
    <w:rsid w:val="41CA3305"/>
    <w:rsid w:val="41CC6A6E"/>
    <w:rsid w:val="41D46746"/>
    <w:rsid w:val="41E50241"/>
    <w:rsid w:val="41ED6B4B"/>
    <w:rsid w:val="41F26C34"/>
    <w:rsid w:val="42065175"/>
    <w:rsid w:val="42203DE5"/>
    <w:rsid w:val="423339AE"/>
    <w:rsid w:val="42400071"/>
    <w:rsid w:val="42400975"/>
    <w:rsid w:val="42623E1B"/>
    <w:rsid w:val="42702AE2"/>
    <w:rsid w:val="427A3AB6"/>
    <w:rsid w:val="427B2568"/>
    <w:rsid w:val="427B6090"/>
    <w:rsid w:val="427C658F"/>
    <w:rsid w:val="428A5209"/>
    <w:rsid w:val="42A15C50"/>
    <w:rsid w:val="42A32E9D"/>
    <w:rsid w:val="42A37451"/>
    <w:rsid w:val="42AA632B"/>
    <w:rsid w:val="42AE7F37"/>
    <w:rsid w:val="42B9327D"/>
    <w:rsid w:val="42CC28E0"/>
    <w:rsid w:val="42FB67F0"/>
    <w:rsid w:val="43037BB1"/>
    <w:rsid w:val="4308583C"/>
    <w:rsid w:val="43346E69"/>
    <w:rsid w:val="433E40E3"/>
    <w:rsid w:val="434C25F0"/>
    <w:rsid w:val="434D4AE8"/>
    <w:rsid w:val="43512BF1"/>
    <w:rsid w:val="435448CE"/>
    <w:rsid w:val="43572820"/>
    <w:rsid w:val="43617131"/>
    <w:rsid w:val="43633FF9"/>
    <w:rsid w:val="436B0A40"/>
    <w:rsid w:val="43715519"/>
    <w:rsid w:val="437B5074"/>
    <w:rsid w:val="437E400B"/>
    <w:rsid w:val="438F344E"/>
    <w:rsid w:val="439637CB"/>
    <w:rsid w:val="43993698"/>
    <w:rsid w:val="43B31196"/>
    <w:rsid w:val="43B62342"/>
    <w:rsid w:val="43BB720C"/>
    <w:rsid w:val="43BC335F"/>
    <w:rsid w:val="43C92B32"/>
    <w:rsid w:val="43DF5027"/>
    <w:rsid w:val="43EB7ACC"/>
    <w:rsid w:val="43F82A86"/>
    <w:rsid w:val="43FC1AB4"/>
    <w:rsid w:val="442A1993"/>
    <w:rsid w:val="442F4C28"/>
    <w:rsid w:val="44402F95"/>
    <w:rsid w:val="4476180F"/>
    <w:rsid w:val="447D407D"/>
    <w:rsid w:val="44830531"/>
    <w:rsid w:val="448A0E5D"/>
    <w:rsid w:val="449D45F7"/>
    <w:rsid w:val="44A435AA"/>
    <w:rsid w:val="44A872EC"/>
    <w:rsid w:val="44A91136"/>
    <w:rsid w:val="44C07EB7"/>
    <w:rsid w:val="44C41CD0"/>
    <w:rsid w:val="44EB55BF"/>
    <w:rsid w:val="44F34F27"/>
    <w:rsid w:val="4516216D"/>
    <w:rsid w:val="451F0B3D"/>
    <w:rsid w:val="452A57C8"/>
    <w:rsid w:val="452D2698"/>
    <w:rsid w:val="453E5D7D"/>
    <w:rsid w:val="454E3658"/>
    <w:rsid w:val="45836B41"/>
    <w:rsid w:val="45AF39EC"/>
    <w:rsid w:val="45BA3A93"/>
    <w:rsid w:val="45CD65C9"/>
    <w:rsid w:val="45D06AB0"/>
    <w:rsid w:val="45D32B9D"/>
    <w:rsid w:val="45D51F09"/>
    <w:rsid w:val="45E335B5"/>
    <w:rsid w:val="46072FDC"/>
    <w:rsid w:val="460B44C8"/>
    <w:rsid w:val="46136A51"/>
    <w:rsid w:val="46144FA7"/>
    <w:rsid w:val="461F3C01"/>
    <w:rsid w:val="462D4AD7"/>
    <w:rsid w:val="463E6D3E"/>
    <w:rsid w:val="46566AA9"/>
    <w:rsid w:val="46661558"/>
    <w:rsid w:val="466A3548"/>
    <w:rsid w:val="466C4AED"/>
    <w:rsid w:val="46967F5B"/>
    <w:rsid w:val="46B05B1F"/>
    <w:rsid w:val="46B35E11"/>
    <w:rsid w:val="46BA27BC"/>
    <w:rsid w:val="46BC6770"/>
    <w:rsid w:val="46CF7E90"/>
    <w:rsid w:val="46D13DB8"/>
    <w:rsid w:val="46F51685"/>
    <w:rsid w:val="47240834"/>
    <w:rsid w:val="47322080"/>
    <w:rsid w:val="47546CCD"/>
    <w:rsid w:val="475567CD"/>
    <w:rsid w:val="475B3DA3"/>
    <w:rsid w:val="478039D4"/>
    <w:rsid w:val="479E642E"/>
    <w:rsid w:val="47A20A59"/>
    <w:rsid w:val="47B5458F"/>
    <w:rsid w:val="47C1238D"/>
    <w:rsid w:val="47CB0AA5"/>
    <w:rsid w:val="47E246F7"/>
    <w:rsid w:val="47E76F91"/>
    <w:rsid w:val="47FF0DAF"/>
    <w:rsid w:val="48030380"/>
    <w:rsid w:val="48185A6B"/>
    <w:rsid w:val="48273A4D"/>
    <w:rsid w:val="483F2C13"/>
    <w:rsid w:val="48490C72"/>
    <w:rsid w:val="484A471E"/>
    <w:rsid w:val="485162E7"/>
    <w:rsid w:val="48560B58"/>
    <w:rsid w:val="48615205"/>
    <w:rsid w:val="486B3599"/>
    <w:rsid w:val="486F3FB1"/>
    <w:rsid w:val="487452ED"/>
    <w:rsid w:val="48936FC5"/>
    <w:rsid w:val="489414DE"/>
    <w:rsid w:val="48A61185"/>
    <w:rsid w:val="48C34DDE"/>
    <w:rsid w:val="48D17B15"/>
    <w:rsid w:val="48F814A8"/>
    <w:rsid w:val="48F9195F"/>
    <w:rsid w:val="491171A1"/>
    <w:rsid w:val="491E08A2"/>
    <w:rsid w:val="4927647B"/>
    <w:rsid w:val="49283B8D"/>
    <w:rsid w:val="492C5797"/>
    <w:rsid w:val="495013A9"/>
    <w:rsid w:val="495F48E7"/>
    <w:rsid w:val="49804F41"/>
    <w:rsid w:val="49882C25"/>
    <w:rsid w:val="499C2D6D"/>
    <w:rsid w:val="49B6004B"/>
    <w:rsid w:val="49BF7880"/>
    <w:rsid w:val="49C82B49"/>
    <w:rsid w:val="49D56C49"/>
    <w:rsid w:val="49D855C7"/>
    <w:rsid w:val="49EC4258"/>
    <w:rsid w:val="49F80512"/>
    <w:rsid w:val="4A0D0B6F"/>
    <w:rsid w:val="4A21436D"/>
    <w:rsid w:val="4A263F01"/>
    <w:rsid w:val="4A30391F"/>
    <w:rsid w:val="4A4658CB"/>
    <w:rsid w:val="4A466F69"/>
    <w:rsid w:val="4A4C1CC9"/>
    <w:rsid w:val="4A7F1D52"/>
    <w:rsid w:val="4A854E3F"/>
    <w:rsid w:val="4AAB146E"/>
    <w:rsid w:val="4AB1692B"/>
    <w:rsid w:val="4AED724C"/>
    <w:rsid w:val="4AF850BA"/>
    <w:rsid w:val="4AFB4F34"/>
    <w:rsid w:val="4AFF0D6E"/>
    <w:rsid w:val="4B130467"/>
    <w:rsid w:val="4B1338CC"/>
    <w:rsid w:val="4B172B12"/>
    <w:rsid w:val="4B262EBA"/>
    <w:rsid w:val="4B3F1EC7"/>
    <w:rsid w:val="4B531F8D"/>
    <w:rsid w:val="4B662E8B"/>
    <w:rsid w:val="4B82772E"/>
    <w:rsid w:val="4B8D450C"/>
    <w:rsid w:val="4B913D43"/>
    <w:rsid w:val="4B943B21"/>
    <w:rsid w:val="4B99555D"/>
    <w:rsid w:val="4BAB096B"/>
    <w:rsid w:val="4BAF7E06"/>
    <w:rsid w:val="4BBB3716"/>
    <w:rsid w:val="4BD46636"/>
    <w:rsid w:val="4BEE45CB"/>
    <w:rsid w:val="4C082496"/>
    <w:rsid w:val="4C08678F"/>
    <w:rsid w:val="4C1B5AC4"/>
    <w:rsid w:val="4C396B73"/>
    <w:rsid w:val="4C426781"/>
    <w:rsid w:val="4C4C5496"/>
    <w:rsid w:val="4C4F154F"/>
    <w:rsid w:val="4C6A1CEF"/>
    <w:rsid w:val="4C6C3432"/>
    <w:rsid w:val="4C854697"/>
    <w:rsid w:val="4C8C21FB"/>
    <w:rsid w:val="4C907331"/>
    <w:rsid w:val="4C9D08B4"/>
    <w:rsid w:val="4CA66198"/>
    <w:rsid w:val="4CAA102F"/>
    <w:rsid w:val="4CB14655"/>
    <w:rsid w:val="4CB33E17"/>
    <w:rsid w:val="4CC80B92"/>
    <w:rsid w:val="4CC92C3A"/>
    <w:rsid w:val="4CE01489"/>
    <w:rsid w:val="4CEB74B6"/>
    <w:rsid w:val="4CF50A59"/>
    <w:rsid w:val="4CF8202F"/>
    <w:rsid w:val="4CFD4AAA"/>
    <w:rsid w:val="4D182801"/>
    <w:rsid w:val="4D1836FB"/>
    <w:rsid w:val="4D1C521B"/>
    <w:rsid w:val="4D441013"/>
    <w:rsid w:val="4D533AAF"/>
    <w:rsid w:val="4D79073E"/>
    <w:rsid w:val="4D7B0185"/>
    <w:rsid w:val="4D9E34B9"/>
    <w:rsid w:val="4DAC7F99"/>
    <w:rsid w:val="4DBF6851"/>
    <w:rsid w:val="4DC90683"/>
    <w:rsid w:val="4DC94ACF"/>
    <w:rsid w:val="4DE047C5"/>
    <w:rsid w:val="4DE54991"/>
    <w:rsid w:val="4DF05258"/>
    <w:rsid w:val="4E0571E8"/>
    <w:rsid w:val="4E062723"/>
    <w:rsid w:val="4E252D2A"/>
    <w:rsid w:val="4E3F795C"/>
    <w:rsid w:val="4E40707C"/>
    <w:rsid w:val="4E42373A"/>
    <w:rsid w:val="4E507D99"/>
    <w:rsid w:val="4E866E0A"/>
    <w:rsid w:val="4E8D2056"/>
    <w:rsid w:val="4EBB286E"/>
    <w:rsid w:val="4ED21F42"/>
    <w:rsid w:val="4EE07940"/>
    <w:rsid w:val="4EF647A8"/>
    <w:rsid w:val="4F093E78"/>
    <w:rsid w:val="4F1D2082"/>
    <w:rsid w:val="4F1E444B"/>
    <w:rsid w:val="4F280A7B"/>
    <w:rsid w:val="4F2B223C"/>
    <w:rsid w:val="4F2C416E"/>
    <w:rsid w:val="4F302AFD"/>
    <w:rsid w:val="4F356C08"/>
    <w:rsid w:val="4F3B0396"/>
    <w:rsid w:val="4F4D0E89"/>
    <w:rsid w:val="4F5464CE"/>
    <w:rsid w:val="4F55307E"/>
    <w:rsid w:val="4F6F5219"/>
    <w:rsid w:val="4F86245D"/>
    <w:rsid w:val="4F8C427A"/>
    <w:rsid w:val="4F8E4B27"/>
    <w:rsid w:val="4F907AA4"/>
    <w:rsid w:val="4FA60918"/>
    <w:rsid w:val="4FB476B5"/>
    <w:rsid w:val="4FBB1DA4"/>
    <w:rsid w:val="4FBC4BF4"/>
    <w:rsid w:val="4FD65B1E"/>
    <w:rsid w:val="50051405"/>
    <w:rsid w:val="500832F8"/>
    <w:rsid w:val="501136F0"/>
    <w:rsid w:val="502256AD"/>
    <w:rsid w:val="50247690"/>
    <w:rsid w:val="504215FA"/>
    <w:rsid w:val="50451DB7"/>
    <w:rsid w:val="504B791D"/>
    <w:rsid w:val="508F60CA"/>
    <w:rsid w:val="50981162"/>
    <w:rsid w:val="50BC7B28"/>
    <w:rsid w:val="50C06385"/>
    <w:rsid w:val="50CE6418"/>
    <w:rsid w:val="50D40BCA"/>
    <w:rsid w:val="50D70E9D"/>
    <w:rsid w:val="50DE4848"/>
    <w:rsid w:val="50F35D93"/>
    <w:rsid w:val="50FA44CD"/>
    <w:rsid w:val="510036F5"/>
    <w:rsid w:val="5105303B"/>
    <w:rsid w:val="51114085"/>
    <w:rsid w:val="511216F1"/>
    <w:rsid w:val="512A1CE3"/>
    <w:rsid w:val="514516F1"/>
    <w:rsid w:val="51545650"/>
    <w:rsid w:val="515F1555"/>
    <w:rsid w:val="516E7D73"/>
    <w:rsid w:val="51746D8E"/>
    <w:rsid w:val="517805B0"/>
    <w:rsid w:val="5180209A"/>
    <w:rsid w:val="51897721"/>
    <w:rsid w:val="519667AD"/>
    <w:rsid w:val="51973EE4"/>
    <w:rsid w:val="51A84D41"/>
    <w:rsid w:val="51AA2482"/>
    <w:rsid w:val="51B1317F"/>
    <w:rsid w:val="51C23429"/>
    <w:rsid w:val="51DB1E92"/>
    <w:rsid w:val="51DB6A31"/>
    <w:rsid w:val="51E14E39"/>
    <w:rsid w:val="51E7696D"/>
    <w:rsid w:val="51ED757F"/>
    <w:rsid w:val="52150A7D"/>
    <w:rsid w:val="521A7507"/>
    <w:rsid w:val="52414306"/>
    <w:rsid w:val="52457AEB"/>
    <w:rsid w:val="52564EE5"/>
    <w:rsid w:val="52666F95"/>
    <w:rsid w:val="526763FB"/>
    <w:rsid w:val="52741EC2"/>
    <w:rsid w:val="52961599"/>
    <w:rsid w:val="52985707"/>
    <w:rsid w:val="532E748D"/>
    <w:rsid w:val="53336AAE"/>
    <w:rsid w:val="533A136C"/>
    <w:rsid w:val="534333C5"/>
    <w:rsid w:val="53480B19"/>
    <w:rsid w:val="5355264E"/>
    <w:rsid w:val="53552833"/>
    <w:rsid w:val="535F22BA"/>
    <w:rsid w:val="535F2BBA"/>
    <w:rsid w:val="53672943"/>
    <w:rsid w:val="537153F1"/>
    <w:rsid w:val="537C67BA"/>
    <w:rsid w:val="539B7315"/>
    <w:rsid w:val="539F71DB"/>
    <w:rsid w:val="53AF337A"/>
    <w:rsid w:val="53B26284"/>
    <w:rsid w:val="53B759F4"/>
    <w:rsid w:val="53B82303"/>
    <w:rsid w:val="53D225A4"/>
    <w:rsid w:val="53DF4479"/>
    <w:rsid w:val="54157C9B"/>
    <w:rsid w:val="54186AD3"/>
    <w:rsid w:val="54371F77"/>
    <w:rsid w:val="543B112A"/>
    <w:rsid w:val="544A4D29"/>
    <w:rsid w:val="544B7CE0"/>
    <w:rsid w:val="54547B86"/>
    <w:rsid w:val="545E0121"/>
    <w:rsid w:val="546A3396"/>
    <w:rsid w:val="54760B52"/>
    <w:rsid w:val="5481317B"/>
    <w:rsid w:val="5488216F"/>
    <w:rsid w:val="548F4C36"/>
    <w:rsid w:val="5494027A"/>
    <w:rsid w:val="54A21918"/>
    <w:rsid w:val="54AA76FF"/>
    <w:rsid w:val="54AD5A10"/>
    <w:rsid w:val="54B92F65"/>
    <w:rsid w:val="54BE694D"/>
    <w:rsid w:val="54D61114"/>
    <w:rsid w:val="54D614E8"/>
    <w:rsid w:val="54DA00AC"/>
    <w:rsid w:val="54DE5937"/>
    <w:rsid w:val="54E05AE9"/>
    <w:rsid w:val="54E82ECC"/>
    <w:rsid w:val="54FB3C17"/>
    <w:rsid w:val="55220DA5"/>
    <w:rsid w:val="55272CCA"/>
    <w:rsid w:val="552B579B"/>
    <w:rsid w:val="55487F01"/>
    <w:rsid w:val="555C6E60"/>
    <w:rsid w:val="556B7BE3"/>
    <w:rsid w:val="556E398A"/>
    <w:rsid w:val="558114B8"/>
    <w:rsid w:val="55813D78"/>
    <w:rsid w:val="55910F8E"/>
    <w:rsid w:val="5592346B"/>
    <w:rsid w:val="559B4B26"/>
    <w:rsid w:val="55AB500F"/>
    <w:rsid w:val="55B256C0"/>
    <w:rsid w:val="55BD2995"/>
    <w:rsid w:val="55C73811"/>
    <w:rsid w:val="55DF79E5"/>
    <w:rsid w:val="55EC71AA"/>
    <w:rsid w:val="560A6D02"/>
    <w:rsid w:val="5611384C"/>
    <w:rsid w:val="561B28DD"/>
    <w:rsid w:val="561D05FE"/>
    <w:rsid w:val="5635520A"/>
    <w:rsid w:val="564846E1"/>
    <w:rsid w:val="566056C5"/>
    <w:rsid w:val="56641FF0"/>
    <w:rsid w:val="566C0CDE"/>
    <w:rsid w:val="567421A7"/>
    <w:rsid w:val="567F34E2"/>
    <w:rsid w:val="56840D14"/>
    <w:rsid w:val="568868CC"/>
    <w:rsid w:val="56933527"/>
    <w:rsid w:val="56993C32"/>
    <w:rsid w:val="56994311"/>
    <w:rsid w:val="569C4AD4"/>
    <w:rsid w:val="56A90562"/>
    <w:rsid w:val="56AD325A"/>
    <w:rsid w:val="56AD47B1"/>
    <w:rsid w:val="56B913AD"/>
    <w:rsid w:val="56DA0859"/>
    <w:rsid w:val="56DC35DD"/>
    <w:rsid w:val="56E17318"/>
    <w:rsid w:val="56FD590E"/>
    <w:rsid w:val="56FE257B"/>
    <w:rsid w:val="57036880"/>
    <w:rsid w:val="57273753"/>
    <w:rsid w:val="57305E26"/>
    <w:rsid w:val="57314C5A"/>
    <w:rsid w:val="57330863"/>
    <w:rsid w:val="574A5794"/>
    <w:rsid w:val="57555B5F"/>
    <w:rsid w:val="575A261C"/>
    <w:rsid w:val="5767545D"/>
    <w:rsid w:val="57926AA1"/>
    <w:rsid w:val="57A6426A"/>
    <w:rsid w:val="57A664DC"/>
    <w:rsid w:val="57BB5C52"/>
    <w:rsid w:val="57C05FDC"/>
    <w:rsid w:val="57E01724"/>
    <w:rsid w:val="57F307C1"/>
    <w:rsid w:val="57FA2BAA"/>
    <w:rsid w:val="57FA43F1"/>
    <w:rsid w:val="57FD5624"/>
    <w:rsid w:val="580162E5"/>
    <w:rsid w:val="58041F34"/>
    <w:rsid w:val="5815497A"/>
    <w:rsid w:val="581C6799"/>
    <w:rsid w:val="58327181"/>
    <w:rsid w:val="585D149C"/>
    <w:rsid w:val="586621B6"/>
    <w:rsid w:val="589B11CE"/>
    <w:rsid w:val="589C683B"/>
    <w:rsid w:val="58A43091"/>
    <w:rsid w:val="58B9588A"/>
    <w:rsid w:val="58C14572"/>
    <w:rsid w:val="58C73AD7"/>
    <w:rsid w:val="58DA2920"/>
    <w:rsid w:val="58EA0BC9"/>
    <w:rsid w:val="58F020A3"/>
    <w:rsid w:val="58FB332B"/>
    <w:rsid w:val="58FD073F"/>
    <w:rsid w:val="59017975"/>
    <w:rsid w:val="59540A82"/>
    <w:rsid w:val="59594578"/>
    <w:rsid w:val="59631729"/>
    <w:rsid w:val="598A7A09"/>
    <w:rsid w:val="59B33075"/>
    <w:rsid w:val="59B63D96"/>
    <w:rsid w:val="59C13ED2"/>
    <w:rsid w:val="59E6253A"/>
    <w:rsid w:val="59E7033F"/>
    <w:rsid w:val="59F50F14"/>
    <w:rsid w:val="5A0354F7"/>
    <w:rsid w:val="5A1E5359"/>
    <w:rsid w:val="5A291824"/>
    <w:rsid w:val="5A344ECC"/>
    <w:rsid w:val="5A390B46"/>
    <w:rsid w:val="5A492723"/>
    <w:rsid w:val="5A5D684E"/>
    <w:rsid w:val="5A5D74BC"/>
    <w:rsid w:val="5A7C5C8F"/>
    <w:rsid w:val="5A90403D"/>
    <w:rsid w:val="5A9D71ED"/>
    <w:rsid w:val="5AA2571A"/>
    <w:rsid w:val="5AB04EDE"/>
    <w:rsid w:val="5AC64C86"/>
    <w:rsid w:val="5ACF4A76"/>
    <w:rsid w:val="5AD51064"/>
    <w:rsid w:val="5ADE295C"/>
    <w:rsid w:val="5AE900E2"/>
    <w:rsid w:val="5AF8170C"/>
    <w:rsid w:val="5AF863F7"/>
    <w:rsid w:val="5B05555C"/>
    <w:rsid w:val="5B0D78F4"/>
    <w:rsid w:val="5B1649CC"/>
    <w:rsid w:val="5B244DD8"/>
    <w:rsid w:val="5B2717CA"/>
    <w:rsid w:val="5B294FCC"/>
    <w:rsid w:val="5B295890"/>
    <w:rsid w:val="5B2E4556"/>
    <w:rsid w:val="5B33002E"/>
    <w:rsid w:val="5B3879B9"/>
    <w:rsid w:val="5B436EF0"/>
    <w:rsid w:val="5B4D2B80"/>
    <w:rsid w:val="5B550806"/>
    <w:rsid w:val="5B893F6C"/>
    <w:rsid w:val="5B9F1B41"/>
    <w:rsid w:val="5BA37F28"/>
    <w:rsid w:val="5BAE24A8"/>
    <w:rsid w:val="5BB117B1"/>
    <w:rsid w:val="5BC21E99"/>
    <w:rsid w:val="5BC51BF0"/>
    <w:rsid w:val="5BCF26D8"/>
    <w:rsid w:val="5BEF549D"/>
    <w:rsid w:val="5C0B7CEE"/>
    <w:rsid w:val="5C2F6B0E"/>
    <w:rsid w:val="5C44015E"/>
    <w:rsid w:val="5C4D41F0"/>
    <w:rsid w:val="5C554BC5"/>
    <w:rsid w:val="5C5E67FA"/>
    <w:rsid w:val="5C7D3D43"/>
    <w:rsid w:val="5C882C4F"/>
    <w:rsid w:val="5C891791"/>
    <w:rsid w:val="5C8962BA"/>
    <w:rsid w:val="5CA70B0A"/>
    <w:rsid w:val="5CBD523A"/>
    <w:rsid w:val="5CCD31A9"/>
    <w:rsid w:val="5CD2475E"/>
    <w:rsid w:val="5CE93A12"/>
    <w:rsid w:val="5CF86CAE"/>
    <w:rsid w:val="5D0B3776"/>
    <w:rsid w:val="5D2C6AEB"/>
    <w:rsid w:val="5D443020"/>
    <w:rsid w:val="5D47572E"/>
    <w:rsid w:val="5D485FD5"/>
    <w:rsid w:val="5D487E79"/>
    <w:rsid w:val="5D516A2D"/>
    <w:rsid w:val="5D65410C"/>
    <w:rsid w:val="5D6C5E39"/>
    <w:rsid w:val="5D71281A"/>
    <w:rsid w:val="5D7D662C"/>
    <w:rsid w:val="5D954FBB"/>
    <w:rsid w:val="5DB06C95"/>
    <w:rsid w:val="5DDC7D5E"/>
    <w:rsid w:val="5DE847B7"/>
    <w:rsid w:val="5DF01F76"/>
    <w:rsid w:val="5E0779FA"/>
    <w:rsid w:val="5E1D5BB1"/>
    <w:rsid w:val="5E1D5F77"/>
    <w:rsid w:val="5E234035"/>
    <w:rsid w:val="5E2911D4"/>
    <w:rsid w:val="5E4F7B9F"/>
    <w:rsid w:val="5E5D1A5A"/>
    <w:rsid w:val="5E751A3D"/>
    <w:rsid w:val="5E7762CF"/>
    <w:rsid w:val="5E8460C1"/>
    <w:rsid w:val="5EB1688A"/>
    <w:rsid w:val="5EBF574D"/>
    <w:rsid w:val="5EC9135A"/>
    <w:rsid w:val="5ED14E5B"/>
    <w:rsid w:val="5EF04B7B"/>
    <w:rsid w:val="5EFF3DE0"/>
    <w:rsid w:val="5F007B24"/>
    <w:rsid w:val="5F106EAF"/>
    <w:rsid w:val="5F283CA5"/>
    <w:rsid w:val="5F305F32"/>
    <w:rsid w:val="5F425A26"/>
    <w:rsid w:val="5F4E3CB5"/>
    <w:rsid w:val="5F7563E8"/>
    <w:rsid w:val="5F7D1E64"/>
    <w:rsid w:val="5F9374D0"/>
    <w:rsid w:val="5FB22741"/>
    <w:rsid w:val="5FD70C25"/>
    <w:rsid w:val="5FDA48B5"/>
    <w:rsid w:val="5FE25384"/>
    <w:rsid w:val="5FE539C8"/>
    <w:rsid w:val="5FE875BC"/>
    <w:rsid w:val="60671E65"/>
    <w:rsid w:val="607562A7"/>
    <w:rsid w:val="60785778"/>
    <w:rsid w:val="608664A5"/>
    <w:rsid w:val="608C7B28"/>
    <w:rsid w:val="608F41F2"/>
    <w:rsid w:val="609E6925"/>
    <w:rsid w:val="60BA77CD"/>
    <w:rsid w:val="60C63F24"/>
    <w:rsid w:val="60CA2B58"/>
    <w:rsid w:val="60F80C2F"/>
    <w:rsid w:val="613468C2"/>
    <w:rsid w:val="613A48D5"/>
    <w:rsid w:val="61487E7F"/>
    <w:rsid w:val="614C4BCD"/>
    <w:rsid w:val="614F6149"/>
    <w:rsid w:val="61572E4F"/>
    <w:rsid w:val="616128EC"/>
    <w:rsid w:val="616720C6"/>
    <w:rsid w:val="61675F7A"/>
    <w:rsid w:val="61725619"/>
    <w:rsid w:val="617E294F"/>
    <w:rsid w:val="618649E8"/>
    <w:rsid w:val="619104F5"/>
    <w:rsid w:val="61AB7C65"/>
    <w:rsid w:val="61C3512C"/>
    <w:rsid w:val="61DB7979"/>
    <w:rsid w:val="61FC7977"/>
    <w:rsid w:val="62073433"/>
    <w:rsid w:val="620B3059"/>
    <w:rsid w:val="620D753C"/>
    <w:rsid w:val="62181D46"/>
    <w:rsid w:val="626B7791"/>
    <w:rsid w:val="62721747"/>
    <w:rsid w:val="6279316A"/>
    <w:rsid w:val="628762A4"/>
    <w:rsid w:val="628C2933"/>
    <w:rsid w:val="628C4312"/>
    <w:rsid w:val="62AB1D8D"/>
    <w:rsid w:val="62C42917"/>
    <w:rsid w:val="62D9309F"/>
    <w:rsid w:val="62DE5A92"/>
    <w:rsid w:val="62DE7E74"/>
    <w:rsid w:val="62E73481"/>
    <w:rsid w:val="62ED42C9"/>
    <w:rsid w:val="62F0419C"/>
    <w:rsid w:val="62FA55D0"/>
    <w:rsid w:val="631A7E52"/>
    <w:rsid w:val="63234C0F"/>
    <w:rsid w:val="634B4DB7"/>
    <w:rsid w:val="634C01CF"/>
    <w:rsid w:val="635665B8"/>
    <w:rsid w:val="637A72AA"/>
    <w:rsid w:val="63A46BE2"/>
    <w:rsid w:val="63A83A82"/>
    <w:rsid w:val="63CB3622"/>
    <w:rsid w:val="63D600F2"/>
    <w:rsid w:val="63E31E9D"/>
    <w:rsid w:val="63E37CE8"/>
    <w:rsid w:val="640434E5"/>
    <w:rsid w:val="64185C22"/>
    <w:rsid w:val="643B275E"/>
    <w:rsid w:val="64411A38"/>
    <w:rsid w:val="64587275"/>
    <w:rsid w:val="646A5BED"/>
    <w:rsid w:val="648D2A22"/>
    <w:rsid w:val="64BC253F"/>
    <w:rsid w:val="64C4485F"/>
    <w:rsid w:val="64DA076B"/>
    <w:rsid w:val="64E36924"/>
    <w:rsid w:val="64E9112D"/>
    <w:rsid w:val="65014155"/>
    <w:rsid w:val="65142B38"/>
    <w:rsid w:val="6520621E"/>
    <w:rsid w:val="653D68E6"/>
    <w:rsid w:val="65630AA9"/>
    <w:rsid w:val="656A3683"/>
    <w:rsid w:val="656A7144"/>
    <w:rsid w:val="657B048C"/>
    <w:rsid w:val="657F70B1"/>
    <w:rsid w:val="65865107"/>
    <w:rsid w:val="659242EE"/>
    <w:rsid w:val="65B0069A"/>
    <w:rsid w:val="65B61ED7"/>
    <w:rsid w:val="65E9533F"/>
    <w:rsid w:val="65F76683"/>
    <w:rsid w:val="65F93869"/>
    <w:rsid w:val="66060E74"/>
    <w:rsid w:val="660B0A36"/>
    <w:rsid w:val="660B2971"/>
    <w:rsid w:val="660B5D8E"/>
    <w:rsid w:val="66214BD4"/>
    <w:rsid w:val="66224F9D"/>
    <w:rsid w:val="66306DCD"/>
    <w:rsid w:val="6632531C"/>
    <w:rsid w:val="66625D91"/>
    <w:rsid w:val="667237CD"/>
    <w:rsid w:val="6686143F"/>
    <w:rsid w:val="66953E2E"/>
    <w:rsid w:val="669F7CBA"/>
    <w:rsid w:val="66AE39AD"/>
    <w:rsid w:val="66B00768"/>
    <w:rsid w:val="66E4039A"/>
    <w:rsid w:val="66E77BCB"/>
    <w:rsid w:val="66FB73E6"/>
    <w:rsid w:val="670A4B9E"/>
    <w:rsid w:val="67171C12"/>
    <w:rsid w:val="671C012D"/>
    <w:rsid w:val="672E507D"/>
    <w:rsid w:val="673936D7"/>
    <w:rsid w:val="67517AFA"/>
    <w:rsid w:val="67805AAD"/>
    <w:rsid w:val="67807B30"/>
    <w:rsid w:val="67AB1B26"/>
    <w:rsid w:val="67B265D1"/>
    <w:rsid w:val="67B30E44"/>
    <w:rsid w:val="67C23B71"/>
    <w:rsid w:val="67C501C3"/>
    <w:rsid w:val="67E55296"/>
    <w:rsid w:val="67E87F7F"/>
    <w:rsid w:val="68080A2F"/>
    <w:rsid w:val="681E7CFD"/>
    <w:rsid w:val="68221B5F"/>
    <w:rsid w:val="682633F9"/>
    <w:rsid w:val="68270406"/>
    <w:rsid w:val="68273145"/>
    <w:rsid w:val="682A5BF7"/>
    <w:rsid w:val="68535738"/>
    <w:rsid w:val="68721156"/>
    <w:rsid w:val="687C423F"/>
    <w:rsid w:val="68C25D28"/>
    <w:rsid w:val="68C26E64"/>
    <w:rsid w:val="68D033F3"/>
    <w:rsid w:val="68DC689F"/>
    <w:rsid w:val="68E0170A"/>
    <w:rsid w:val="68EF43CD"/>
    <w:rsid w:val="68F302CC"/>
    <w:rsid w:val="69021666"/>
    <w:rsid w:val="69123CE1"/>
    <w:rsid w:val="69141C2E"/>
    <w:rsid w:val="69184264"/>
    <w:rsid w:val="69284A46"/>
    <w:rsid w:val="69332761"/>
    <w:rsid w:val="693350FB"/>
    <w:rsid w:val="695479FA"/>
    <w:rsid w:val="696F1E02"/>
    <w:rsid w:val="69705CB0"/>
    <w:rsid w:val="69762AAC"/>
    <w:rsid w:val="697826BD"/>
    <w:rsid w:val="69833542"/>
    <w:rsid w:val="69874F79"/>
    <w:rsid w:val="69997553"/>
    <w:rsid w:val="69AA23F5"/>
    <w:rsid w:val="69BF7EC3"/>
    <w:rsid w:val="69D330B4"/>
    <w:rsid w:val="69D830EB"/>
    <w:rsid w:val="69F432B5"/>
    <w:rsid w:val="6A1B5C00"/>
    <w:rsid w:val="6A2835EC"/>
    <w:rsid w:val="6A291175"/>
    <w:rsid w:val="6A2C34AA"/>
    <w:rsid w:val="6A6459AF"/>
    <w:rsid w:val="6A820F91"/>
    <w:rsid w:val="6A824374"/>
    <w:rsid w:val="6A87407F"/>
    <w:rsid w:val="6A99127D"/>
    <w:rsid w:val="6AB8004E"/>
    <w:rsid w:val="6AB861B4"/>
    <w:rsid w:val="6AC255D7"/>
    <w:rsid w:val="6AD70E16"/>
    <w:rsid w:val="6AD96CB7"/>
    <w:rsid w:val="6AFC217D"/>
    <w:rsid w:val="6B0F3C1E"/>
    <w:rsid w:val="6B13077A"/>
    <w:rsid w:val="6B1424DD"/>
    <w:rsid w:val="6B221E5F"/>
    <w:rsid w:val="6B272595"/>
    <w:rsid w:val="6B2B1CE6"/>
    <w:rsid w:val="6B2F5E6F"/>
    <w:rsid w:val="6B356BA5"/>
    <w:rsid w:val="6B4629BA"/>
    <w:rsid w:val="6B4C3CF7"/>
    <w:rsid w:val="6B6B5CD2"/>
    <w:rsid w:val="6B711394"/>
    <w:rsid w:val="6B7C0E69"/>
    <w:rsid w:val="6B882178"/>
    <w:rsid w:val="6BA078E7"/>
    <w:rsid w:val="6BB36B04"/>
    <w:rsid w:val="6BC576AE"/>
    <w:rsid w:val="6BC82F86"/>
    <w:rsid w:val="6BCC1277"/>
    <w:rsid w:val="6BE4278E"/>
    <w:rsid w:val="6BEA1F9C"/>
    <w:rsid w:val="6BFC4F57"/>
    <w:rsid w:val="6C1F76C2"/>
    <w:rsid w:val="6C3706F6"/>
    <w:rsid w:val="6C4E1244"/>
    <w:rsid w:val="6C5B6EEC"/>
    <w:rsid w:val="6C5D2D2B"/>
    <w:rsid w:val="6C6E3EA2"/>
    <w:rsid w:val="6C7765FE"/>
    <w:rsid w:val="6C8008DC"/>
    <w:rsid w:val="6CAA5E4D"/>
    <w:rsid w:val="6CAB169B"/>
    <w:rsid w:val="6CB5724A"/>
    <w:rsid w:val="6CC60DC9"/>
    <w:rsid w:val="6CD44DB3"/>
    <w:rsid w:val="6CDC7845"/>
    <w:rsid w:val="6CEB405D"/>
    <w:rsid w:val="6D000FC4"/>
    <w:rsid w:val="6D031778"/>
    <w:rsid w:val="6D08005D"/>
    <w:rsid w:val="6D0A7C83"/>
    <w:rsid w:val="6D106FB7"/>
    <w:rsid w:val="6D196988"/>
    <w:rsid w:val="6D1C3F9C"/>
    <w:rsid w:val="6D2B7848"/>
    <w:rsid w:val="6D492CA5"/>
    <w:rsid w:val="6D4A67A4"/>
    <w:rsid w:val="6D517127"/>
    <w:rsid w:val="6D54626E"/>
    <w:rsid w:val="6D5D5CC1"/>
    <w:rsid w:val="6D6B744D"/>
    <w:rsid w:val="6D6F171F"/>
    <w:rsid w:val="6DA07DE7"/>
    <w:rsid w:val="6DA721E6"/>
    <w:rsid w:val="6DBE5CD2"/>
    <w:rsid w:val="6DE374BA"/>
    <w:rsid w:val="6DEC6B1D"/>
    <w:rsid w:val="6E0D2174"/>
    <w:rsid w:val="6E1A3D81"/>
    <w:rsid w:val="6E1F2CEB"/>
    <w:rsid w:val="6E20601C"/>
    <w:rsid w:val="6E2A5041"/>
    <w:rsid w:val="6E2C4FDA"/>
    <w:rsid w:val="6E3A38A7"/>
    <w:rsid w:val="6E41574E"/>
    <w:rsid w:val="6E4660D0"/>
    <w:rsid w:val="6E4A043D"/>
    <w:rsid w:val="6E68323D"/>
    <w:rsid w:val="6E6F129A"/>
    <w:rsid w:val="6E8C7E9A"/>
    <w:rsid w:val="6EA7226C"/>
    <w:rsid w:val="6EAD5918"/>
    <w:rsid w:val="6EB13143"/>
    <w:rsid w:val="6EBF0F07"/>
    <w:rsid w:val="6EC3545C"/>
    <w:rsid w:val="6ECA78B1"/>
    <w:rsid w:val="6EE72AE0"/>
    <w:rsid w:val="6EFD5C0F"/>
    <w:rsid w:val="6F0211AE"/>
    <w:rsid w:val="6F03116A"/>
    <w:rsid w:val="6F0759D7"/>
    <w:rsid w:val="6F081FAF"/>
    <w:rsid w:val="6F217724"/>
    <w:rsid w:val="6F252E0D"/>
    <w:rsid w:val="6F257D94"/>
    <w:rsid w:val="6F4379DD"/>
    <w:rsid w:val="6F4707F5"/>
    <w:rsid w:val="6F6A055F"/>
    <w:rsid w:val="6F6A09C1"/>
    <w:rsid w:val="6F733EF8"/>
    <w:rsid w:val="6F7478CD"/>
    <w:rsid w:val="6F8310B0"/>
    <w:rsid w:val="6FA66C5B"/>
    <w:rsid w:val="6FAF4A0F"/>
    <w:rsid w:val="6FB917DB"/>
    <w:rsid w:val="6FC80B1A"/>
    <w:rsid w:val="6FD412E1"/>
    <w:rsid w:val="6FE87B68"/>
    <w:rsid w:val="6FEA1D9F"/>
    <w:rsid w:val="6FEE7DF4"/>
    <w:rsid w:val="6FF43A17"/>
    <w:rsid w:val="6FF473BA"/>
    <w:rsid w:val="6FFC588A"/>
    <w:rsid w:val="7017567F"/>
    <w:rsid w:val="701B0C10"/>
    <w:rsid w:val="70233526"/>
    <w:rsid w:val="702B7E23"/>
    <w:rsid w:val="70306C17"/>
    <w:rsid w:val="70754C0A"/>
    <w:rsid w:val="70810F20"/>
    <w:rsid w:val="70826A53"/>
    <w:rsid w:val="70956D4D"/>
    <w:rsid w:val="70984F7D"/>
    <w:rsid w:val="709970EF"/>
    <w:rsid w:val="709C1A8C"/>
    <w:rsid w:val="70B27B70"/>
    <w:rsid w:val="70CE09C3"/>
    <w:rsid w:val="70E41A32"/>
    <w:rsid w:val="70F302B4"/>
    <w:rsid w:val="710C1A43"/>
    <w:rsid w:val="710E7A9F"/>
    <w:rsid w:val="71147566"/>
    <w:rsid w:val="712601C6"/>
    <w:rsid w:val="71287630"/>
    <w:rsid w:val="712C1AEB"/>
    <w:rsid w:val="713148BC"/>
    <w:rsid w:val="71371CF9"/>
    <w:rsid w:val="713E5AE7"/>
    <w:rsid w:val="71464190"/>
    <w:rsid w:val="716F1C44"/>
    <w:rsid w:val="717E7A69"/>
    <w:rsid w:val="71806D32"/>
    <w:rsid w:val="71AD6FAE"/>
    <w:rsid w:val="71AE30B5"/>
    <w:rsid w:val="71C170C7"/>
    <w:rsid w:val="71C27EC8"/>
    <w:rsid w:val="71C33DD0"/>
    <w:rsid w:val="71D83B53"/>
    <w:rsid w:val="72005AE6"/>
    <w:rsid w:val="72104AC2"/>
    <w:rsid w:val="72124041"/>
    <w:rsid w:val="72135B21"/>
    <w:rsid w:val="721601E1"/>
    <w:rsid w:val="72337620"/>
    <w:rsid w:val="723F5BDB"/>
    <w:rsid w:val="72570EA7"/>
    <w:rsid w:val="72726B56"/>
    <w:rsid w:val="727355E2"/>
    <w:rsid w:val="72A11E23"/>
    <w:rsid w:val="72A322A5"/>
    <w:rsid w:val="72AF0917"/>
    <w:rsid w:val="72B3210B"/>
    <w:rsid w:val="72CF7ADB"/>
    <w:rsid w:val="72E75951"/>
    <w:rsid w:val="72E91B02"/>
    <w:rsid w:val="72F62F44"/>
    <w:rsid w:val="72F9284C"/>
    <w:rsid w:val="72FF3233"/>
    <w:rsid w:val="732650C3"/>
    <w:rsid w:val="733C616F"/>
    <w:rsid w:val="7340334A"/>
    <w:rsid w:val="734A7EB9"/>
    <w:rsid w:val="734F3E6D"/>
    <w:rsid w:val="73586DC3"/>
    <w:rsid w:val="735B05AA"/>
    <w:rsid w:val="736811C4"/>
    <w:rsid w:val="73725CC7"/>
    <w:rsid w:val="73920BE9"/>
    <w:rsid w:val="739B35DE"/>
    <w:rsid w:val="73AD44BA"/>
    <w:rsid w:val="73DA0AAB"/>
    <w:rsid w:val="73FA2A89"/>
    <w:rsid w:val="73FE207D"/>
    <w:rsid w:val="73FF32CB"/>
    <w:rsid w:val="7405758D"/>
    <w:rsid w:val="74301EA6"/>
    <w:rsid w:val="74386E56"/>
    <w:rsid w:val="7439010A"/>
    <w:rsid w:val="74622F2F"/>
    <w:rsid w:val="746A031C"/>
    <w:rsid w:val="747636CD"/>
    <w:rsid w:val="7497088D"/>
    <w:rsid w:val="74A30572"/>
    <w:rsid w:val="74AA32BF"/>
    <w:rsid w:val="74C17E67"/>
    <w:rsid w:val="74C73FE3"/>
    <w:rsid w:val="74DC5A55"/>
    <w:rsid w:val="74E71A82"/>
    <w:rsid w:val="74F64E3F"/>
    <w:rsid w:val="74FD1B30"/>
    <w:rsid w:val="751D0E17"/>
    <w:rsid w:val="75485619"/>
    <w:rsid w:val="754A05DC"/>
    <w:rsid w:val="75942A40"/>
    <w:rsid w:val="75A023F2"/>
    <w:rsid w:val="75A14FC8"/>
    <w:rsid w:val="75C33053"/>
    <w:rsid w:val="75C5780F"/>
    <w:rsid w:val="75E4528E"/>
    <w:rsid w:val="75FB2A56"/>
    <w:rsid w:val="75FF18EA"/>
    <w:rsid w:val="76023351"/>
    <w:rsid w:val="76060D91"/>
    <w:rsid w:val="761730DD"/>
    <w:rsid w:val="762514F1"/>
    <w:rsid w:val="762C5C47"/>
    <w:rsid w:val="765512FB"/>
    <w:rsid w:val="765E31FB"/>
    <w:rsid w:val="766477E6"/>
    <w:rsid w:val="76687032"/>
    <w:rsid w:val="7672045B"/>
    <w:rsid w:val="76766B2A"/>
    <w:rsid w:val="767F2D37"/>
    <w:rsid w:val="768259E2"/>
    <w:rsid w:val="76895AED"/>
    <w:rsid w:val="7698131F"/>
    <w:rsid w:val="76984EB1"/>
    <w:rsid w:val="76991A17"/>
    <w:rsid w:val="76AE6448"/>
    <w:rsid w:val="76BA50E5"/>
    <w:rsid w:val="76C42FE0"/>
    <w:rsid w:val="76D42781"/>
    <w:rsid w:val="76D81D5A"/>
    <w:rsid w:val="77067FBD"/>
    <w:rsid w:val="771672D4"/>
    <w:rsid w:val="771A06F0"/>
    <w:rsid w:val="77236D53"/>
    <w:rsid w:val="772A5AB9"/>
    <w:rsid w:val="7731080D"/>
    <w:rsid w:val="7737633C"/>
    <w:rsid w:val="774D3DC3"/>
    <w:rsid w:val="776A22E2"/>
    <w:rsid w:val="776D6580"/>
    <w:rsid w:val="776E6600"/>
    <w:rsid w:val="778C04E9"/>
    <w:rsid w:val="778F2765"/>
    <w:rsid w:val="77AC60FB"/>
    <w:rsid w:val="77B360B7"/>
    <w:rsid w:val="77BE4FE1"/>
    <w:rsid w:val="77E22291"/>
    <w:rsid w:val="78125407"/>
    <w:rsid w:val="78163E0D"/>
    <w:rsid w:val="78300AEE"/>
    <w:rsid w:val="78316776"/>
    <w:rsid w:val="784F14F7"/>
    <w:rsid w:val="78507637"/>
    <w:rsid w:val="78570B0F"/>
    <w:rsid w:val="7859168E"/>
    <w:rsid w:val="7867796C"/>
    <w:rsid w:val="787F40EE"/>
    <w:rsid w:val="78827560"/>
    <w:rsid w:val="78985EAB"/>
    <w:rsid w:val="789E5F80"/>
    <w:rsid w:val="78A74161"/>
    <w:rsid w:val="78B4709E"/>
    <w:rsid w:val="78B57BD3"/>
    <w:rsid w:val="78C14DB7"/>
    <w:rsid w:val="78C243BF"/>
    <w:rsid w:val="78D81144"/>
    <w:rsid w:val="78F669DD"/>
    <w:rsid w:val="79022643"/>
    <w:rsid w:val="79047D24"/>
    <w:rsid w:val="792073FF"/>
    <w:rsid w:val="79255B1E"/>
    <w:rsid w:val="79327BE3"/>
    <w:rsid w:val="793423B9"/>
    <w:rsid w:val="794674FF"/>
    <w:rsid w:val="794F5E9D"/>
    <w:rsid w:val="7950305C"/>
    <w:rsid w:val="79556476"/>
    <w:rsid w:val="79596ED9"/>
    <w:rsid w:val="796606AB"/>
    <w:rsid w:val="79713968"/>
    <w:rsid w:val="797279F9"/>
    <w:rsid w:val="798B6440"/>
    <w:rsid w:val="79957930"/>
    <w:rsid w:val="79976759"/>
    <w:rsid w:val="799C0BFC"/>
    <w:rsid w:val="79B50C6F"/>
    <w:rsid w:val="79C3787E"/>
    <w:rsid w:val="79D319E8"/>
    <w:rsid w:val="79E06AB0"/>
    <w:rsid w:val="79E5068F"/>
    <w:rsid w:val="7A0527D6"/>
    <w:rsid w:val="7A073B40"/>
    <w:rsid w:val="7A1A2327"/>
    <w:rsid w:val="7A1E66A7"/>
    <w:rsid w:val="7A2B12D7"/>
    <w:rsid w:val="7A3E3C86"/>
    <w:rsid w:val="7A421F6B"/>
    <w:rsid w:val="7A4A0924"/>
    <w:rsid w:val="7A4A456D"/>
    <w:rsid w:val="7A4C538F"/>
    <w:rsid w:val="7A594BC2"/>
    <w:rsid w:val="7A756E44"/>
    <w:rsid w:val="7A9C129D"/>
    <w:rsid w:val="7AAC617C"/>
    <w:rsid w:val="7ABB0835"/>
    <w:rsid w:val="7ABE7A74"/>
    <w:rsid w:val="7AC3193E"/>
    <w:rsid w:val="7ACB1468"/>
    <w:rsid w:val="7AD825ED"/>
    <w:rsid w:val="7AE7522B"/>
    <w:rsid w:val="7AF11E4A"/>
    <w:rsid w:val="7AFC756B"/>
    <w:rsid w:val="7B0A616D"/>
    <w:rsid w:val="7B1530FA"/>
    <w:rsid w:val="7B341651"/>
    <w:rsid w:val="7B5C211A"/>
    <w:rsid w:val="7B6A65F9"/>
    <w:rsid w:val="7B73525D"/>
    <w:rsid w:val="7B754167"/>
    <w:rsid w:val="7B761A22"/>
    <w:rsid w:val="7B841502"/>
    <w:rsid w:val="7B856B69"/>
    <w:rsid w:val="7B977186"/>
    <w:rsid w:val="7BA51FAA"/>
    <w:rsid w:val="7BA71431"/>
    <w:rsid w:val="7BAB65F0"/>
    <w:rsid w:val="7BC5601A"/>
    <w:rsid w:val="7BE067C0"/>
    <w:rsid w:val="7BF7355E"/>
    <w:rsid w:val="7C041716"/>
    <w:rsid w:val="7C0734B8"/>
    <w:rsid w:val="7C0F6F8D"/>
    <w:rsid w:val="7C1832E2"/>
    <w:rsid w:val="7C2C3168"/>
    <w:rsid w:val="7C60764A"/>
    <w:rsid w:val="7C7F077B"/>
    <w:rsid w:val="7C9A2C55"/>
    <w:rsid w:val="7C9E0E6D"/>
    <w:rsid w:val="7CB570A3"/>
    <w:rsid w:val="7CC85D2E"/>
    <w:rsid w:val="7CFA0A3C"/>
    <w:rsid w:val="7CFB25C5"/>
    <w:rsid w:val="7D024938"/>
    <w:rsid w:val="7D0432EA"/>
    <w:rsid w:val="7D071A67"/>
    <w:rsid w:val="7D153027"/>
    <w:rsid w:val="7D240558"/>
    <w:rsid w:val="7D4E4391"/>
    <w:rsid w:val="7D5144DA"/>
    <w:rsid w:val="7D6A50D1"/>
    <w:rsid w:val="7D6C1F0C"/>
    <w:rsid w:val="7D6F7C2B"/>
    <w:rsid w:val="7D7B5BD6"/>
    <w:rsid w:val="7D812A55"/>
    <w:rsid w:val="7D9828AA"/>
    <w:rsid w:val="7DA15DD8"/>
    <w:rsid w:val="7DA54E7B"/>
    <w:rsid w:val="7DAD4B1E"/>
    <w:rsid w:val="7DCE4670"/>
    <w:rsid w:val="7DDB6F5C"/>
    <w:rsid w:val="7DDF08B2"/>
    <w:rsid w:val="7DDF7781"/>
    <w:rsid w:val="7E1A1B7E"/>
    <w:rsid w:val="7E2F58AE"/>
    <w:rsid w:val="7E464EB2"/>
    <w:rsid w:val="7E525568"/>
    <w:rsid w:val="7E5724CE"/>
    <w:rsid w:val="7E5B4BE3"/>
    <w:rsid w:val="7E6C0B52"/>
    <w:rsid w:val="7E6C79E8"/>
    <w:rsid w:val="7E6E14DC"/>
    <w:rsid w:val="7EB5709B"/>
    <w:rsid w:val="7EB83A78"/>
    <w:rsid w:val="7EB90785"/>
    <w:rsid w:val="7EDA31B4"/>
    <w:rsid w:val="7EE97E69"/>
    <w:rsid w:val="7EEF15E6"/>
    <w:rsid w:val="7F0F3C4C"/>
    <w:rsid w:val="7F102E25"/>
    <w:rsid w:val="7F2B3490"/>
    <w:rsid w:val="7F81479C"/>
    <w:rsid w:val="7F961536"/>
    <w:rsid w:val="7FB772DD"/>
    <w:rsid w:val="7FD5728C"/>
    <w:rsid w:val="7FE66A22"/>
    <w:rsid w:val="7FED0787"/>
    <w:rsid w:val="7FF3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楷体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32"/>
    <w:qFormat/>
    <w:uiPriority w:val="0"/>
    <w:pPr>
      <w:keepNext/>
      <w:keepLines/>
      <w:numPr>
        <w:ilvl w:val="0"/>
        <w:numId w:val="2"/>
      </w:numPr>
      <w:spacing w:line="360" w:lineRule="auto"/>
      <w:outlineLvl w:val="1"/>
    </w:pPr>
    <w:rPr>
      <w:rFonts w:ascii="Arial" w:hAnsi="Arial"/>
      <w:b/>
      <w:bCs/>
      <w:sz w:val="28"/>
      <w:szCs w:val="32"/>
    </w:rPr>
  </w:style>
  <w:style w:type="paragraph" w:styleId="5">
    <w:name w:val="heading 3"/>
    <w:basedOn w:val="1"/>
    <w:next w:val="1"/>
    <w:qFormat/>
    <w:uiPriority w:val="0"/>
    <w:pPr>
      <w:keepNext/>
      <w:keepLines/>
      <w:outlineLvl w:val="2"/>
    </w:pPr>
    <w:rPr>
      <w:rFonts w:ascii="宋体" w:hAnsi="宋体" w:eastAsia="黑体"/>
      <w:bCs/>
      <w:sz w:val="24"/>
      <w:szCs w:val="28"/>
    </w:rPr>
  </w:style>
  <w:style w:type="paragraph" w:styleId="6">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beforeLines="50"/>
    </w:pPr>
    <w:rPr>
      <w:rFonts w:ascii="宋体" w:hAnsi="宋体"/>
      <w:szCs w:val="20"/>
    </w:r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99"/>
    <w:pPr>
      <w:snapToGrid w:val="0"/>
      <w:ind w:firstLine="200"/>
    </w:pPr>
    <w:rPr>
      <w:rFonts w:ascii="Arial" w:hAnsi="Arial" w:cs="Arial"/>
      <w:szCs w:val="20"/>
    </w:rPr>
  </w:style>
  <w:style w:type="paragraph" w:styleId="12">
    <w:name w:val="Plain Text"/>
    <w:basedOn w:val="1"/>
    <w:qFormat/>
    <w:uiPriority w:val="0"/>
    <w:rPr>
      <w:rFonts w:ascii="宋体" w:hAnsi="Courier New"/>
      <w:szCs w:val="20"/>
    </w:rPr>
  </w:style>
  <w:style w:type="paragraph" w:styleId="13">
    <w:name w:val="Balloon Text"/>
    <w:basedOn w:val="1"/>
    <w:link w:val="43"/>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before="120" w:after="120"/>
      <w:jc w:val="left"/>
    </w:pPr>
    <w:rPr>
      <w:rFonts w:cs="Calibri"/>
      <w:b/>
      <w:bCs/>
      <w:caps/>
      <w:sz w:val="20"/>
      <w:szCs w:val="20"/>
    </w:rPr>
  </w:style>
  <w:style w:type="paragraph" w:styleId="17">
    <w:name w:val="footnote text"/>
    <w:basedOn w:val="1"/>
    <w:unhideWhenUsed/>
    <w:qFormat/>
    <w:uiPriority w:val="0"/>
    <w:pPr>
      <w:snapToGrid w:val="0"/>
      <w:jc w:val="left"/>
    </w:pPr>
    <w:rPr>
      <w:sz w:val="18"/>
      <w:szCs w:val="18"/>
    </w:rPr>
  </w:style>
  <w:style w:type="paragraph" w:styleId="18">
    <w:name w:val="Normal (Web)"/>
    <w:basedOn w:val="1"/>
    <w:qFormat/>
    <w:uiPriority w:val="0"/>
    <w:pPr>
      <w:widowControl/>
      <w:spacing w:beforeAutospacing="1" w:afterAutospacing="1"/>
      <w:jc w:val="left"/>
    </w:pPr>
    <w:rPr>
      <w:rFonts w:ascii="宋体" w:hAnsi="宋体" w:eastAsia="宋体" w:cs="宋体"/>
      <w:kern w:val="0"/>
      <w:sz w:val="24"/>
    </w:rPr>
  </w:style>
  <w:style w:type="paragraph" w:styleId="19">
    <w:name w:val="index 1"/>
    <w:basedOn w:val="1"/>
    <w:next w:val="1"/>
    <w:semiHidden/>
    <w:qFormat/>
    <w:uiPriority w:val="0"/>
    <w:pPr>
      <w:spacing w:line="220" w:lineRule="exact"/>
      <w:jc w:val="center"/>
    </w:pPr>
    <w:rPr>
      <w:rFonts w:ascii="仿宋_GB2312" w:eastAsia="仿宋_GB2312"/>
      <w:szCs w:val="21"/>
    </w:rPr>
  </w:style>
  <w:style w:type="paragraph" w:styleId="20">
    <w:name w:val="Title"/>
    <w:basedOn w:val="1"/>
    <w:next w:val="1"/>
    <w:qFormat/>
    <w:uiPriority w:val="99"/>
    <w:pPr>
      <w:spacing w:before="240" w:after="60"/>
      <w:jc w:val="center"/>
      <w:outlineLvl w:val="0"/>
    </w:pPr>
    <w:rPr>
      <w:rFonts w:ascii="Cambria" w:hAnsi="Cambria"/>
      <w:b/>
      <w:bCs/>
      <w:kern w:val="0"/>
      <w:sz w:val="32"/>
      <w:szCs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rFonts w:ascii="Verdana" w:hAnsi="Verdana"/>
      <w:b/>
      <w:kern w:val="0"/>
      <w:szCs w:val="20"/>
      <w:lang w:eastAsia="en-US"/>
    </w:rPr>
  </w:style>
  <w:style w:type="character" w:styleId="25">
    <w:name w:val="page number"/>
    <w:basedOn w:val="23"/>
    <w:qFormat/>
    <w:uiPriority w:val="0"/>
  </w:style>
  <w:style w:type="character" w:styleId="26">
    <w:name w:val="annotation reference"/>
    <w:qFormat/>
    <w:uiPriority w:val="0"/>
    <w:rPr>
      <w:sz w:val="21"/>
      <w:szCs w:val="21"/>
    </w:rPr>
  </w:style>
  <w:style w:type="character" w:styleId="27">
    <w:name w:val="footnote reference"/>
    <w:qFormat/>
    <w:uiPriority w:val="0"/>
    <w:rPr>
      <w:vertAlign w:val="superscript"/>
    </w:rPr>
  </w:style>
  <w:style w:type="paragraph" w:customStyle="1" w:styleId="28">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9">
    <w:name w:val="表格"/>
    <w:basedOn w:val="1"/>
    <w:qFormat/>
    <w:uiPriority w:val="0"/>
    <w:pPr>
      <w:textAlignment w:val="center"/>
    </w:pPr>
    <w:rPr>
      <w:rFonts w:ascii="华文细黑" w:hAnsi="华文细黑"/>
      <w:kern w:val="0"/>
      <w:szCs w:val="20"/>
    </w:rPr>
  </w:style>
  <w:style w:type="paragraph" w:customStyle="1" w:styleId="30">
    <w:name w:val="正文 题目"/>
    <w:basedOn w:val="1"/>
    <w:qFormat/>
    <w:uiPriority w:val="0"/>
    <w:pPr>
      <w:jc w:val="center"/>
    </w:pPr>
    <w:rPr>
      <w:rFonts w:ascii="黑体" w:hAnsi="黑体" w:eastAsia="黑体"/>
      <w:sz w:val="28"/>
    </w:rPr>
  </w:style>
  <w:style w:type="paragraph" w:customStyle="1" w:styleId="31">
    <w:name w:val="列出段落1"/>
    <w:basedOn w:val="1"/>
    <w:qFormat/>
    <w:uiPriority w:val="99"/>
    <w:rPr>
      <w:rFonts w:ascii="Times New Roman" w:hAnsi="Times New Roman"/>
    </w:rPr>
  </w:style>
  <w:style w:type="character" w:customStyle="1" w:styleId="32">
    <w:name w:val="标题 2 字符"/>
    <w:link w:val="4"/>
    <w:qFormat/>
    <w:uiPriority w:val="0"/>
    <w:rPr>
      <w:rFonts w:ascii="Arial" w:hAnsi="Arial"/>
      <w:b/>
      <w:bCs/>
      <w:sz w:val="28"/>
      <w:szCs w:val="32"/>
    </w:rPr>
  </w:style>
  <w:style w:type="paragraph" w:customStyle="1" w:styleId="3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paragraph" w:customStyle="1" w:styleId="35">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6">
    <w:name w:val="font21"/>
    <w:basedOn w:val="23"/>
    <w:qFormat/>
    <w:uiPriority w:val="0"/>
    <w:rPr>
      <w:rFonts w:hint="eastAsia" w:ascii="宋体" w:hAnsi="宋体" w:eastAsia="宋体" w:cs="宋体"/>
      <w:color w:val="000000"/>
      <w:sz w:val="24"/>
      <w:szCs w:val="24"/>
      <w:u w:val="none"/>
    </w:rPr>
  </w:style>
  <w:style w:type="character" w:customStyle="1" w:styleId="37">
    <w:name w:val="font01"/>
    <w:basedOn w:val="23"/>
    <w:qFormat/>
    <w:uiPriority w:val="0"/>
    <w:rPr>
      <w:rFonts w:hint="default" w:ascii="Times New Roman" w:hAnsi="Times New Roman" w:cs="Times New Roman"/>
      <w:color w:val="000000"/>
      <w:sz w:val="24"/>
      <w:szCs w:val="24"/>
      <w:u w:val="none"/>
    </w:rPr>
  </w:style>
  <w:style w:type="character" w:customStyle="1" w:styleId="38">
    <w:name w:val="font11"/>
    <w:basedOn w:val="23"/>
    <w:qFormat/>
    <w:uiPriority w:val="0"/>
    <w:rPr>
      <w:rFonts w:hint="default" w:ascii="Times New Roman" w:hAnsi="Times New Roman" w:cs="Times New Roman"/>
      <w:color w:val="000000"/>
      <w:sz w:val="20"/>
      <w:szCs w:val="20"/>
      <w:u w:val="none"/>
    </w:rPr>
  </w:style>
  <w:style w:type="character" w:customStyle="1" w:styleId="39">
    <w:name w:val="font31"/>
    <w:basedOn w:val="23"/>
    <w:qFormat/>
    <w:uiPriority w:val="0"/>
    <w:rPr>
      <w:rFonts w:hint="eastAsia" w:ascii="宋体" w:hAnsi="宋体" w:eastAsia="宋体" w:cs="宋体"/>
      <w:color w:val="000000"/>
      <w:sz w:val="20"/>
      <w:szCs w:val="20"/>
      <w:u w:val="none"/>
    </w:rPr>
  </w:style>
  <w:style w:type="paragraph" w:customStyle="1" w:styleId="40">
    <w:name w:val="格式4"/>
    <w:basedOn w:val="1"/>
    <w:qFormat/>
    <w:uiPriority w:val="0"/>
    <w:pPr>
      <w:spacing w:line="420" w:lineRule="exact"/>
      <w:ind w:left="990" w:leftChars="300" w:hanging="360" w:hangingChars="150"/>
    </w:pPr>
    <w:rPr>
      <w:rFonts w:ascii="宋体" w:hAnsi="宋体"/>
      <w:color w:val="000000"/>
      <w:sz w:val="24"/>
    </w:rPr>
  </w:style>
  <w:style w:type="character" w:customStyle="1" w:styleId="41">
    <w:name w:val="font41"/>
    <w:basedOn w:val="23"/>
    <w:qFormat/>
    <w:uiPriority w:val="0"/>
    <w:rPr>
      <w:rFonts w:hint="eastAsia" w:ascii="仿宋" w:hAnsi="仿宋" w:eastAsia="仿宋" w:cs="仿宋"/>
      <w:color w:val="000000"/>
      <w:sz w:val="21"/>
      <w:szCs w:val="21"/>
      <w:u w:val="none"/>
    </w:rPr>
  </w:style>
  <w:style w:type="paragraph" w:customStyle="1" w:styleId="42">
    <w:name w:val="Char"/>
    <w:basedOn w:val="1"/>
    <w:qFormat/>
    <w:uiPriority w:val="0"/>
    <w:rPr>
      <w:rFonts w:ascii="Tahoma" w:hAnsi="Tahoma"/>
      <w:sz w:val="24"/>
      <w:szCs w:val="20"/>
    </w:rPr>
  </w:style>
  <w:style w:type="character" w:customStyle="1" w:styleId="43">
    <w:name w:val="批注框文本 字符"/>
    <w:basedOn w:val="23"/>
    <w:link w:val="13"/>
    <w:qFormat/>
    <w:uiPriority w:val="0"/>
    <w:rPr>
      <w:rFonts w:asciiTheme="minorHAnsi" w:hAnsiTheme="minorHAnsi" w:eastAsiaTheme="minorEastAsia" w:cstheme="minorBidi"/>
      <w:kern w:val="2"/>
      <w:sz w:val="18"/>
      <w:szCs w:val="18"/>
    </w:rPr>
  </w:style>
  <w:style w:type="character" w:customStyle="1" w:styleId="44">
    <w:name w:val="font112"/>
    <w:basedOn w:val="23"/>
    <w:qFormat/>
    <w:uiPriority w:val="0"/>
    <w:rPr>
      <w:rFonts w:hint="eastAsia" w:ascii="宋体" w:hAnsi="宋体" w:eastAsia="宋体" w:cs="宋体"/>
      <w:color w:val="000000"/>
      <w:sz w:val="18"/>
      <w:szCs w:val="18"/>
      <w:u w:val="none"/>
    </w:rPr>
  </w:style>
  <w:style w:type="paragraph" w:styleId="4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46</Pages>
  <Words>3408</Words>
  <Characters>19428</Characters>
  <Lines>161</Lines>
  <Paragraphs>45</Paragraphs>
  <TotalTime>0</TotalTime>
  <ScaleCrop>false</ScaleCrop>
  <LinksUpToDate>false</LinksUpToDate>
  <CharactersWithSpaces>22791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陈静</cp:lastModifiedBy>
  <cp:lastPrinted>2021-12-03T07:43:00Z</cp:lastPrinted>
  <dcterms:modified xsi:type="dcterms:W3CDTF">2021-12-06T02:27:47Z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A592831A305946978B9252A7D54EA739</vt:lpwstr>
  </property>
</Properties>
</file>