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imes New Roman" w:hAnsi="Times New Roman" w:eastAsia="黑体" w:cs="Times New Roman"/>
          <w:color w:val="auto"/>
          <w:sz w:val="40"/>
          <w:szCs w:val="40"/>
          <w:highlight w:val="none"/>
          <w:lang w:val="en-US" w:eastAsia="zh-CN"/>
        </w:rPr>
      </w:pPr>
    </w:p>
    <w:p>
      <w:pPr>
        <w:ind w:firstLine="0" w:firstLineChars="0"/>
        <w:jc w:val="center"/>
        <w:rPr>
          <w:rFonts w:hint="default" w:ascii="Times New Roman" w:hAnsi="Times New Roman" w:eastAsia="黑体" w:cs="Times New Roman"/>
          <w:color w:val="auto"/>
          <w:sz w:val="44"/>
          <w:szCs w:val="44"/>
          <w:highlight w:val="none"/>
          <w:lang w:val="en-US" w:eastAsia="zh-CN"/>
        </w:rPr>
      </w:pPr>
      <w:r>
        <w:rPr>
          <w:rFonts w:hint="eastAsia" w:ascii="Times New Roman" w:hAnsi="Times New Roman" w:eastAsia="黑体" w:cs="Times New Roman"/>
          <w:color w:val="auto"/>
          <w:sz w:val="40"/>
          <w:szCs w:val="40"/>
          <w:highlight w:val="none"/>
          <w:lang w:val="en-US" w:eastAsia="zh-CN"/>
        </w:rPr>
        <w:t>安徽省高速公路试验检测科研中心有限公司</w:t>
      </w:r>
      <w:r>
        <w:rPr>
          <w:rFonts w:hint="eastAsia" w:ascii="Times New Roman" w:hAnsi="Times New Roman" w:eastAsia="黑体" w:cs="Times New Roman"/>
          <w:color w:val="auto"/>
          <w:sz w:val="44"/>
          <w:szCs w:val="44"/>
          <w:highlight w:val="none"/>
          <w:lang w:val="en-US" w:eastAsia="zh-CN"/>
        </w:rPr>
        <w:t>2022-2024年定点图文印制服务</w:t>
      </w: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snapToGrid w:val="0"/>
        <w:jc w:val="center"/>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u w:val="single"/>
        </w:rPr>
        <w:t>安徽</w:t>
      </w:r>
      <w:r>
        <w:rPr>
          <w:rFonts w:hint="eastAsia" w:ascii="Times New Roman" w:hAnsi="Times New Roman" w:eastAsia="黑体" w:cs="Times New Roman"/>
          <w:color w:val="auto"/>
          <w:sz w:val="32"/>
          <w:szCs w:val="32"/>
          <w:u w:val="single"/>
          <w:lang w:val="en-US" w:eastAsia="zh-CN"/>
        </w:rPr>
        <w:t>省</w:t>
      </w:r>
      <w:r>
        <w:rPr>
          <w:rFonts w:hint="eastAsia" w:ascii="Times New Roman" w:hAnsi="Times New Roman" w:eastAsia="黑体" w:cs="Times New Roman"/>
          <w:color w:val="auto"/>
          <w:sz w:val="32"/>
          <w:szCs w:val="32"/>
          <w:u w:val="single"/>
        </w:rPr>
        <w:t>高速公路试验检测科研中心有限公司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color w:val="auto"/>
          <w:kern w:val="2"/>
          <w:sz w:val="21"/>
          <w:szCs w:val="24"/>
          <w:lang w:val="en-US" w:eastAsia="zh-CN" w:bidi="ar-SA"/>
        </w:rPr>
        <w:id w:val="147456488"/>
        <w:docPartObj>
          <w:docPartGallery w:val="Table of Contents"/>
          <w:docPartUnique/>
        </w:docPartObj>
      </w:sdtPr>
      <w:sdtEndPr>
        <w:rPr>
          <w:rFonts w:asciiTheme="minorHAnsi" w:hAnsiTheme="minorHAnsi" w:eastAsiaTheme="minorEastAsia" w:cstheme="minorBidi"/>
          <w:color w:val="auto"/>
          <w:kern w:val="2"/>
          <w:sz w:val="20"/>
          <w:szCs w:val="20"/>
          <w:lang w:val="en-US" w:eastAsia="zh-CN" w:bidi="ar-SA"/>
        </w:rPr>
      </w:sdtEndPr>
      <w:sdtContent>
        <w:p>
          <w:pPr>
            <w:pStyle w:val="17"/>
            <w:tabs>
              <w:tab w:val="right" w:leader="dot" w:pos="8312"/>
            </w:tabs>
            <w:jc w:val="center"/>
            <w:rPr>
              <w:rFonts w:ascii="Times New Roman" w:hAnsi="Times New Roman" w:eastAsia="宋体" w:cs="Times New Roman"/>
              <w:color w:val="auto"/>
              <w:sz w:val="28"/>
              <w:szCs w:val="28"/>
              <w:highlight w:val="none"/>
            </w:rPr>
          </w:pPr>
          <w:bookmarkStart w:id="0" w:name="_Toc23500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pPr>
            <w:pStyle w:val="17"/>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_Toc2405_WPSOffice_Level1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b6957adf-d215-44c1-bb17-49c9840aa861}"/>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1" w:name="_Toc2405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fldChar w:fldCharType="end"/>
          </w:r>
        </w:p>
        <w:p>
          <w:pPr>
            <w:pStyle w:val="17"/>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_Toc13339_WPSOffice_Level1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4f7355f8-5eb1-423f-bb33-2687f9fcd0e2}"/>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5</w:t>
          </w:r>
          <w:r>
            <w:rPr>
              <w:rFonts w:ascii="Times New Roman" w:hAnsi="Times New Roman" w:eastAsia="宋体" w:cs="Times New Roman"/>
              <w:color w:val="auto"/>
              <w:sz w:val="28"/>
              <w:szCs w:val="28"/>
              <w:highlight w:val="none"/>
            </w:rPr>
            <w:fldChar w:fldCharType="end"/>
          </w:r>
        </w:p>
        <w:p>
          <w:pPr>
            <w:pStyle w:val="17"/>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_Toc29272_WPSOffice_Level1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3854e258-ac21-45a4-9132-e18026d10f8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bookmarkStart w:id="2" w:name="_Toc29272_WPSOffice_Level1Page"/>
          <w:r>
            <w:rPr>
              <w:rFonts w:ascii="Times New Roman" w:hAnsi="Times New Roman" w:eastAsia="宋体" w:cs="Times New Roman"/>
              <w:color w:val="auto"/>
              <w:sz w:val="28"/>
              <w:szCs w:val="28"/>
              <w:highlight w:val="none"/>
            </w:rPr>
            <w:t>1</w:t>
          </w:r>
          <w:bookmarkEnd w:id="2"/>
          <w:r>
            <w:rPr>
              <w:rFonts w:hint="eastAsia" w:ascii="Times New Roman" w:hAnsi="Times New Roman" w:eastAsia="宋体" w:cs="Times New Roman"/>
              <w:color w:val="auto"/>
              <w:sz w:val="28"/>
              <w:szCs w:val="28"/>
              <w:highlight w:val="none"/>
              <w:lang w:val="en-US" w:eastAsia="zh-CN"/>
            </w:rPr>
            <w:t>2</w:t>
          </w:r>
          <w:r>
            <w:rPr>
              <w:rFonts w:ascii="Times New Roman" w:hAnsi="Times New Roman" w:eastAsia="宋体" w:cs="Times New Roman"/>
              <w:color w:val="auto"/>
              <w:sz w:val="28"/>
              <w:szCs w:val="28"/>
              <w:highlight w:val="none"/>
            </w:rPr>
            <w:fldChar w:fldCharType="end"/>
          </w:r>
        </w:p>
        <w:p>
          <w:pPr>
            <w:pStyle w:val="17"/>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_Toc13270_WPSOffice_Level1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c70083cd-8717-4c6e-b1ee-ffb966ea5a19}"/>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eastAsia="宋体" w:cs="Times New Roman"/>
              <w:color w:val="auto"/>
              <w:sz w:val="28"/>
              <w:szCs w:val="28"/>
              <w:highlight w:val="none"/>
            </w:rPr>
            <w:tab/>
          </w:r>
          <w:bookmarkStart w:id="3" w:name="_Toc13270_WPSOffice_Level1Page"/>
          <w:r>
            <w:rPr>
              <w:rFonts w:ascii="Times New Roman" w:hAnsi="Times New Roman" w:eastAsia="宋体" w:cs="Times New Roman"/>
              <w:color w:val="auto"/>
              <w:sz w:val="28"/>
              <w:szCs w:val="28"/>
              <w:highlight w:val="none"/>
            </w:rPr>
            <w:t>2</w:t>
          </w:r>
          <w:bookmarkEnd w:id="3"/>
          <w:r>
            <w:rPr>
              <w:rFonts w:hint="eastAsia" w:ascii="Times New Roman" w:hAnsi="Times New Roman" w:eastAsia="宋体" w:cs="Times New Roman"/>
              <w:color w:val="auto"/>
              <w:sz w:val="28"/>
              <w:szCs w:val="28"/>
              <w:highlight w:val="none"/>
              <w:lang w:val="en-US" w:eastAsia="zh-CN"/>
            </w:rPr>
            <w:t>0</w:t>
          </w:r>
          <w:r>
            <w:rPr>
              <w:rFonts w:ascii="Times New Roman" w:hAnsi="Times New Roman" w:eastAsia="宋体" w:cs="Times New Roman"/>
              <w:color w:val="auto"/>
              <w:sz w:val="28"/>
              <w:szCs w:val="28"/>
              <w:highlight w:val="none"/>
            </w:rPr>
            <w:fldChar w:fldCharType="end"/>
          </w:r>
        </w:p>
        <w:p>
          <w:pPr>
            <w:pStyle w:val="17"/>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_Toc17834_WPSOffice_Level1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4e6d73f0-8588-49a8-b71b-83acfd0a9458}"/>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2</w:t>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5</w:t>
          </w:r>
        </w:p>
        <w:p>
          <w:pPr>
            <w:pStyle w:val="17"/>
            <w:tabs>
              <w:tab w:val="right" w:leader="dot" w:pos="8312"/>
            </w:tabs>
            <w:rPr>
              <w:color w:val="auto"/>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_Toc27766_WPSOffice_Level1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d9fe5519-3cfa-4172-abc4-c80e59195fd4}"/>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2</w:t>
          </w:r>
          <w:r>
            <w:rPr>
              <w:rFonts w:ascii="Times New Roman" w:hAnsi="Times New Roman" w:eastAsia="宋体" w:cs="Times New Roman"/>
              <w:color w:val="auto"/>
              <w:sz w:val="28"/>
              <w:szCs w:val="28"/>
              <w:highlight w:val="none"/>
            </w:rPr>
            <w:fldChar w:fldCharType="end"/>
          </w:r>
          <w:bookmarkEnd w:id="0"/>
          <w:r>
            <w:rPr>
              <w:rFonts w:hint="eastAsia" w:ascii="Times New Roman" w:hAnsi="Times New Roman" w:eastAsia="宋体" w:cs="Times New Roman"/>
              <w:color w:val="auto"/>
              <w:sz w:val="28"/>
              <w:szCs w:val="28"/>
              <w:highlight w:val="none"/>
              <w:lang w:val="en-US" w:eastAsia="zh-CN"/>
            </w:rPr>
            <w:t>7</w:t>
          </w:r>
        </w:p>
      </w:sdtContent>
    </w:sdt>
    <w:p/>
    <w:p/>
    <w:p/>
    <w:p/>
    <w:p/>
    <w:p/>
    <w:p/>
    <w:p/>
    <w:p/>
    <w:p/>
    <w:p/>
    <w:p/>
    <w:p/>
    <w:p/>
    <w:p/>
    <w:p/>
    <w:p/>
    <w:p/>
    <w:p/>
    <w:p/>
    <w:p/>
    <w:p/>
    <w:p/>
    <w:p/>
    <w:p/>
    <w:p/>
    <w:p/>
    <w:p/>
    <w:p/>
    <w:p/>
    <w:p>
      <w:pPr>
        <w:pStyle w:val="4"/>
        <w:spacing w:before="240" w:after="240"/>
        <w:rPr>
          <w:rFonts w:hint="default" w:ascii="Times New Roman" w:hAnsi="Times New Roman" w:eastAsia="宋体" w:cs="Times New Roman"/>
          <w:color w:val="auto"/>
          <w:highlight w:val="none"/>
        </w:rPr>
      </w:pPr>
      <w:bookmarkStart w:id="4" w:name="_Toc2405_WPSOffice_Level1"/>
      <w:r>
        <w:rPr>
          <w:rFonts w:hint="default" w:ascii="Times New Roman" w:hAnsi="Times New Roman" w:eastAsia="宋体" w:cs="Times New Roman"/>
          <w:color w:val="auto"/>
          <w:highlight w:val="none"/>
        </w:rPr>
        <w:t>采购公告</w:t>
      </w:r>
      <w:bookmarkEnd w:id="4"/>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5" w:name="_Toc12765"/>
      <w:bookmarkStart w:id="6" w:name="_Toc6496_WPSOffice_Level2"/>
      <w:bookmarkStart w:id="7" w:name="_Toc24354_WPSOffice_Level2"/>
      <w:bookmarkStart w:id="8" w:name="_Toc525632585"/>
      <w:bookmarkStart w:id="9" w:name="_Toc13871"/>
      <w:bookmarkStart w:id="10" w:name="_Toc4489_WPSOffice_Level2"/>
      <w:bookmarkStart w:id="11" w:name="_Toc10395_WPSOffice_Level2"/>
      <w:r>
        <w:rPr>
          <w:rFonts w:hint="default" w:ascii="Times New Roman" w:hAnsi="Times New Roman" w:eastAsia="黑体" w:cs="Times New Roman"/>
          <w:bCs w:val="0"/>
          <w:color w:val="auto"/>
          <w:sz w:val="22"/>
          <w:szCs w:val="15"/>
          <w:highlight w:val="none"/>
        </w:rPr>
        <w:t>项目简介</w:t>
      </w:r>
      <w:bookmarkEnd w:id="5"/>
      <w:bookmarkEnd w:id="6"/>
      <w:bookmarkEnd w:id="7"/>
      <w:bookmarkEnd w:id="8"/>
      <w:bookmarkEnd w:id="9"/>
      <w:bookmarkEnd w:id="10"/>
      <w:bookmarkEnd w:id="11"/>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eastAsia" w:ascii="Times New Roman" w:hAnsi="Times New Roman" w:cs="Times New Roman"/>
          <w:color w:val="auto"/>
          <w:sz w:val="21"/>
          <w:szCs w:val="22"/>
          <w:highlight w:val="none"/>
          <w:u w:val="single"/>
          <w:lang w:val="en-US" w:eastAsia="zh-CN"/>
        </w:rPr>
        <w:t>安徽省高速公路试验检测科研中心有限公司2022-2024年定点图文印制服务项目</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eastAsia" w:ascii="Times New Roman" w:hAnsi="Times New Roman" w:cs="Times New Roman"/>
          <w:color w:val="auto"/>
          <w:sz w:val="21"/>
          <w:szCs w:val="22"/>
          <w:highlight w:val="none"/>
          <w:u w:val="single"/>
          <w:lang w:val="en-US" w:eastAsia="zh-CN"/>
        </w:rPr>
        <w:t>安徽省高速公路试验检测科研中心有限公司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color w:val="auto"/>
          <w:sz w:val="21"/>
          <w:szCs w:val="22"/>
          <w:highlight w:val="none"/>
          <w:u w:val="none"/>
          <w:lang w:val="en-US" w:eastAsia="zh-CN"/>
        </w:rPr>
        <w:t>因公司日常工作需要，拟采用社会化图文公司协助完成</w:t>
      </w:r>
      <w:r>
        <w:rPr>
          <w:rFonts w:hint="eastAsia"/>
          <w:u w:val="none"/>
          <w:lang w:val="en-US" w:eastAsia="zh-CN"/>
        </w:rPr>
        <w:t>图文印制、装订、扫描等专业服务。</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2" w:name="_Toc23266_WPSOffice_Level2"/>
      <w:bookmarkStart w:id="13" w:name="_Toc18367_WPSOffice_Level2"/>
      <w:bookmarkStart w:id="14" w:name="_Toc18453"/>
      <w:bookmarkStart w:id="15" w:name="_Toc525632586"/>
      <w:bookmarkStart w:id="16" w:name="_Toc10274"/>
      <w:bookmarkStart w:id="17" w:name="_Toc8128_WPSOffice_Level2"/>
      <w:bookmarkStart w:id="18" w:name="_Toc17858_WPSOffice_Level2"/>
      <w:r>
        <w:rPr>
          <w:rFonts w:hint="default" w:ascii="Times New Roman" w:hAnsi="Times New Roman" w:eastAsia="黑体" w:cs="Times New Roman"/>
          <w:bCs w:val="0"/>
          <w:color w:val="auto"/>
          <w:sz w:val="22"/>
          <w:szCs w:val="15"/>
          <w:highlight w:val="none"/>
        </w:rPr>
        <w:t>采购说明</w:t>
      </w:r>
      <w:bookmarkEnd w:id="12"/>
      <w:bookmarkEnd w:id="13"/>
      <w:bookmarkEnd w:id="14"/>
      <w:bookmarkEnd w:id="15"/>
      <w:bookmarkEnd w:id="16"/>
      <w:bookmarkEnd w:id="17"/>
      <w:bookmarkEnd w:id="18"/>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19" w:name="_Toc4489_WPSOffice_Level3"/>
      <w:r>
        <w:rPr>
          <w:rFonts w:hint="default" w:ascii="Times New Roman" w:hAnsi="Times New Roman" w:cs="Times New Roman"/>
          <w:color w:val="auto"/>
          <w:sz w:val="21"/>
          <w:szCs w:val="22"/>
          <w:highlight w:val="none"/>
        </w:rPr>
        <w:t>2.1 采购方式：</w:t>
      </w:r>
      <w:bookmarkEnd w:id="19"/>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20"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20"/>
      <w:bookmarkStart w:id="21" w:name="_Toc22379_WPSOffice_Level3"/>
      <w:r>
        <w:rPr>
          <w:rFonts w:hint="eastAsia" w:ascii="Times New Roman" w:hAnsi="Times New Roman" w:cs="Times New Roman"/>
          <w:color w:val="auto"/>
          <w:sz w:val="21"/>
          <w:szCs w:val="22"/>
          <w:highlight w:val="none"/>
          <w:u w:val="single"/>
          <w:lang w:val="en-US" w:eastAsia="zh-CN"/>
        </w:rPr>
        <w:t>100%来自</w:t>
      </w:r>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社会化</w:t>
      </w:r>
      <w:r>
        <w:rPr>
          <w:rFonts w:hint="eastAsia"/>
          <w:u w:val="single"/>
          <w:lang w:val="en-US" w:eastAsia="zh-CN"/>
        </w:rPr>
        <w:t>图文印制、装订、扫描等专业服务</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无包段划分</w:t>
      </w:r>
    </w:p>
    <w:p>
      <w:pPr>
        <w:snapToGrid w:val="0"/>
        <w:spacing w:line="440" w:lineRule="exact"/>
        <w:ind w:firstLine="420" w:firstLineChars="200"/>
        <w:rPr>
          <w:rFonts w:hint="eastAsia" w:ascii="Times New Roman" w:hAnsi="Times New Roman" w:eastAsia="宋体"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21"/>
      <w:r>
        <w:rPr>
          <w:rFonts w:hint="eastAsia" w:ascii="Times New Roman" w:hAnsi="Times New Roman" w:cs="Times New Roman"/>
          <w:color w:val="auto"/>
          <w:sz w:val="21"/>
          <w:szCs w:val="22"/>
          <w:highlight w:val="none"/>
          <w:u w:val="single"/>
          <w:lang w:val="en-US" w:eastAsia="zh-CN"/>
        </w:rPr>
        <w:t>详见报价清单</w:t>
      </w:r>
    </w:p>
    <w:p>
      <w:pPr>
        <w:snapToGrid w:val="0"/>
        <w:spacing w:line="440" w:lineRule="exact"/>
        <w:ind w:firstLine="420" w:firstLineChars="200"/>
        <w:rPr>
          <w:rFonts w:hint="eastAsia"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2.6 计划服务期：</w:t>
      </w:r>
      <w:r>
        <w:rPr>
          <w:rFonts w:hint="eastAsia" w:ascii="宋体" w:hAnsi="宋体" w:eastAsia="宋体" w:cs="宋体"/>
          <w:i w:val="0"/>
          <w:iCs w:val="0"/>
          <w:caps w:val="0"/>
          <w:color w:val="333333"/>
          <w:spacing w:val="0"/>
          <w:sz w:val="21"/>
          <w:szCs w:val="21"/>
          <w:u w:val="single"/>
          <w:shd w:val="clear" w:fill="FFFFFF"/>
        </w:rPr>
        <w:t>自合同签订之日起顺延</w:t>
      </w:r>
      <w:r>
        <w:rPr>
          <w:rFonts w:hint="eastAsia" w:ascii="宋体" w:hAnsi="宋体" w:eastAsia="宋体" w:cs="宋体"/>
          <w:i w:val="0"/>
          <w:iCs w:val="0"/>
          <w:caps w:val="0"/>
          <w:color w:val="333333"/>
          <w:spacing w:val="0"/>
          <w:sz w:val="21"/>
          <w:szCs w:val="21"/>
          <w:u w:val="single"/>
          <w:shd w:val="clear" w:fill="FFFFFF"/>
          <w:lang w:val="en-US" w:eastAsia="zh-CN"/>
        </w:rPr>
        <w:t>2年</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2" w:name="_Toc6388"/>
      <w:bookmarkStart w:id="23" w:name="_Toc29516_WPSOffice_Level2"/>
      <w:bookmarkStart w:id="24" w:name="_Toc3714"/>
      <w:bookmarkStart w:id="25" w:name="_Toc1622_WPSOffice_Level2"/>
      <w:bookmarkStart w:id="26" w:name="_Toc22379_WPSOffice_Level2"/>
      <w:bookmarkStart w:id="27" w:name="_Toc525632587"/>
      <w:bookmarkStart w:id="28" w:name="_Toc31673_WPSOffice_Level2"/>
      <w:r>
        <w:rPr>
          <w:rFonts w:hint="default" w:ascii="Times New Roman" w:hAnsi="Times New Roman" w:eastAsia="黑体" w:cs="Times New Roman"/>
          <w:bCs w:val="0"/>
          <w:color w:val="auto"/>
          <w:sz w:val="22"/>
          <w:szCs w:val="15"/>
          <w:highlight w:val="none"/>
        </w:rPr>
        <w:t>供应商资格条件</w:t>
      </w:r>
      <w:bookmarkEnd w:id="22"/>
      <w:bookmarkEnd w:id="23"/>
      <w:bookmarkEnd w:id="24"/>
      <w:bookmarkEnd w:id="25"/>
      <w:bookmarkEnd w:id="26"/>
      <w:bookmarkEnd w:id="27"/>
      <w:bookmarkEnd w:id="28"/>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具有独立企业法人资格，持工商行政管理部门核发的营业执照，经营范围包含打印、图文设计、装订等相关图文印制内容。</w:t>
      </w: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（2）距离最低要求：</w:t>
      </w: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供应商营业场所为在合肥市区范围内（不含四县及巢湖）。</w:t>
      </w: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（3）场所最低要求：</w:t>
      </w:r>
    </w:p>
    <w:p>
      <w:pPr>
        <w:numPr>
          <w:ilvl w:val="0"/>
          <w:numId w:val="0"/>
        </w:numPr>
        <w:snapToGrid w:val="0"/>
        <w:spacing w:line="440" w:lineRule="exact"/>
        <w:ind w:left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供应商有固定营业场所，面积不小于50平米。</w:t>
      </w:r>
    </w:p>
    <w:p>
      <w:pPr>
        <w:numPr>
          <w:ilvl w:val="0"/>
          <w:numId w:val="0"/>
        </w:numPr>
        <w:snapToGrid w:val="0"/>
        <w:spacing w:line="440" w:lineRule="exact"/>
        <w:ind w:firstLine="420" w:firstLineChars="200"/>
        <w:rPr>
          <w:rFonts w:hint="eastAsia" w:ascii="Times New Roman" w:hAnsi="Times New Roman" w:cs="Times New Roman"/>
          <w:color w:val="0000FF"/>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（4）设备最低要求：</w:t>
      </w:r>
    </w:p>
    <w:p>
      <w:pPr>
        <w:numPr>
          <w:ilvl w:val="0"/>
          <w:numId w:val="0"/>
        </w:numPr>
        <w:snapToGrid w:val="0"/>
        <w:spacing w:line="440" w:lineRule="exact"/>
        <w:ind w:left="0" w:leftChars="0" w:firstLine="420" w:firstLineChars="200"/>
        <w:rPr>
          <w:rFonts w:hint="eastAsia"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具有生产型黑白打印机设备1台，生产型彩色打印机1台，胶装1台，喷墨打印机1台，切纸机1台。</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（5）业绩最低要求：</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供应商须提供2019年1月1日（以合同签订时间为准）至今最少2个已承接的同类服务业绩合同证明。</w:t>
      </w:r>
    </w:p>
    <w:p>
      <w:pPr>
        <w:numPr>
          <w:ilvl w:val="0"/>
          <w:numId w:val="0"/>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（6）</w:t>
      </w:r>
      <w:r>
        <w:rPr>
          <w:rFonts w:hint="default" w:ascii="Times New Roman" w:hAnsi="Times New Roman" w:cs="Times New Roman"/>
          <w:color w:val="auto"/>
          <w:sz w:val="21"/>
          <w:szCs w:val="22"/>
          <w:highlight w:val="none"/>
          <w:u w:val="none"/>
          <w:lang w:val="en-US" w:eastAsia="zh-CN"/>
        </w:rPr>
        <w:t>信誉要求：</w:t>
      </w:r>
    </w:p>
    <w:p>
      <w:pPr>
        <w:numPr>
          <w:ilvl w:val="0"/>
          <w:numId w:val="0"/>
        </w:numPr>
        <w:snapToGrid w:val="0"/>
        <w:spacing w:line="440" w:lineRule="exact"/>
        <w:ind w:leftChars="200"/>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在“信用中国”网站（http://www.creditchina.gov.cn）中未被列入失信被执行人名单；</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snapToGrid w:val="0"/>
        <w:spacing w:line="440" w:lineRule="exact"/>
        <w:ind w:firstLine="420" w:firstLineChars="200"/>
        <w:rPr>
          <w:rFonts w:hint="default"/>
          <w:b/>
          <w:bCs/>
          <w:color w:val="auto"/>
        </w:rPr>
      </w:pPr>
      <w:r>
        <w:rPr>
          <w:rFonts w:hint="eastAsia" w:ascii="Times New Roman" w:hAnsi="Times New Roman" w:cs="Times New Roman"/>
          <w:b/>
          <w:bCs/>
          <w:color w:val="auto"/>
          <w:szCs w:val="22"/>
          <w:lang w:val="en-US" w:eastAsia="zh-CN"/>
        </w:rPr>
        <w:t>3.4采购人在评审后对成交候选人进行实地查验，不符合评审要求者将取消成交资格。</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9" w:name="_Toc1994"/>
      <w:bookmarkStart w:id="30" w:name="_Toc4109_WPSOffice_Level2"/>
      <w:bookmarkStart w:id="31" w:name="_Toc4751"/>
      <w:bookmarkStart w:id="32" w:name="_Toc29452_WPSOffice_Level2"/>
      <w:bookmarkStart w:id="33" w:name="_Toc525632588"/>
      <w:bookmarkStart w:id="34" w:name="_Toc2996_WPSOffice_Level2"/>
      <w:bookmarkStart w:id="35" w:name="_Toc2566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9"/>
      <w:bookmarkEnd w:id="30"/>
      <w:bookmarkEnd w:id="31"/>
      <w:bookmarkEnd w:id="32"/>
      <w:bookmarkEnd w:id="33"/>
      <w:bookmarkEnd w:id="34"/>
      <w:bookmarkEnd w:id="35"/>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w:t>
      </w:r>
      <w:r>
        <w:rPr>
          <w:rFonts w:hint="eastAsia" w:ascii="Times New Roman" w:hAnsi="Times New Roman" w:cs="Times New Roman"/>
          <w:color w:val="auto"/>
          <w:sz w:val="21"/>
          <w:szCs w:val="22"/>
          <w:highlight w:val="none"/>
          <w:lang w:val="en-US" w:eastAsia="zh-CN"/>
        </w:rPr>
        <w:t>安徽高速检测公司官网</w:t>
      </w:r>
      <w:r>
        <w:rPr>
          <w:rFonts w:hint="default" w:ascii="Times New Roman" w:hAnsi="Times New Roman" w:cs="Times New Roman"/>
          <w:color w:val="auto"/>
          <w:sz w:val="21"/>
          <w:szCs w:val="22"/>
          <w:highlight w:val="none"/>
          <w:lang w:val="en-US" w:eastAsia="zh-CN"/>
        </w:rPr>
        <w:t>http://www.ahgsjc.com/</w:t>
      </w:r>
      <w:r>
        <w:rPr>
          <w:rFonts w:hint="eastAsia" w:ascii="Times New Roman" w:hAnsi="Times New Roman" w:cs="Times New Roman"/>
          <w:color w:val="auto"/>
          <w:sz w:val="21"/>
          <w:szCs w:val="22"/>
          <w:highlight w:val="none"/>
          <w:lang w:val="en-US" w:eastAsia="zh-CN"/>
        </w:rPr>
        <w:t>公司公告栏</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lang w:val="en-US" w:eastAsia="zh-CN"/>
        </w:rPr>
        <w:t>未按规定在</w:t>
      </w:r>
      <w:r>
        <w:rPr>
          <w:rFonts w:hint="eastAsia" w:ascii="Times New Roman" w:hAnsi="Times New Roman" w:cs="Times New Roman"/>
          <w:color w:val="auto"/>
          <w:sz w:val="21"/>
          <w:szCs w:val="22"/>
          <w:highlight w:val="none"/>
          <w:lang w:val="en-US" w:eastAsia="zh-CN"/>
        </w:rPr>
        <w:t>安徽高速检测公司官网</w:t>
      </w:r>
      <w:r>
        <w:rPr>
          <w:rFonts w:hint="default" w:ascii="Times New Roman" w:hAnsi="Times New Roman" w:cs="Times New Roman"/>
          <w:color w:val="auto"/>
          <w:sz w:val="21"/>
          <w:szCs w:val="22"/>
          <w:highlight w:val="none"/>
          <w:lang w:val="en-US" w:eastAsia="zh-CN"/>
        </w:rPr>
        <w:t>http://www.ahgsjc.com/下载</w:t>
      </w:r>
      <w:r>
        <w:rPr>
          <w:rFonts w:hint="eastAsia" w:ascii="Times New Roman" w:hAnsi="Times New Roman" w:cs="Times New Roman"/>
          <w:color w:val="auto"/>
          <w:sz w:val="21"/>
          <w:szCs w:val="22"/>
          <w:highlight w:val="none"/>
          <w:lang w:val="en-US" w:eastAsia="zh-CN"/>
        </w:rPr>
        <w:t>询比文件</w:t>
      </w:r>
      <w:r>
        <w:rPr>
          <w:rFonts w:hint="default" w:ascii="Times New Roman" w:hAnsi="Times New Roman" w:cs="Times New Roman"/>
          <w:color w:val="auto"/>
          <w:sz w:val="21"/>
          <w:szCs w:val="22"/>
          <w:highlight w:val="none"/>
          <w:lang w:val="en-US" w:eastAsia="zh-CN"/>
        </w:rPr>
        <w:t>的，后续将不予接受其响应文件。</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6" w:name="_Toc525632589"/>
      <w:bookmarkStart w:id="37" w:name="_Toc726"/>
      <w:r>
        <w:rPr>
          <w:rFonts w:hint="default" w:ascii="Times New Roman" w:hAnsi="Times New Roman" w:eastAsia="黑体" w:cs="Times New Roman"/>
          <w:bCs w:val="0"/>
          <w:color w:val="auto"/>
          <w:sz w:val="22"/>
          <w:szCs w:val="15"/>
          <w:highlight w:val="none"/>
        </w:rPr>
        <w:t>响应文件的递交</w:t>
      </w:r>
      <w:bookmarkEnd w:id="36"/>
      <w:bookmarkEnd w:id="37"/>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16</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u w:val="single"/>
        </w:rPr>
        <w:t>安徽省高速公路试验检测科研中心有限公司一楼会议室（地点</w:t>
      </w:r>
      <w:r>
        <w:rPr>
          <w:rFonts w:hint="eastAsia" w:ascii="Times New Roman" w:hAnsi="Times New Roman" w:cs="Times New Roman"/>
          <w:color w:val="auto"/>
          <w:szCs w:val="22"/>
          <w:u w:val="single"/>
          <w:lang w:eastAsia="zh-CN"/>
        </w:rPr>
        <w:t>：办公楼正南侧，南门东侧平房</w:t>
      </w:r>
      <w:r>
        <w:rPr>
          <w:rFonts w:ascii="Times New Roman" w:hAnsi="Times New Roman" w:cs="Times New Roman"/>
          <w:color w:val="auto"/>
          <w:szCs w:val="22"/>
          <w:u w:val="single"/>
        </w:rPr>
        <w:t>）</w:t>
      </w:r>
      <w:r>
        <w:rPr>
          <w:rFonts w:hint="default" w:ascii="Times New Roman" w:hAnsi="Times New Roman"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8" w:name="_Toc22719"/>
      <w:bookmarkStart w:id="39" w:name="_Toc525632591"/>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ascii="Times New Roman" w:hAnsi="Times New Roman" w:cs="Times New Roman"/>
          <w:color w:val="auto"/>
          <w:szCs w:val="22"/>
          <w:u w:val="single"/>
        </w:rPr>
        <w:t>安徽省高速公路试验检测科研中心有限公司一楼会议室（地点</w:t>
      </w:r>
      <w:r>
        <w:rPr>
          <w:rFonts w:hint="eastAsia" w:ascii="Times New Roman" w:hAnsi="Times New Roman" w:cs="Times New Roman"/>
          <w:color w:val="auto"/>
          <w:szCs w:val="22"/>
          <w:u w:val="single"/>
          <w:lang w:eastAsia="zh-CN"/>
        </w:rPr>
        <w:t>：办公楼正南侧，南门东侧平房</w:t>
      </w:r>
      <w:r>
        <w:rPr>
          <w:rFonts w:ascii="Times New Roman" w:hAnsi="Times New Roman" w:cs="Times New Roman"/>
          <w:color w:val="auto"/>
          <w:szCs w:val="22"/>
          <w:u w:val="single"/>
        </w:rPr>
        <w:t>）</w:t>
      </w:r>
      <w:r>
        <w:rPr>
          <w:rFonts w:hint="default" w:ascii="Times New Roman" w:hAnsi="Times New Roman" w:cs="Times New Roman"/>
          <w:color w:val="auto"/>
          <w:sz w:val="21"/>
          <w:szCs w:val="22"/>
          <w:highlight w:val="none"/>
          <w:lang w:val="en-US" w:eastAsia="zh-CN"/>
        </w:rPr>
        <w:t>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响应保证金的金额：</w:t>
      </w:r>
      <w:r>
        <w:rPr>
          <w:rFonts w:hint="eastAsia" w:ascii="Times New Roman" w:hAnsi="Times New Roman" w:cs="Times New Roman"/>
          <w:color w:val="auto"/>
          <w:sz w:val="21"/>
          <w:szCs w:val="22"/>
          <w:highlight w:val="none"/>
          <w:u w:val="single"/>
          <w:lang w:val="en-US" w:eastAsia="zh-CN"/>
        </w:rPr>
        <w:t>人民币壹仟元整</w:t>
      </w:r>
    </w:p>
    <w:p>
      <w:pPr>
        <w:snapToGrid w:val="0"/>
        <w:spacing w:line="440" w:lineRule="exact"/>
        <w:ind w:firstLine="420" w:firstLineChars="200"/>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响应保证金的递交形式：银行转账</w:t>
      </w:r>
    </w:p>
    <w:p>
      <w:pPr>
        <w:snapToGrid w:val="0"/>
        <w:spacing w:line="440" w:lineRule="exact"/>
        <w:ind w:firstLine="420" w:firstLineChars="200"/>
        <w:rPr>
          <w:rFonts w:hint="default" w:ascii="Times New Roman" w:hAnsi="Times New Roman" w:eastAsia="宋体" w:cs="Times New Roman"/>
          <w:i w:val="0"/>
          <w:iCs w:val="0"/>
          <w:caps w:val="0"/>
          <w:color w:val="333333"/>
          <w:spacing w:val="0"/>
          <w:sz w:val="21"/>
          <w:szCs w:val="21"/>
          <w:u w:val="single"/>
          <w:shd w:val="clear" w:fill="FFFFFF"/>
        </w:rPr>
      </w:pPr>
      <w:r>
        <w:rPr>
          <w:rFonts w:hint="eastAsia" w:ascii="Times New Roman" w:hAnsi="Times New Roman"/>
          <w:color w:val="auto"/>
          <w:highlight w:val="none"/>
          <w:lang w:val="en-US" w:eastAsia="zh-CN"/>
        </w:rPr>
        <w:t>递交账号：</w:t>
      </w:r>
      <w:r>
        <w:rPr>
          <w:rFonts w:hint="default" w:ascii="Times New Roman" w:hAnsi="Times New Roman" w:eastAsia="宋体" w:cs="Times New Roman"/>
          <w:i w:val="0"/>
          <w:iCs w:val="0"/>
          <w:caps w:val="0"/>
          <w:color w:val="333333"/>
          <w:spacing w:val="0"/>
          <w:sz w:val="21"/>
          <w:szCs w:val="21"/>
          <w:u w:val="single"/>
          <w:shd w:val="clear" w:fill="FFFFFF"/>
        </w:rPr>
        <w:t>087672120100330002507</w:t>
      </w:r>
    </w:p>
    <w:p>
      <w:pPr>
        <w:snapToGrid w:val="0"/>
        <w:spacing w:line="440" w:lineRule="exact"/>
        <w:ind w:firstLine="420" w:firstLineChars="200"/>
        <w:rPr>
          <w:rFonts w:hint="eastAsia" w:ascii="Times New Roman" w:hAnsi="Times New Roman"/>
          <w:color w:val="auto"/>
          <w:highlight w:val="none"/>
          <w:u w:val="single"/>
          <w:lang w:val="en-US" w:eastAsia="zh-CN"/>
        </w:rPr>
      </w:pPr>
      <w:r>
        <w:rPr>
          <w:rFonts w:hint="eastAsia" w:ascii="Times New Roman" w:hAnsi="Times New Roman"/>
          <w:color w:val="auto"/>
          <w:highlight w:val="none"/>
          <w:lang w:val="en-US" w:eastAsia="zh-CN"/>
        </w:rPr>
        <w:t>开户行：</w:t>
      </w:r>
      <w:r>
        <w:rPr>
          <w:rFonts w:hint="eastAsia" w:ascii="Times New Roman" w:hAnsi="Times New Roman"/>
          <w:color w:val="auto"/>
          <w:highlight w:val="none"/>
          <w:u w:val="single"/>
          <w:lang w:val="en-US" w:eastAsia="zh-CN"/>
        </w:rPr>
        <w:t>光大银行合肥经济开发区支行</w:t>
      </w:r>
    </w:p>
    <w:p>
      <w:pPr>
        <w:snapToGrid w:val="0"/>
        <w:spacing w:line="440" w:lineRule="exact"/>
        <w:ind w:firstLine="420" w:firstLineChars="200"/>
        <w:rPr>
          <w:rFonts w:hint="default" w:ascii="Times New Roman" w:hAnsi="Times New Roman"/>
          <w:color w:val="auto"/>
          <w:highlight w:val="none"/>
          <w:u w:val="single"/>
          <w:lang w:val="en-US" w:eastAsia="zh-CN"/>
        </w:rPr>
      </w:pPr>
      <w:r>
        <w:rPr>
          <w:rFonts w:hint="eastAsia" w:ascii="宋体" w:hAnsi="宋体" w:eastAsia="宋体" w:cs="宋体"/>
          <w:i w:val="0"/>
          <w:iCs w:val="0"/>
          <w:caps w:val="0"/>
          <w:color w:val="333333"/>
          <w:spacing w:val="0"/>
          <w:sz w:val="21"/>
          <w:szCs w:val="21"/>
          <w:shd w:val="clear" w:fill="FFFFFF"/>
        </w:rPr>
        <w:t>备注栏填写：</w:t>
      </w:r>
      <w:r>
        <w:rPr>
          <w:rFonts w:hint="eastAsia" w:ascii="Times New Roman" w:hAnsi="Times New Roman" w:cs="Times New Roman"/>
          <w:color w:val="auto"/>
          <w:sz w:val="21"/>
          <w:szCs w:val="22"/>
          <w:highlight w:val="none"/>
          <w:u w:val="single"/>
          <w:lang w:val="en-US" w:eastAsia="zh-CN"/>
        </w:rPr>
        <w:t>定点图文印制服务项目</w:t>
      </w:r>
      <w:r>
        <w:rPr>
          <w:rFonts w:hint="eastAsia" w:ascii="宋体" w:hAnsi="宋体" w:eastAsia="宋体" w:cs="宋体"/>
          <w:i w:val="0"/>
          <w:iCs w:val="0"/>
          <w:caps w:val="0"/>
          <w:color w:val="333333"/>
          <w:spacing w:val="0"/>
          <w:sz w:val="21"/>
          <w:szCs w:val="21"/>
          <w:u w:val="single"/>
          <w:shd w:val="clear" w:fill="FFFFFF"/>
        </w:rPr>
        <w:t>响应保证金</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递交截止时间：</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16</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p>
    <w:p>
      <w:pPr>
        <w:pStyle w:val="5"/>
        <w:keepNext/>
        <w:keepLines/>
        <w:pageBreakBefore w:val="0"/>
        <w:widowControl/>
        <w:numPr>
          <w:ilvl w:val="0"/>
          <w:numId w:val="0"/>
        </w:numPr>
        <w:kinsoku/>
        <w:wordWrap/>
        <w:overflowPunct/>
        <w:topLinePunct w:val="0"/>
        <w:autoSpaceDE/>
        <w:autoSpaceDN/>
        <w:bidi w:val="0"/>
        <w:adjustRightInd/>
        <w:snapToGrid w:val="0"/>
        <w:spacing w:before="120" w:after="120" w:line="240" w:lineRule="auto"/>
        <w:ind w:left="420" w:leftChars="0" w:firstLine="0" w:firstLineChars="0"/>
        <w:textAlignment w:val="auto"/>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具体情况以递交截止时间我公司财务查询为准。</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8"/>
      <w:bookmarkEnd w:id="39"/>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eastAsia" w:ascii="Times New Roman" w:hAnsi="Times New Roman" w:cs="Times New Roman"/>
          <w:color w:val="auto"/>
          <w:sz w:val="21"/>
          <w:szCs w:val="22"/>
          <w:highlight w:val="none"/>
          <w:u w:val="single"/>
          <w:lang w:val="en-US" w:eastAsia="zh-CN"/>
        </w:rPr>
        <w:t>高速检测官网</w:t>
      </w:r>
      <w:r>
        <w:rPr>
          <w:rFonts w:hint="default" w:ascii="Times New Roman" w:hAnsi="Times New Roman" w:cs="Times New Roman"/>
          <w:color w:val="auto"/>
          <w:sz w:val="21"/>
          <w:szCs w:val="22"/>
          <w:highlight w:val="none"/>
          <w:u w:val="single"/>
          <w:lang w:val="en-US" w:eastAsia="zh-CN"/>
        </w:rPr>
        <w:t>http://www.ahgsjc.com/</w:t>
      </w:r>
      <w:r>
        <w:rPr>
          <w:rFonts w:hint="default" w:ascii="Times New Roman" w:hAnsi="Times New Roman" w:cs="Times New Roman"/>
          <w:color w:val="auto"/>
          <w:sz w:val="21"/>
          <w:szCs w:val="22"/>
          <w:highlight w:val="none"/>
        </w:rPr>
        <w:t>上发布。</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0" w:name="_Toc20572_WPSOffice_Level2"/>
      <w:bookmarkStart w:id="41" w:name="_Toc14943_WPSOffice_Level2"/>
      <w:bookmarkStart w:id="42" w:name="_Toc28571_WPSOffice_Level2"/>
      <w:bookmarkStart w:id="43" w:name="_Toc26829"/>
      <w:bookmarkStart w:id="44" w:name="_Toc525632592"/>
      <w:bookmarkStart w:id="45" w:name="_Toc8501"/>
      <w:bookmarkStart w:id="46" w:name="_Toc321_WPSOffice_Level2"/>
      <w:r>
        <w:rPr>
          <w:rFonts w:hint="default" w:ascii="Times New Roman" w:hAnsi="Times New Roman" w:eastAsia="黑体" w:cs="Times New Roman"/>
          <w:bCs w:val="0"/>
          <w:color w:val="auto"/>
          <w:sz w:val="22"/>
          <w:szCs w:val="15"/>
          <w:highlight w:val="none"/>
        </w:rPr>
        <w:t>采购人联系方式</w:t>
      </w:r>
      <w:bookmarkEnd w:id="40"/>
      <w:bookmarkEnd w:id="41"/>
      <w:bookmarkEnd w:id="42"/>
      <w:bookmarkEnd w:id="43"/>
      <w:bookmarkEnd w:id="44"/>
      <w:bookmarkEnd w:id="45"/>
      <w:bookmarkEnd w:id="46"/>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eastAsia" w:ascii="Times New Roman" w:hAnsi="Times New Roman" w:cs="Times New Roman"/>
          <w:color w:val="auto"/>
          <w:sz w:val="21"/>
          <w:szCs w:val="22"/>
          <w:highlight w:val="none"/>
          <w:u w:val="single"/>
        </w:rPr>
        <w:t>安徽省高速公路试验检测科研中心有限公司</w:t>
      </w:r>
      <w:r>
        <w:rPr>
          <w:rFonts w:hint="default" w:ascii="Times New Roman" w:hAnsi="Times New Roman" w:cs="Times New Roman"/>
          <w:color w:val="auto"/>
          <w:sz w:val="21"/>
          <w:szCs w:val="22"/>
          <w:highlight w:val="non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eastAsia" w:ascii="宋体" w:hAnsi="宋体" w:eastAsia="宋体" w:cs="宋体"/>
          <w:i w:val="0"/>
          <w:iCs w:val="0"/>
          <w:caps w:val="0"/>
          <w:color w:val="333333"/>
          <w:spacing w:val="0"/>
          <w:sz w:val="21"/>
          <w:szCs w:val="21"/>
          <w:u w:val="single"/>
          <w:shd w:val="clear" w:fill="FFFFFF"/>
        </w:rPr>
        <w:t>安徽省合肥市经济技术开发区金寨南路</w:t>
      </w:r>
      <w:r>
        <w:rPr>
          <w:rFonts w:hint="default" w:ascii="Times New Roman" w:hAnsi="Times New Roman" w:eastAsia="宋体" w:cs="Times New Roman"/>
          <w:i w:val="0"/>
          <w:iCs w:val="0"/>
          <w:caps w:val="0"/>
          <w:color w:val="333333"/>
          <w:spacing w:val="0"/>
          <w:sz w:val="21"/>
          <w:szCs w:val="21"/>
          <w:u w:val="single"/>
          <w:shd w:val="clear" w:fill="FFFFFF"/>
        </w:rPr>
        <w:t>18</w:t>
      </w:r>
      <w:r>
        <w:rPr>
          <w:rFonts w:hint="eastAsia" w:ascii="宋体" w:hAnsi="宋体" w:eastAsia="宋体" w:cs="宋体"/>
          <w:i w:val="0"/>
          <w:iCs w:val="0"/>
          <w:caps w:val="0"/>
          <w:color w:val="333333"/>
          <w:spacing w:val="0"/>
          <w:sz w:val="21"/>
          <w:szCs w:val="21"/>
          <w:u w:val="single"/>
          <w:shd w:val="clear" w:fill="FFFFFF"/>
        </w:rPr>
        <w:t>号</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u w:val="single"/>
          <w:lang w:val="en-US" w:eastAsia="zh-CN"/>
        </w:rPr>
        <w:t>陈主任</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0551-63813299</w:t>
      </w:r>
    </w:p>
    <w:p>
      <w:pPr>
        <w:spacing w:line="440" w:lineRule="exact"/>
        <w:ind w:right="0" w:firstLine="420" w:firstLineChars="200"/>
        <w:rPr>
          <w:rFonts w:hint="default" w:ascii="Times New Roman" w:hAnsi="Times New Roman" w:cs="Times New Roman"/>
          <w:color w:val="auto"/>
          <w:sz w:val="21"/>
          <w:szCs w:val="22"/>
          <w:highlight w:val="none"/>
        </w:rPr>
      </w:pPr>
    </w:p>
    <w:p>
      <w:pPr>
        <w:pStyle w:val="18"/>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eastAsia="Fang Song" w:cs="Times New Roman"/>
          <w:color w:val="auto"/>
          <w:sz w:val="21"/>
          <w:szCs w:val="22"/>
          <w:highlight w:val="none"/>
          <w:lang w:val="en-US" w:eastAsia="zh-CN"/>
        </w:rPr>
      </w:pPr>
    </w:p>
    <w:p>
      <w:pPr>
        <w:pStyle w:val="18"/>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u w:val="single"/>
          <w:lang w:val="en-US" w:eastAsia="zh-CN"/>
        </w:rPr>
        <w:t>__</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u w:val="single"/>
          <w:lang w:val="en-US" w:eastAsia="zh-CN"/>
        </w:rPr>
        <w:t>__</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bookmarkStart w:id="47" w:name="_Toc13339_WPSOffice_Level1"/>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bookmarkEnd w:id="47"/>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48" w:name="_Toc26656938"/>
      <w:bookmarkStart w:id="49" w:name="_Toc14201207"/>
      <w:bookmarkStart w:id="50" w:name="_Toc9067720"/>
      <w:r>
        <w:rPr>
          <w:rFonts w:hint="default" w:ascii="Times New Roman" w:hAnsi="Times New Roman" w:eastAsia="黑体" w:cs="Times New Roman"/>
          <w:bCs/>
          <w:color w:val="auto"/>
          <w:sz w:val="24"/>
          <w:szCs w:val="32"/>
          <w:highlight w:val="none"/>
        </w:rPr>
        <w:t>1. 总则</w:t>
      </w:r>
      <w:bookmarkEnd w:id="48"/>
      <w:bookmarkEnd w:id="49"/>
      <w:bookmarkEnd w:id="50"/>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51" w:name="_Toc26656939"/>
      <w:bookmarkStart w:id="52" w:name="_Toc14201208"/>
      <w:r>
        <w:rPr>
          <w:rFonts w:hint="default" w:ascii="Times New Roman" w:hAnsi="Times New Roman" w:eastAsia="黑体" w:cs="Times New Roman"/>
          <w:bCs/>
          <w:color w:val="auto"/>
          <w:sz w:val="24"/>
          <w:szCs w:val="32"/>
          <w:highlight w:val="none"/>
        </w:rPr>
        <w:t xml:space="preserve">1.1 </w:t>
      </w:r>
      <w:bookmarkEnd w:id="51"/>
      <w:bookmarkEnd w:id="52"/>
      <w:bookmarkStart w:id="53" w:name="_Toc26656941"/>
      <w:bookmarkStart w:id="54" w:name="_Toc14201210"/>
      <w:r>
        <w:rPr>
          <w:rFonts w:hint="default" w:ascii="Times New Roman" w:hAnsi="Times New Roman" w:eastAsia="黑体" w:cs="Times New Roman"/>
          <w:bCs/>
          <w:color w:val="auto"/>
          <w:sz w:val="24"/>
          <w:szCs w:val="32"/>
          <w:highlight w:val="none"/>
        </w:rPr>
        <w:t>质量要求和安全</w:t>
      </w:r>
      <w:bookmarkEnd w:id="53"/>
      <w:bookmarkEnd w:id="54"/>
      <w:r>
        <w:rPr>
          <w:rFonts w:hint="eastAsia" w:ascii="Times New Roman" w:hAnsi="Times New Roman" w:eastAsia="黑体" w:cs="Times New Roman"/>
          <w:bCs/>
          <w:color w:val="auto"/>
          <w:sz w:val="24"/>
          <w:szCs w:val="32"/>
          <w:highlight w:val="none"/>
          <w:lang w:val="en-US" w:eastAsia="zh-CN"/>
        </w:rPr>
        <w:t>目标</w:t>
      </w:r>
    </w:p>
    <w:p>
      <w:pPr>
        <w:spacing w:line="440" w:lineRule="exact"/>
        <w:ind w:firstLine="420"/>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ascii="Times New Roman" w:hAnsi="Times New Roman" w:cs="Times New Roman"/>
          <w:color w:val="auto"/>
          <w:szCs w:val="21"/>
          <w:u w:val="single"/>
        </w:rPr>
        <w:t>满足</w:t>
      </w:r>
      <w:r>
        <w:rPr>
          <w:rFonts w:hint="eastAsia" w:ascii="Times New Roman" w:hAnsi="Times New Roman" w:cs="Times New Roman"/>
          <w:color w:val="auto"/>
          <w:szCs w:val="21"/>
          <w:u w:val="single"/>
          <w:lang w:val="en-US" w:eastAsia="zh-CN"/>
        </w:rPr>
        <w:t>本次询比文件中第五章“采购需求”的相关要求</w:t>
      </w:r>
      <w:r>
        <w:rPr>
          <w:rFonts w:hint="eastAsia" w:ascii="Times New Roman" w:hAnsi="Times New Roman" w:cs="Times New Roman"/>
          <w:color w:val="auto"/>
          <w:szCs w:val="21"/>
          <w:u w:val="single"/>
          <w:lang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的安全目标：</w:t>
      </w:r>
      <w:r>
        <w:rPr>
          <w:rFonts w:hint="eastAsia" w:ascii="Times New Roman" w:hAnsi="Times New Roman" w:cs="Times New Roman"/>
          <w:color w:val="auto"/>
          <w:szCs w:val="21"/>
          <w:highlight w:val="none"/>
          <w:u w:val="single"/>
          <w:lang w:val="en-US" w:eastAsia="zh-CN"/>
        </w:rPr>
        <w:t>生产</w:t>
      </w:r>
      <w:r>
        <w:rPr>
          <w:rFonts w:hint="eastAsia" w:ascii="Times New Roman" w:hAnsi="Times New Roman" w:eastAsia="宋体" w:cs="Times New Roman"/>
          <w:color w:val="auto"/>
          <w:szCs w:val="21"/>
          <w:u w:val="single"/>
          <w:lang w:val="en-US" w:eastAsia="zh-CN"/>
        </w:rPr>
        <w:t>安全、公司机密无事故。</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5" w:name="_Toc14201211"/>
      <w:bookmarkStart w:id="56" w:name="_Toc2665694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5"/>
      <w:bookmarkEnd w:id="56"/>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采购公告第3.1款要求</w:t>
      </w:r>
      <w:r>
        <w:rPr>
          <w:rFonts w:hint="default"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7" w:name="_Toc26656943"/>
      <w:bookmarkStart w:id="58" w:name="_Toc1420121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57"/>
      <w:bookmarkEnd w:id="58"/>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9" w:name="_Toc14201213"/>
      <w:bookmarkStart w:id="60" w:name="_Toc26656944"/>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59"/>
      <w:bookmarkEnd w:id="6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1" w:name="_Toc14201215"/>
      <w:bookmarkStart w:id="62" w:name="_Toc2665694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61"/>
      <w:bookmarkEnd w:id="6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3" w:name="_Toc26656947"/>
      <w:bookmarkStart w:id="64" w:name="_Toc1420121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5" w:name="_Toc26656949"/>
      <w:bookmarkStart w:id="66" w:name="_Toc14201218"/>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5"/>
      <w:bookmarkEnd w:id="66"/>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不允许分包。</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67" w:name="_Toc14201219"/>
      <w:bookmarkStart w:id="68" w:name="_Toc26656950"/>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67"/>
      <w:bookmarkEnd w:id="68"/>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69" w:name="_Toc14201220"/>
      <w:bookmarkStart w:id="70" w:name="_Toc26656951"/>
      <w:bookmarkStart w:id="71" w:name="_Toc9067721"/>
      <w:r>
        <w:rPr>
          <w:rFonts w:hint="default" w:ascii="Times New Roman" w:hAnsi="Times New Roman" w:eastAsia="黑体" w:cs="Times New Roman"/>
          <w:bCs/>
          <w:color w:val="auto"/>
          <w:sz w:val="24"/>
          <w:szCs w:val="32"/>
          <w:highlight w:val="none"/>
        </w:rPr>
        <w:t xml:space="preserve">2. </w:t>
      </w:r>
      <w:bookmarkEnd w:id="69"/>
      <w:bookmarkEnd w:id="70"/>
      <w:bookmarkEnd w:id="71"/>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2" w:name="_Toc14201221"/>
      <w:bookmarkStart w:id="73" w:name="_Toc26656952"/>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2"/>
      <w:bookmarkEnd w:id="7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4" w:name="_Toc26656953"/>
      <w:bookmarkStart w:id="75" w:name="_Toc14201222"/>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4"/>
      <w:bookmarkEnd w:id="75"/>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ascii="Times New Roman" w:hAnsi="Times New Roman" w:cs="Times New Roman"/>
          <w:color w:val="auto"/>
        </w:rPr>
      </w:pPr>
      <w:r>
        <w:rPr>
          <w:rFonts w:ascii="Times New Roman" w:hAnsi="Times New Roman" w:cs="Times New Roman"/>
          <w:color w:val="auto"/>
        </w:rPr>
        <w:t>2.2.1供应商如有疑问，应在递交</w:t>
      </w:r>
      <w:r>
        <w:rPr>
          <w:rFonts w:hint="eastAsia" w:ascii="Times New Roman" w:hAnsi="Times New Roman" w:cs="Times New Roman"/>
          <w:color w:val="auto"/>
        </w:rPr>
        <w:t>响应</w:t>
      </w:r>
      <w:r>
        <w:rPr>
          <w:rFonts w:ascii="Times New Roman" w:hAnsi="Times New Roman" w:cs="Times New Roman"/>
          <w:color w:val="auto"/>
        </w:rPr>
        <w:t>文件的截止时间</w:t>
      </w:r>
      <w:r>
        <w:rPr>
          <w:rFonts w:hint="eastAsia" w:ascii="Times New Roman" w:hAnsi="Times New Roman" w:cs="Times New Roman"/>
          <w:color w:val="auto"/>
        </w:rPr>
        <w:t>前3日</w:t>
      </w:r>
      <w:r>
        <w:rPr>
          <w:rFonts w:ascii="Times New Roman" w:hAnsi="Times New Roman" w:cs="Times New Roman"/>
          <w:color w:val="auto"/>
        </w:rPr>
        <w:t>前</w:t>
      </w:r>
      <w:r>
        <w:rPr>
          <w:rFonts w:hint="eastAsia" w:ascii="Times New Roman" w:hAnsi="Times New Roman" w:cs="Times New Roman"/>
          <w:color w:val="auto"/>
        </w:rPr>
        <w:t>通过书面形式</w:t>
      </w:r>
      <w:r>
        <w:rPr>
          <w:rFonts w:ascii="Times New Roman" w:hAnsi="Times New Roman" w:cs="Times New Roman"/>
          <w:color w:val="auto"/>
        </w:rPr>
        <w:t>要求采购人对询比文件予以澄清</w:t>
      </w:r>
      <w:r>
        <w:rPr>
          <w:rFonts w:hint="eastAsia" w:ascii="Times New Roman" w:hAnsi="Times New Roman" w:cs="Times New Roman"/>
          <w:color w:val="auto"/>
        </w:rPr>
        <w:t>或修改</w:t>
      </w:r>
      <w:r>
        <w:rPr>
          <w:rFonts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6" w:name="_Toc14201225"/>
      <w:bookmarkStart w:id="77" w:name="_Toc26656956"/>
      <w:bookmarkStart w:id="78" w:name="_Toc9067722"/>
      <w:r>
        <w:rPr>
          <w:rFonts w:hint="default" w:ascii="Times New Roman" w:hAnsi="Times New Roman" w:eastAsia="黑体" w:cs="Times New Roman"/>
          <w:bCs/>
          <w:color w:val="auto"/>
          <w:sz w:val="24"/>
          <w:szCs w:val="32"/>
          <w:highlight w:val="none"/>
        </w:rPr>
        <w:t xml:space="preserve">3. </w:t>
      </w:r>
      <w:bookmarkEnd w:id="76"/>
      <w:bookmarkEnd w:id="77"/>
      <w:bookmarkEnd w:id="78"/>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9" w:name="_Toc14201226"/>
      <w:bookmarkStart w:id="80" w:name="_Toc26656957"/>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79"/>
      <w:bookmarkEnd w:id="80"/>
    </w:p>
    <w:p>
      <w:pPr>
        <w:spacing w:line="440" w:lineRule="exact"/>
        <w:ind w:firstLine="420"/>
        <w:rPr>
          <w:rFonts w:ascii="Times New Roman" w:hAnsi="Times New Roman" w:cs="Times New Roman"/>
          <w:color w:val="auto"/>
        </w:rPr>
      </w:pPr>
      <w:bookmarkStart w:id="81" w:name="_Toc26656958"/>
      <w:bookmarkStart w:id="82" w:name="_Toc14201227"/>
      <w:r>
        <w:rPr>
          <w:rFonts w:ascii="Times New Roman" w:hAnsi="Times New Roman" w:cs="Times New Roman"/>
          <w:color w:val="auto"/>
        </w:rPr>
        <w:t>响应文件应包括下列内容：</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3.1.1 商务技术文件（第一信封）</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eastAsia" w:ascii="Times New Roman" w:hAnsi="Times New Roman" w:cs="Times New Roman"/>
          <w:color w:val="auto"/>
        </w:rPr>
        <w:t>法定代表人身份证明及授权委托书</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eastAsia" w:ascii="Times New Roman" w:hAnsi="Times New Roman" w:cs="Times New Roman"/>
          <w:color w:val="auto"/>
          <w:lang w:eastAsia="zh-CN"/>
        </w:rPr>
        <w:t>）</w:t>
      </w:r>
      <w:r>
        <w:rPr>
          <w:rFonts w:hint="eastAsia" w:ascii="Times New Roman" w:hAnsi="Times New Roman" w:cs="Times New Roman"/>
          <w:color w:val="auto"/>
        </w:rPr>
        <w:t>供应商基本情况</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lang w:val="en-US" w:eastAsia="zh-CN"/>
        </w:rPr>
        <w:t>（3）业绩</w:t>
      </w:r>
      <w:r>
        <w:rPr>
          <w:rFonts w:hint="eastAsia" w:ascii="Times New Roman" w:hAnsi="Times New Roman" w:cs="Times New Roman"/>
          <w:color w:val="auto"/>
        </w:rPr>
        <w:t>情况表</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4</w:t>
      </w:r>
      <w:r>
        <w:rPr>
          <w:rFonts w:hint="eastAsia" w:ascii="Times New Roman" w:hAnsi="Times New Roman" w:cs="Times New Roman"/>
          <w:color w:val="auto"/>
          <w:lang w:eastAsia="zh-CN"/>
        </w:rPr>
        <w:t>）</w:t>
      </w:r>
      <w:r>
        <w:rPr>
          <w:rFonts w:hint="eastAsia" w:ascii="Times New Roman" w:hAnsi="Times New Roman" w:cs="Times New Roman"/>
          <w:color w:val="auto"/>
        </w:rPr>
        <w:t>信誉情况</w:t>
      </w:r>
    </w:p>
    <w:p>
      <w:pPr>
        <w:spacing w:line="440" w:lineRule="exact"/>
        <w:ind w:firstLine="42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（5）场地及设备基本情况</w:t>
      </w:r>
    </w:p>
    <w:p>
      <w:pPr>
        <w:spacing w:line="440" w:lineRule="exact"/>
        <w:ind w:firstLine="42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（6）其他材料</w:t>
      </w:r>
    </w:p>
    <w:p>
      <w:pPr>
        <w:spacing w:line="440" w:lineRule="exact"/>
        <w:ind w:firstLine="42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（7）服务方案</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3.1.2 报价文件（第二信封）</w:t>
      </w:r>
    </w:p>
    <w:p>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报价函</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2</w:t>
      </w:r>
      <w:r>
        <w:rPr>
          <w:rFonts w:hint="eastAsia" w:ascii="Times New Roman" w:hAnsi="Times New Roman" w:cs="Times New Roman"/>
          <w:color w:val="auto"/>
        </w:rPr>
        <w:t>）</w:t>
      </w:r>
      <w:r>
        <w:rPr>
          <w:rFonts w:ascii="Times New Roman" w:hAnsi="Times New Roman" w:cs="Times New Roman"/>
          <w:color w:val="auto"/>
        </w:rPr>
        <w:t>报价清单</w:t>
      </w:r>
      <w:r>
        <w:rPr>
          <w:rFonts w:hint="eastAsia" w:ascii="Times New Roman" w:hAnsi="Times New Roman" w:cs="Times New Roman"/>
          <w:color w:val="auto"/>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bookmarkEnd w:id="81"/>
      <w:bookmarkEnd w:id="82"/>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供应商应提供增值税（专用/普通）发票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w:t>
      </w:r>
      <w:r>
        <w:rPr>
          <w:rFonts w:hint="eastAsia"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u w:val="single"/>
        </w:rPr>
        <w:t xml:space="preserve"> </w:t>
      </w:r>
      <w:r>
        <w:rPr>
          <w:rFonts w:hint="eastAsia" w:ascii="Times New Roman" w:hAnsi="Times New Roman" w:cs="Times New Roman"/>
          <w:color w:val="auto"/>
          <w:u w:val="single"/>
          <w:lang w:val="en-US" w:eastAsia="zh-CN"/>
        </w:rPr>
        <w:t>限制</w:t>
      </w:r>
      <w:r>
        <w:rPr>
          <w:rFonts w:hint="eastAsia" w:ascii="Times New Roman" w:hAnsi="Times New Roman" w:cs="Times New Roman"/>
          <w:color w:val="auto"/>
          <w:u w:val="single"/>
        </w:rPr>
        <w:t>单价</w:t>
      </w:r>
      <w:r>
        <w:rPr>
          <w:rFonts w:hint="eastAsia" w:ascii="Times New Roman" w:hAnsi="Times New Roman" w:cs="Times New Roman"/>
          <w:color w:val="auto"/>
          <w:u w:val="single"/>
          <w:lang w:eastAsia="zh-CN"/>
        </w:rPr>
        <w:t>，</w:t>
      </w:r>
      <w:r>
        <w:rPr>
          <w:rFonts w:hint="eastAsia" w:ascii="Times New Roman" w:hAnsi="Times New Roman" w:cs="Times New Roman"/>
          <w:color w:val="auto"/>
          <w:u w:val="single"/>
          <w:lang w:val="en-US" w:eastAsia="zh-CN"/>
        </w:rPr>
        <w:t>比例报价</w:t>
      </w:r>
      <w:r>
        <w:rPr>
          <w:rFonts w:hint="eastAsia" w:ascii="Times New Roman" w:hAnsi="Times New Roman" w:cs="Times New Roman"/>
          <w:color w:val="auto"/>
          <w:u w:val="single"/>
        </w:rPr>
        <w:t xml:space="preserve"> </w:t>
      </w:r>
      <w:r>
        <w:rPr>
          <w:rFonts w:ascii="Times New Roman" w:hAnsi="Times New Roman" w:cs="Times New Roman"/>
          <w:color w:val="auto"/>
        </w:rPr>
        <w:t>。</w:t>
      </w:r>
    </w:p>
    <w:p>
      <w:pPr>
        <w:spacing w:line="440" w:lineRule="exact"/>
        <w:ind w:firstLine="420"/>
        <w:rPr>
          <w:rFonts w:hint="eastAsia"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5</w:t>
      </w:r>
      <w:r>
        <w:rPr>
          <w:rFonts w:ascii="Times New Roman" w:hAnsi="Times New Roman" w:cs="Times New Roman"/>
          <w:color w:val="auto"/>
        </w:rPr>
        <w:t xml:space="preserve"> 报价的其他要求</w:t>
      </w:r>
      <w:r>
        <w:rPr>
          <w:rFonts w:hint="eastAsia"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本次报价为比例报价，为各单项报价的</w:t>
      </w:r>
      <w:r>
        <w:rPr>
          <w:rFonts w:hint="eastAsia" w:ascii="Times New Roman" w:hAnsi="Times New Roman" w:cs="Times New Roman"/>
          <w:color w:val="auto"/>
          <w:highlight w:val="none"/>
          <w:u w:val="single"/>
        </w:rPr>
        <w:t>综合</w:t>
      </w:r>
      <w:r>
        <w:rPr>
          <w:rFonts w:hint="default" w:ascii="Times New Roman" w:hAnsi="Times New Roman" w:cs="Times New Roman"/>
          <w:color w:val="auto"/>
          <w:highlight w:val="none"/>
          <w:u w:val="single"/>
        </w:rPr>
        <w:t>比例</w:t>
      </w:r>
      <w:r>
        <w:rPr>
          <w:rFonts w:hint="eastAsia" w:ascii="Times New Roman" w:hAnsi="Times New Roman" w:cs="Times New Roman"/>
          <w:color w:val="auto"/>
          <w:highlight w:val="none"/>
          <w:u w:val="single"/>
        </w:rPr>
        <w:t>（同一比例，不得出现多个数据）</w:t>
      </w:r>
      <w:r>
        <w:rPr>
          <w:rFonts w:hint="default" w:ascii="Times New Roman" w:hAnsi="Times New Roman" w:cs="Times New Roman"/>
          <w:color w:val="auto"/>
          <w:highlight w:val="none"/>
          <w:u w:val="single"/>
        </w:rPr>
        <w:t>。</w:t>
      </w:r>
    </w:p>
    <w:p>
      <w:pPr>
        <w:pStyle w:val="2"/>
        <w:rPr>
          <w:rFonts w:hint="default"/>
        </w:rPr>
      </w:pP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3" w:name="_Toc26656959"/>
      <w:bookmarkStart w:id="84" w:name="_Toc14201228"/>
      <w:r>
        <w:rPr>
          <w:rFonts w:hint="default" w:ascii="Times New Roman" w:hAnsi="Times New Roman" w:eastAsia="黑体" w:cs="Times New Roman"/>
          <w:bCs/>
          <w:color w:val="auto"/>
          <w:sz w:val="24"/>
          <w:szCs w:val="32"/>
          <w:highlight w:val="none"/>
        </w:rPr>
        <w:t>3.3</w:t>
      </w:r>
      <w:bookmarkEnd w:id="83"/>
      <w:bookmarkEnd w:id="84"/>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85" w:name="_Toc14201229"/>
      <w:bookmarkStart w:id="86" w:name="_Toc26656960"/>
      <w:r>
        <w:rPr>
          <w:rFonts w:hint="default" w:ascii="Times New Roman" w:hAnsi="Times New Roman" w:eastAsia="黑体" w:cs="Times New Roman"/>
          <w:bCs/>
          <w:color w:val="auto"/>
          <w:sz w:val="24"/>
          <w:szCs w:val="32"/>
          <w:highlight w:val="none"/>
        </w:rPr>
        <w:t>3.4</w:t>
      </w:r>
      <w:bookmarkEnd w:id="85"/>
      <w:bookmarkEnd w:id="86"/>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签订合同后5日内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7" w:name="_Toc14201230"/>
      <w:bookmarkStart w:id="88" w:name="_Toc26656961"/>
      <w:r>
        <w:rPr>
          <w:rFonts w:hint="default" w:ascii="Times New Roman" w:hAnsi="Times New Roman" w:eastAsia="黑体" w:cs="Times New Roman"/>
          <w:bCs/>
          <w:color w:val="auto"/>
          <w:sz w:val="24"/>
          <w:szCs w:val="32"/>
          <w:highlight w:val="none"/>
        </w:rPr>
        <w:t>3.5资格审查资料</w:t>
      </w:r>
      <w:bookmarkEnd w:id="87"/>
      <w:bookmarkEnd w:id="88"/>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w:t>
      </w:r>
      <w:r>
        <w:rPr>
          <w:rFonts w:ascii="Times New Roman" w:hAnsi="Times New Roman" w:cs="Times New Roman"/>
          <w:color w:val="auto"/>
        </w:rPr>
        <w:t>资质、业绩、</w:t>
      </w:r>
      <w:r>
        <w:rPr>
          <w:rFonts w:hint="eastAsia" w:ascii="Times New Roman" w:hAnsi="Times New Roman" w:cs="Times New Roman"/>
          <w:color w:val="auto"/>
          <w:lang w:val="en-US" w:eastAsia="zh-CN"/>
        </w:rPr>
        <w:t>场所、设备、</w:t>
      </w:r>
      <w:r>
        <w:rPr>
          <w:rFonts w:ascii="Times New Roman" w:hAnsi="Times New Roman" w:cs="Times New Roman"/>
          <w:color w:val="auto"/>
        </w:rPr>
        <w:t>信誉</w:t>
      </w:r>
      <w:r>
        <w:rPr>
          <w:rFonts w:hint="default" w:ascii="Times New Roman" w:hAnsi="Times New Roman" w:cs="Times New Roman"/>
          <w:color w:val="auto"/>
          <w:highlight w:val="none"/>
        </w:rPr>
        <w:t>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9" w:name="_Toc14201232"/>
      <w:bookmarkStart w:id="90" w:name="_Toc26656963"/>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89"/>
      <w:bookmarkEnd w:id="9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ascii="Times New Roman" w:hAnsi="Times New Roman" w:cs="Times New Roman"/>
          <w:color w:val="auto"/>
        </w:rPr>
      </w:pPr>
      <w:bookmarkStart w:id="91" w:name="_Toc26656964"/>
      <w:bookmarkStart w:id="92" w:name="_Toc9067723"/>
      <w:bookmarkStart w:id="93" w:name="_Toc14201233"/>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.3响应文件的制作应满足以下规定：</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响应文件份数及其他要求：响应文件正本一份，副本一份</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（2）电子版U盘：U盘上贴注所投项目名称为</w:t>
      </w:r>
      <w:r>
        <w:rPr>
          <w:rFonts w:hint="eastAsia" w:ascii="Times New Roman" w:hAnsi="Times New Roman" w:cs="Times New Roman"/>
          <w:color w:val="auto"/>
          <w:u w:val="single"/>
          <w:lang w:val="en-US" w:eastAsia="zh-CN"/>
        </w:rPr>
        <w:t>图文印制定点服务</w:t>
      </w:r>
      <w:r>
        <w:rPr>
          <w:rFonts w:hint="eastAsia" w:ascii="Times New Roman" w:hAnsi="Times New Roman" w:cs="Times New Roman"/>
          <w:color w:val="auto"/>
          <w:u w:val="single"/>
        </w:rPr>
        <w:t>采购</w:t>
      </w:r>
      <w:r>
        <w:rPr>
          <w:rFonts w:ascii="Times New Roman" w:hAnsi="Times New Roman" w:cs="Times New Roman"/>
          <w:color w:val="auto"/>
        </w:rPr>
        <w:t>且供应商填写的响应文件（盖章扫描件）备查，</w:t>
      </w:r>
      <w:r>
        <w:rPr>
          <w:rFonts w:ascii="Times New Roman" w:hAnsi="Times New Roman" w:cs="Times New Roman"/>
          <w:b/>
          <w:bCs/>
          <w:color w:val="auto"/>
        </w:rPr>
        <w:t>U盘和</w:t>
      </w:r>
      <w:r>
        <w:rPr>
          <w:rFonts w:hint="eastAsia" w:ascii="Times New Roman" w:hAnsi="Times New Roman" w:cs="Times New Roman"/>
          <w:b/>
          <w:bCs/>
          <w:color w:val="auto"/>
        </w:rPr>
        <w:t>第一信封</w:t>
      </w:r>
      <w:r>
        <w:rPr>
          <w:rFonts w:ascii="Times New Roman" w:hAnsi="Times New Roman" w:cs="Times New Roman"/>
          <w:b/>
          <w:bCs/>
          <w:color w:val="auto"/>
        </w:rPr>
        <w:t>密封在一个封套内；</w:t>
      </w:r>
    </w:p>
    <w:p>
      <w:pPr>
        <w:spacing w:line="440" w:lineRule="exact"/>
        <w:ind w:firstLine="420"/>
        <w:rPr>
          <w:rFonts w:ascii="Times New Roman" w:hAnsi="Times New Roman" w:cs="Times New Roman"/>
          <w:color w:val="auto"/>
        </w:rPr>
      </w:pPr>
      <w:r>
        <w:rPr>
          <w:rFonts w:ascii="Times New Roman" w:hAnsi="Times New Roman" w:cs="Times New Roman"/>
          <w:color w:val="auto"/>
        </w:rPr>
        <w:t>（3）装订要求：响应文件应</w:t>
      </w:r>
      <w:r>
        <w:rPr>
          <w:rFonts w:hint="eastAsia" w:ascii="Times New Roman" w:hAnsi="Times New Roman" w:cs="Times New Roman"/>
          <w:color w:val="auto"/>
        </w:rPr>
        <w:t>用A4纸</w:t>
      </w:r>
      <w:r>
        <w:rPr>
          <w:rFonts w:ascii="Times New Roman" w:hAnsi="Times New Roman" w:cs="Times New Roman"/>
          <w:color w:val="auto"/>
        </w:rPr>
        <w:t>胶装成册并标注连续页码，不允许活页装订，并逐页加盖公章，</w:t>
      </w:r>
      <w:r>
        <w:rPr>
          <w:rFonts w:hint="eastAsia" w:ascii="Times New Roman" w:hAnsi="Times New Roman" w:cs="Times New Roman"/>
          <w:color w:val="auto"/>
        </w:rPr>
        <w:t>采购人不承担因此造成的任何后果。</w:t>
      </w:r>
    </w:p>
    <w:p>
      <w:pPr>
        <w:spacing w:line="440" w:lineRule="exact"/>
        <w:ind w:firstLine="420"/>
        <w:rPr>
          <w:rFonts w:ascii="Times New Roman" w:hAnsi="Times New Roman" w:cs="Times New Roman"/>
          <w:b/>
          <w:bCs/>
          <w:color w:val="auto"/>
        </w:rPr>
      </w:pPr>
      <w:r>
        <w:rPr>
          <w:rFonts w:hint="eastAsia" w:ascii="Times New Roman" w:hAnsi="Times New Roman" w:cs="Times New Roman"/>
          <w:color w:val="auto"/>
        </w:rPr>
        <w:t>（</w:t>
      </w:r>
      <w:r>
        <w:rPr>
          <w:rFonts w:ascii="Times New Roman" w:hAnsi="Times New Roman" w:cs="Times New Roman"/>
          <w:color w:val="auto"/>
        </w:rPr>
        <w:t>5</w:t>
      </w:r>
      <w:r>
        <w:rPr>
          <w:rFonts w:hint="eastAsia" w:ascii="Times New Roman" w:hAnsi="Times New Roman" w:cs="Times New Roman"/>
          <w:color w:val="auto"/>
        </w:rPr>
        <w:t>）密封包装：</w:t>
      </w:r>
      <w:r>
        <w:rPr>
          <w:rFonts w:hint="eastAsia" w:ascii="Times New Roman" w:hAnsi="Times New Roman" w:cs="Times New Roman"/>
          <w:b/>
          <w:bCs/>
          <w:color w:val="auto"/>
        </w:rPr>
        <w:t>采用双信封形式，响应文件第一个信封（商务及技术文件）以及第二个信封（报价文件）应单独密封包装。商务及技术文件的正本与副本应统一密封在一个封套中。报价文件的正本与副本应统一密封在一个封套中，电子版文件（U盘）应与商务技术文件密封在另一个封</w:t>
      </w:r>
      <w:r>
        <w:rPr>
          <w:rFonts w:hint="eastAsia"/>
          <w:b/>
          <w:bCs/>
          <w:color w:val="auto"/>
        </w:rPr>
        <w:t>套中。</w:t>
      </w:r>
    </w:p>
    <w:p>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6</w:t>
      </w:r>
      <w:r>
        <w:rPr>
          <w:rFonts w:ascii="Times New Roman" w:hAnsi="Times New Roman" w:cs="Times New Roman"/>
          <w:color w:val="auto"/>
        </w:rPr>
        <w:t>）封套上应载明的信息：信封封套表面应标明供应商名称。封套的封口处加盖</w:t>
      </w:r>
      <w:r>
        <w:rPr>
          <w:rFonts w:hint="eastAsia" w:ascii="Times New Roman" w:hAnsi="Times New Roman" w:cs="Times New Roman"/>
          <w:color w:val="auto"/>
        </w:rPr>
        <w:t>供应商</w:t>
      </w:r>
      <w:r>
        <w:rPr>
          <w:rFonts w:ascii="Times New Roman" w:hAnsi="Times New Roman" w:cs="Times New Roman"/>
          <w:color w:val="auto"/>
        </w:rPr>
        <w:t>单位</w:t>
      </w:r>
      <w:r>
        <w:rPr>
          <w:rFonts w:hint="eastAsia" w:ascii="Times New Roman" w:hAnsi="Times New Roman" w:cs="Times New Roman"/>
          <w:color w:val="auto"/>
        </w:rPr>
        <w:t>公</w:t>
      </w:r>
      <w:r>
        <w:rPr>
          <w:rFonts w:ascii="Times New Roman" w:hAnsi="Times New Roman" w:cs="Times New Roman"/>
          <w:color w:val="auto"/>
        </w:rPr>
        <w:t>章或由法定代表人（单位负责人）或其授权的代理人签字。</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 </w:t>
      </w:r>
      <w:bookmarkEnd w:id="91"/>
      <w:bookmarkEnd w:id="92"/>
      <w:bookmarkEnd w:id="93"/>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4" w:name="_Toc14201234"/>
      <w:bookmarkStart w:id="95" w:name="_Toc26656965"/>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4"/>
      <w:bookmarkEnd w:id="95"/>
    </w:p>
    <w:p>
      <w:pPr>
        <w:spacing w:line="440" w:lineRule="exact"/>
        <w:ind w:firstLine="420"/>
        <w:rPr>
          <w:rFonts w:ascii="Times New Roman" w:hAnsi="Times New Roman" w:cs="Times New Roman"/>
          <w:b/>
          <w:bCs/>
          <w:color w:val="auto"/>
        </w:rPr>
      </w:pPr>
      <w:r>
        <w:rPr>
          <w:rFonts w:ascii="Times New Roman" w:hAnsi="Times New Roman" w:cs="Times New Roman"/>
          <w:b/>
          <w:bCs/>
          <w:color w:val="auto"/>
        </w:rPr>
        <w:t>（1）商务技术文件</w:t>
      </w:r>
    </w:p>
    <w:p>
      <w:pPr>
        <w:spacing w:line="440" w:lineRule="exact"/>
        <w:ind w:firstLine="420"/>
        <w:rPr>
          <w:rFonts w:ascii="Times New Roman" w:hAnsi="Times New Roman" w:eastAsia="黑体" w:cs="黑体"/>
          <w:b/>
          <w:bCs/>
          <w:snapToGrid w:val="0"/>
          <w:color w:val="auto"/>
          <w:kern w:val="0"/>
          <w:szCs w:val="21"/>
        </w:rPr>
      </w:pPr>
      <w:r>
        <w:rPr>
          <w:rFonts w:hint="eastAsia" w:ascii="Times New Roman" w:hAnsi="Times New Roman" w:eastAsia="黑体" w:cs="黑体"/>
          <w:b/>
          <w:bCs/>
          <w:snapToGrid w:val="0"/>
          <w:color w:val="auto"/>
          <w:kern w:val="0"/>
          <w:szCs w:val="21"/>
        </w:rPr>
        <w:t>供应商名称：</w:t>
      </w:r>
      <w:r>
        <w:rPr>
          <w:rFonts w:hint="eastAsia" w:ascii="Times New Roman" w:hAnsi="Times New Roman" w:eastAsia="黑体" w:cs="黑体"/>
          <w:b/>
          <w:bCs/>
          <w:snapToGrid w:val="0"/>
          <w:color w:val="auto"/>
          <w:kern w:val="0"/>
          <w:szCs w:val="21"/>
          <w:u w:val="single"/>
        </w:rPr>
        <w:t>（供应商单位全称，自行填写）</w:t>
      </w:r>
    </w:p>
    <w:p>
      <w:pPr>
        <w:spacing w:line="540" w:lineRule="exact"/>
        <w:ind w:firstLine="420" w:firstLineChars="200"/>
        <w:jc w:val="left"/>
        <w:rPr>
          <w:rFonts w:ascii="Times New Roman" w:hAnsi="Times New Roman" w:eastAsia="黑体" w:cs="黑体"/>
          <w:b/>
          <w:bCs/>
          <w:snapToGrid w:val="0"/>
          <w:color w:val="auto"/>
          <w:kern w:val="0"/>
          <w:szCs w:val="21"/>
          <w:u w:val="none"/>
        </w:rPr>
      </w:pPr>
      <w:r>
        <w:rPr>
          <w:rFonts w:hint="eastAsia" w:ascii="Times New Roman" w:hAnsi="Times New Roman" w:eastAsia="黑体" w:cs="黑体"/>
          <w:b/>
          <w:bCs/>
          <w:snapToGrid w:val="0"/>
          <w:color w:val="auto"/>
          <w:kern w:val="0"/>
          <w:szCs w:val="21"/>
          <w:u w:val="single"/>
          <w:lang w:val="en-US" w:eastAsia="zh-CN"/>
        </w:rPr>
        <w:t>2022-2024年定点图文印制服务</w:t>
      </w:r>
      <w:r>
        <w:rPr>
          <w:rFonts w:hint="eastAsia" w:ascii="Times New Roman" w:hAnsi="Times New Roman" w:eastAsia="黑体" w:cs="黑体"/>
          <w:b/>
          <w:bCs/>
          <w:snapToGrid w:val="0"/>
          <w:color w:val="auto"/>
          <w:kern w:val="0"/>
          <w:szCs w:val="21"/>
          <w:u w:val="none"/>
        </w:rPr>
        <w:t>商务技术文件</w:t>
      </w:r>
    </w:p>
    <w:p>
      <w:pPr>
        <w:spacing w:line="440" w:lineRule="exact"/>
        <w:ind w:firstLine="420"/>
        <w:rPr>
          <w:rFonts w:ascii="Times New Roman" w:hAnsi="Times New Roman" w:eastAsia="黑体" w:cs="黑体"/>
          <w:b/>
          <w:bCs/>
          <w:snapToGrid w:val="0"/>
          <w:color w:val="auto"/>
          <w:kern w:val="0"/>
          <w:szCs w:val="21"/>
        </w:rPr>
      </w:pPr>
      <w:r>
        <w:rPr>
          <w:rFonts w:hint="eastAsia" w:ascii="Times New Roman" w:hAnsi="Times New Roman" w:cs="Times New Roman"/>
          <w:b/>
          <w:bCs/>
          <w:color w:val="auto"/>
        </w:rPr>
        <w:t>在</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年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月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日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 时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分</w:t>
      </w:r>
      <w:r>
        <w:rPr>
          <w:rFonts w:hint="eastAsia" w:ascii="Times New Roman" w:hAnsi="Times New Roman" w:cs="Times New Roman"/>
          <w:b/>
          <w:bCs/>
          <w:color w:val="auto"/>
        </w:rPr>
        <w:t>（递交响应文件的截止时间）前不得</w:t>
      </w:r>
      <w:r>
        <w:rPr>
          <w:rFonts w:hint="eastAsia" w:ascii="Times New Roman" w:hAnsi="Times New Roman" w:eastAsia="黑体" w:cs="黑体"/>
          <w:b/>
          <w:bCs/>
          <w:snapToGrid w:val="0"/>
          <w:color w:val="auto"/>
          <w:kern w:val="0"/>
          <w:szCs w:val="21"/>
        </w:rPr>
        <w:t>开启</w:t>
      </w:r>
    </w:p>
    <w:p>
      <w:pPr>
        <w:spacing w:line="440" w:lineRule="exact"/>
        <w:ind w:firstLine="420"/>
        <w:rPr>
          <w:rFonts w:ascii="Times New Roman" w:hAnsi="Times New Roman" w:cs="Times New Roman"/>
          <w:b/>
          <w:bCs/>
          <w:color w:val="auto"/>
        </w:rPr>
      </w:pPr>
      <w:r>
        <w:rPr>
          <w:rFonts w:hint="eastAsia" w:ascii="Times New Roman" w:hAnsi="Times New Roman" w:cs="Times New Roman"/>
          <w:b/>
          <w:bCs/>
          <w:color w:val="auto"/>
        </w:rPr>
        <w:t>（2）</w:t>
      </w:r>
      <w:r>
        <w:rPr>
          <w:rFonts w:ascii="Times New Roman" w:hAnsi="Times New Roman" w:cs="Times New Roman"/>
          <w:b/>
          <w:bCs/>
          <w:color w:val="auto"/>
        </w:rPr>
        <w:t>报价文件</w:t>
      </w:r>
    </w:p>
    <w:p>
      <w:pPr>
        <w:spacing w:line="440" w:lineRule="exact"/>
        <w:ind w:firstLine="420"/>
        <w:rPr>
          <w:rFonts w:ascii="Times New Roman" w:hAnsi="Times New Roman" w:eastAsia="黑体" w:cs="黑体"/>
          <w:b/>
          <w:bCs/>
          <w:snapToGrid w:val="0"/>
          <w:color w:val="auto"/>
          <w:kern w:val="0"/>
          <w:szCs w:val="21"/>
        </w:rPr>
      </w:pPr>
      <w:r>
        <w:rPr>
          <w:rFonts w:ascii="Times New Roman" w:hAnsi="Times New Roman" w:cs="Times New Roman"/>
          <w:b/>
          <w:bCs/>
          <w:color w:val="auto"/>
        </w:rPr>
        <w:t>供应商名称</w:t>
      </w:r>
      <w:r>
        <w:rPr>
          <w:rFonts w:hint="eastAsia" w:ascii="Times New Roman" w:hAnsi="Times New Roman" w:eastAsia="黑体" w:cs="黑体"/>
          <w:b/>
          <w:bCs/>
          <w:snapToGrid w:val="0"/>
          <w:color w:val="auto"/>
          <w:kern w:val="0"/>
          <w:szCs w:val="21"/>
        </w:rPr>
        <w:t>：</w:t>
      </w:r>
      <w:r>
        <w:rPr>
          <w:rFonts w:hint="eastAsia" w:ascii="Times New Roman" w:hAnsi="Times New Roman" w:eastAsia="黑体" w:cs="黑体"/>
          <w:b/>
          <w:bCs/>
          <w:snapToGrid w:val="0"/>
          <w:color w:val="auto"/>
          <w:kern w:val="0"/>
          <w:szCs w:val="21"/>
          <w:u w:val="single"/>
        </w:rPr>
        <w:t>（供应商单位全称，自行填写）</w:t>
      </w:r>
    </w:p>
    <w:p>
      <w:pPr>
        <w:spacing w:line="440" w:lineRule="exact"/>
        <w:ind w:firstLine="420"/>
        <w:rPr>
          <w:rFonts w:ascii="Times New Roman" w:hAnsi="Times New Roman" w:eastAsia="黑体" w:cs="黑体"/>
          <w:b/>
          <w:bCs/>
          <w:snapToGrid w:val="0"/>
          <w:color w:val="auto"/>
          <w:kern w:val="0"/>
          <w:szCs w:val="21"/>
        </w:rPr>
      </w:pPr>
      <w:r>
        <w:rPr>
          <w:rFonts w:hint="eastAsia" w:ascii="Times New Roman" w:hAnsi="Times New Roman" w:eastAsia="黑体" w:cs="黑体"/>
          <w:b/>
          <w:bCs/>
          <w:snapToGrid w:val="0"/>
          <w:color w:val="auto"/>
          <w:kern w:val="0"/>
          <w:szCs w:val="21"/>
          <w:u w:val="single"/>
          <w:lang w:val="en-US" w:eastAsia="zh-CN"/>
        </w:rPr>
        <w:t>2022-2024年定点图文印制服务</w:t>
      </w:r>
      <w:r>
        <w:rPr>
          <w:rFonts w:hint="eastAsia" w:ascii="Times New Roman" w:hAnsi="Times New Roman" w:eastAsia="黑体" w:cs="黑体"/>
          <w:b/>
          <w:bCs/>
          <w:snapToGrid w:val="0"/>
          <w:color w:val="auto"/>
          <w:kern w:val="0"/>
          <w:szCs w:val="21"/>
        </w:rPr>
        <w:t>报价文件</w:t>
      </w:r>
    </w:p>
    <w:p>
      <w:pPr>
        <w:spacing w:line="440" w:lineRule="exact"/>
        <w:ind w:firstLine="420"/>
        <w:rPr>
          <w:rFonts w:ascii="Times New Roman" w:hAnsi="Times New Roman" w:eastAsia="黑体" w:cs="黑体"/>
          <w:b/>
          <w:bCs/>
          <w:snapToGrid w:val="0"/>
          <w:color w:val="auto"/>
          <w:kern w:val="0"/>
          <w:szCs w:val="21"/>
        </w:rPr>
      </w:pPr>
      <w:r>
        <w:rPr>
          <w:rFonts w:hint="eastAsia" w:ascii="Times New Roman" w:hAnsi="Times New Roman" w:cs="Times New Roman"/>
          <w:b/>
          <w:bCs/>
          <w:color w:val="auto"/>
        </w:rPr>
        <w:t>在</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年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月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日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 xml:space="preserve"> 时 </w:t>
      </w:r>
      <w:r>
        <w:rPr>
          <w:rFonts w:hint="eastAsia" w:ascii="Times New Roman" w:hAnsi="Times New Roman" w:cs="Times New Roman"/>
          <w:b/>
          <w:bCs/>
          <w:color w:val="auto"/>
          <w:u w:val="single"/>
          <w:lang w:val="en-US" w:eastAsia="zh-CN"/>
        </w:rPr>
        <w:t xml:space="preserve"> </w:t>
      </w:r>
      <w:r>
        <w:rPr>
          <w:rFonts w:hint="eastAsia" w:ascii="Times New Roman" w:hAnsi="Times New Roman" w:cs="Times New Roman"/>
          <w:b/>
          <w:bCs/>
          <w:color w:val="auto"/>
          <w:u w:val="single"/>
        </w:rPr>
        <w:t>分</w:t>
      </w:r>
      <w:r>
        <w:rPr>
          <w:rFonts w:hint="eastAsia" w:ascii="Times New Roman" w:hAnsi="Times New Roman" w:cs="Times New Roman"/>
          <w:b/>
          <w:bCs/>
          <w:color w:val="auto"/>
        </w:rPr>
        <w:t>（递交响应文件</w:t>
      </w:r>
      <w:r>
        <w:rPr>
          <w:rFonts w:hint="eastAsia" w:ascii="Times New Roman" w:hAnsi="Times New Roman" w:eastAsia="黑体" w:cs="黑体"/>
          <w:b/>
          <w:bCs/>
          <w:snapToGrid w:val="0"/>
          <w:color w:val="auto"/>
          <w:kern w:val="0"/>
          <w:szCs w:val="21"/>
        </w:rPr>
        <w:t>的截止时间）前不得开启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6" w:name="_Toc14201235"/>
      <w:bookmarkStart w:id="97"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6"/>
      <w:bookmarkEnd w:id="9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98" w:name="_Toc26656968"/>
      <w:bookmarkStart w:id="99" w:name="_Toc9067724"/>
      <w:bookmarkStart w:id="100" w:name="_Toc14201237"/>
      <w:r>
        <w:rPr>
          <w:rFonts w:hint="default" w:ascii="Times New Roman" w:hAnsi="Times New Roman" w:eastAsia="黑体" w:cs="Times New Roman"/>
          <w:bCs/>
          <w:color w:val="auto"/>
          <w:sz w:val="24"/>
          <w:szCs w:val="32"/>
          <w:highlight w:val="none"/>
        </w:rPr>
        <w:t xml:space="preserve">5. </w:t>
      </w:r>
      <w:bookmarkEnd w:id="98"/>
      <w:bookmarkEnd w:id="99"/>
      <w:bookmarkEnd w:id="100"/>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1" w:name="_Toc26656969"/>
      <w:bookmarkStart w:id="102" w:name="_Toc14201238"/>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101"/>
      <w:bookmarkEnd w:id="10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3" w:name="_Toc14201239"/>
      <w:bookmarkStart w:id="104" w:name="_Toc26656970"/>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103"/>
      <w:bookmarkEnd w:id="10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ascii="Times New Roman" w:hAnsi="Times New Roman" w:cs="Times New Roman"/>
          <w:bCs/>
          <w:color w:val="auto"/>
        </w:rPr>
      </w:pPr>
      <w:bookmarkStart w:id="105" w:name="_Toc14201241"/>
      <w:bookmarkStart w:id="106" w:name="_Toc26656972"/>
      <w:bookmarkStart w:id="107" w:name="_Toc9067725"/>
      <w:r>
        <w:rPr>
          <w:rFonts w:ascii="Times New Roman" w:hAnsi="Times New Roman" w:cs="Times New Roman"/>
          <w:bCs/>
          <w:color w:val="auto"/>
        </w:rPr>
        <w:t>5.2.2</w:t>
      </w:r>
      <w:r>
        <w:rPr>
          <w:rFonts w:hint="eastAsia" w:ascii="Times New Roman" w:hAnsi="Times New Roman" w:cs="Times New Roman"/>
          <w:bCs/>
          <w:color w:val="auto"/>
        </w:rPr>
        <w:t>本次采购采用</w:t>
      </w:r>
      <w:r>
        <w:rPr>
          <w:rFonts w:ascii="Times New Roman" w:hAnsi="Times New Roman" w:cs="Times New Roman"/>
          <w:bCs/>
          <w:color w:val="auto"/>
        </w:rPr>
        <w:t>综合评分法，在响应文件启封中，采购人将按第三章“评审办法”规定的原则计算并宣布评审基准价。若采购人发现响应文件出现以下任一情况，其报价将不再参加评审基准价的计算：</w:t>
      </w:r>
    </w:p>
    <w:p>
      <w:pPr>
        <w:spacing w:line="440" w:lineRule="exact"/>
        <w:ind w:firstLine="420"/>
        <w:rPr>
          <w:rFonts w:ascii="Times New Roman" w:hAnsi="Times New Roman" w:cs="Times New Roman"/>
          <w:bCs/>
          <w:color w:val="auto"/>
        </w:rPr>
      </w:pPr>
      <w:r>
        <w:rPr>
          <w:rFonts w:ascii="Times New Roman" w:hAnsi="Times New Roman" w:cs="Times New Roman"/>
          <w:bCs/>
          <w:color w:val="auto"/>
        </w:rPr>
        <w:t>（1）报价</w:t>
      </w:r>
      <w:r>
        <w:rPr>
          <w:rFonts w:hint="eastAsia" w:ascii="Times New Roman" w:hAnsi="Times New Roman" w:cs="Times New Roman"/>
          <w:bCs/>
          <w:color w:val="auto"/>
        </w:rPr>
        <w:t>比例</w:t>
      </w:r>
      <w:r>
        <w:rPr>
          <w:rFonts w:ascii="Times New Roman" w:hAnsi="Times New Roman" w:cs="Times New Roman"/>
          <w:bCs/>
          <w:color w:val="auto"/>
        </w:rPr>
        <w:t>超</w:t>
      </w:r>
      <w:r>
        <w:rPr>
          <w:rFonts w:hint="eastAsia" w:ascii="Times New Roman" w:hAnsi="Times New Roman" w:cs="Times New Roman"/>
          <w:bCs/>
          <w:color w:val="auto"/>
        </w:rPr>
        <w:t>过100%；</w:t>
      </w:r>
    </w:p>
    <w:p>
      <w:pPr>
        <w:spacing w:line="440" w:lineRule="exact"/>
        <w:ind w:firstLine="420"/>
        <w:rPr>
          <w:rFonts w:ascii="Times New Roman" w:hAnsi="Times New Roman" w:cs="Times New Roman"/>
          <w:bCs/>
          <w:color w:val="auto"/>
        </w:rPr>
      </w:pPr>
      <w:r>
        <w:rPr>
          <w:rFonts w:hint="eastAsia" w:ascii="Times New Roman" w:hAnsi="Times New Roman" w:cs="Times New Roman"/>
          <w:bCs/>
          <w:color w:val="auto"/>
        </w:rPr>
        <w:t>（2）</w:t>
      </w:r>
      <w:r>
        <w:rPr>
          <w:rFonts w:ascii="Times New Roman" w:hAnsi="Times New Roman" w:cs="Times New Roman"/>
          <w:bCs/>
          <w:color w:val="auto"/>
        </w:rPr>
        <w:t>未在报价函上填写报价</w:t>
      </w:r>
      <w:r>
        <w:rPr>
          <w:rFonts w:hint="eastAsia" w:ascii="Times New Roman" w:hAnsi="Times New Roman" w:cs="Times New Roman"/>
          <w:bCs/>
          <w:color w:val="auto"/>
        </w:rPr>
        <w:t>比例；</w:t>
      </w:r>
    </w:p>
    <w:p>
      <w:pPr>
        <w:spacing w:line="440" w:lineRule="exact"/>
        <w:ind w:firstLine="420"/>
        <w:rPr>
          <w:rFonts w:ascii="Times New Roman" w:hAnsi="Times New Roman" w:cs="Times New Roman"/>
          <w:bCs/>
          <w:color w:val="auto"/>
        </w:rPr>
      </w:pPr>
      <w:r>
        <w:rPr>
          <w:rFonts w:hint="eastAsia" w:ascii="Times New Roman" w:hAnsi="Times New Roman" w:cs="Times New Roman"/>
          <w:bCs/>
          <w:color w:val="auto"/>
        </w:rPr>
        <w:t>（3）报价函中的报价比例与</w:t>
      </w:r>
      <w:r>
        <w:rPr>
          <w:rFonts w:hint="eastAsia" w:ascii="Times New Roman" w:hAnsi="Times New Roman" w:cs="Times New Roman"/>
          <w:bCs/>
          <w:color w:val="auto"/>
          <w:lang w:val="en-US" w:eastAsia="zh-CN"/>
        </w:rPr>
        <w:t>汇总表中</w:t>
      </w:r>
      <w:r>
        <w:rPr>
          <w:rFonts w:hint="eastAsia" w:ascii="Times New Roman" w:hAnsi="Times New Roman" w:cs="Times New Roman"/>
          <w:bCs/>
          <w:color w:val="auto"/>
        </w:rPr>
        <w:t>报价比例不一致</w:t>
      </w:r>
      <w:r>
        <w:rPr>
          <w:rFonts w:ascii="Times New Roman" w:hAnsi="Times New Roman" w:cs="Times New Roman"/>
          <w:bCs/>
          <w:color w:val="auto"/>
        </w:rPr>
        <w:t>；</w:t>
      </w:r>
    </w:p>
    <w:p>
      <w:pPr>
        <w:spacing w:line="440" w:lineRule="exact"/>
        <w:ind w:firstLine="420"/>
        <w:rPr>
          <w:rFonts w:hint="default" w:ascii="Times New Roman" w:hAnsi="Times New Roman" w:eastAsiaTheme="minorEastAsia"/>
          <w:color w:val="auto"/>
          <w:highlight w:val="none"/>
          <w:lang w:val="en-US" w:eastAsia="zh-CN"/>
        </w:rPr>
      </w:pP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lang w:val="en-US" w:eastAsia="zh-CN"/>
        </w:rPr>
        <w:t>4</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lang w:val="en-US" w:eastAsia="zh-CN"/>
        </w:rPr>
        <w:t>未按要求提交响应保证金；</w:t>
      </w:r>
    </w:p>
    <w:p>
      <w:pPr>
        <w:spacing w:line="440" w:lineRule="exact"/>
        <w:ind w:firstLine="420" w:firstLineChars="200"/>
        <w:rPr>
          <w:rFonts w:ascii="Times New Roman" w:hAnsi="Times New Roman" w:cs="Times New Roman"/>
          <w:color w:val="auto"/>
        </w:rPr>
      </w:pPr>
      <w:r>
        <w:rPr>
          <w:rFonts w:ascii="Times New Roman" w:hAnsi="Times New Roman" w:cs="Times New Roman"/>
          <w:bCs/>
          <w:color w:val="auto"/>
        </w:rPr>
        <w:t>如果供应商认为评审基准价计算有误，有权在启封过程中提出，经采购人在启封过程中核实确认之后，可重新宣布评审基准价。启封过程中公布的评审基准价除计算有误，经</w:t>
      </w:r>
      <w:r>
        <w:rPr>
          <w:rFonts w:hint="eastAsia" w:ascii="Times New Roman" w:hAnsi="Times New Roman" w:cs="Times New Roman"/>
          <w:bCs/>
          <w:color w:val="auto"/>
        </w:rPr>
        <w:t>评审小组</w:t>
      </w:r>
      <w:r>
        <w:rPr>
          <w:rFonts w:ascii="Times New Roman" w:hAnsi="Times New Roman" w:cs="Times New Roman"/>
          <w:bCs/>
          <w:color w:val="auto"/>
        </w:rPr>
        <w:t>修正外，在整个评审期间保持不变，不随任何因素发生变化。</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5.2.3</w:t>
      </w:r>
      <w:r>
        <w:rPr>
          <w:rFonts w:ascii="Times New Roman" w:hAnsi="Times New Roman" w:cs="Times New Roman"/>
          <w:color w:val="auto"/>
        </w:rPr>
        <w:t>供应商</w:t>
      </w:r>
      <w:r>
        <w:rPr>
          <w:rFonts w:hint="eastAsia" w:ascii="Times New Roman" w:hAnsi="Times New Roman" w:cs="Times New Roman"/>
          <w:color w:val="auto"/>
        </w:rPr>
        <w:t>在</w:t>
      </w:r>
      <w:r>
        <w:rPr>
          <w:rFonts w:ascii="Times New Roman" w:hAnsi="Times New Roman" w:cs="Times New Roman"/>
          <w:color w:val="auto"/>
        </w:rPr>
        <w:t>启封过程</w:t>
      </w:r>
      <w:r>
        <w:rPr>
          <w:rFonts w:hint="eastAsia" w:ascii="Times New Roman" w:hAnsi="Times New Roman" w:cs="Times New Roman"/>
          <w:color w:val="auto"/>
        </w:rPr>
        <w:t>中</w:t>
      </w:r>
      <w:r>
        <w:rPr>
          <w:rFonts w:ascii="Times New Roman" w:hAnsi="Times New Roman" w:cs="Times New Roman"/>
          <w:color w:val="auto"/>
        </w:rPr>
        <w:t>有</w:t>
      </w:r>
      <w:r>
        <w:rPr>
          <w:rFonts w:hint="eastAsia" w:ascii="Times New Roman" w:hAnsi="Times New Roman" w:cs="Times New Roman"/>
          <w:color w:val="auto"/>
        </w:rPr>
        <w:t>疑问</w:t>
      </w:r>
      <w:r>
        <w:rPr>
          <w:rFonts w:ascii="Times New Roman" w:hAnsi="Times New Roman" w:cs="Times New Roman"/>
          <w:color w:val="auto"/>
        </w:rPr>
        <w:t>的，应当在</w:t>
      </w:r>
      <w:r>
        <w:rPr>
          <w:rFonts w:hint="eastAsia" w:ascii="Times New Roman" w:hAnsi="Times New Roman" w:cs="Times New Roman"/>
          <w:color w:val="auto"/>
        </w:rPr>
        <w:t>现场</w:t>
      </w:r>
      <w:r>
        <w:rPr>
          <w:rFonts w:ascii="Times New Roman" w:hAnsi="Times New Roman" w:cs="Times New Roman"/>
          <w:color w:val="auto"/>
        </w:rPr>
        <w:t>提出</w:t>
      </w:r>
      <w:r>
        <w:rPr>
          <w:rFonts w:hint="eastAsia" w:ascii="Times New Roman" w:hAnsi="Times New Roman" w:cs="Times New Roman"/>
          <w:color w:val="auto"/>
        </w:rPr>
        <w:t>，</w:t>
      </w:r>
      <w:r>
        <w:rPr>
          <w:rFonts w:ascii="Times New Roman" w:hAnsi="Times New Roman" w:cs="Times New Roman"/>
          <w:color w:val="auto"/>
        </w:rPr>
        <w:t>采购人</w:t>
      </w:r>
      <w:r>
        <w:rPr>
          <w:rFonts w:hint="eastAsia" w:ascii="Times New Roman" w:hAnsi="Times New Roman" w:cs="Times New Roman"/>
          <w:color w:val="auto"/>
        </w:rPr>
        <w:t>将</w:t>
      </w:r>
      <w:r>
        <w:rPr>
          <w:rFonts w:ascii="Times New Roman" w:hAnsi="Times New Roman" w:cs="Times New Roman"/>
          <w:color w:val="auto"/>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6. 评</w:t>
      </w:r>
      <w:bookmarkEnd w:id="105"/>
      <w:bookmarkEnd w:id="106"/>
      <w:bookmarkEnd w:id="107"/>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8" w:name="_Toc26656973"/>
      <w:bookmarkStart w:id="109" w:name="_Toc14201242"/>
      <w:r>
        <w:rPr>
          <w:rFonts w:hint="default" w:ascii="Times New Roman" w:hAnsi="Times New Roman" w:eastAsia="黑体" w:cs="Times New Roman"/>
          <w:bCs/>
          <w:color w:val="auto"/>
          <w:sz w:val="24"/>
          <w:szCs w:val="32"/>
          <w:highlight w:val="none"/>
        </w:rPr>
        <w:t>6.1</w:t>
      </w:r>
      <w:bookmarkEnd w:id="108"/>
      <w:bookmarkEnd w:id="109"/>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firstLineChars="200"/>
        <w:rPr>
          <w:rFonts w:ascii="Times New Roman" w:hAnsi="Times New Roman" w:cs="Times New Roman"/>
          <w:color w:val="auto"/>
        </w:rPr>
      </w:pPr>
      <w:bookmarkStart w:id="110" w:name="_Toc26656975"/>
      <w:bookmarkStart w:id="111" w:name="_Toc14201244"/>
      <w:r>
        <w:rPr>
          <w:rFonts w:hint="eastAsia" w:ascii="Times New Roman" w:hAnsi="Times New Roman" w:cs="Times New Roman"/>
          <w:color w:val="auto"/>
        </w:rPr>
        <w:t>评审小组由设计总院检测板块专家委员会或公司评标委员会的成员组成，人数</w:t>
      </w:r>
      <w:r>
        <w:rPr>
          <w:rFonts w:hint="eastAsia" w:ascii="Times New Roman" w:hAnsi="Times New Roman" w:cs="Times New Roman"/>
          <w:color w:val="auto"/>
          <w:lang w:eastAsia="zh-CN"/>
        </w:rPr>
        <w:t>至少</w:t>
      </w:r>
      <w:r>
        <w:rPr>
          <w:rFonts w:hint="eastAsia" w:ascii="Times New Roman" w:hAnsi="Times New Roman" w:cs="Times New Roman"/>
          <w:color w:val="auto"/>
        </w:rPr>
        <w:t>3人。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10"/>
      <w:bookmarkEnd w:id="111"/>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numPr>
          <w:ilvl w:val="0"/>
          <w:numId w:val="0"/>
        </w:numPr>
        <w:spacing w:line="560" w:lineRule="exact"/>
        <w:ind w:firstLine="420" w:firstLineChars="200"/>
        <w:jc w:val="left"/>
        <w:rPr>
          <w:rFonts w:hint="eastAsia" w:ascii="Times New Roman" w:hAnsi="Times New Roman" w:cs="Times New Roman"/>
          <w:color w:val="auto"/>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w:t>
      </w:r>
      <w:r>
        <w:rPr>
          <w:rFonts w:hint="eastAsia" w:ascii="Times New Roman" w:hAnsi="Times New Roman" w:cs="Times New Roman"/>
          <w:color w:val="auto"/>
          <w:lang w:val="en-US" w:eastAsia="zh-CN"/>
        </w:rPr>
        <w:t>评审小组对通过资格审查的报价文件，在满足采购文件实质性要求的前提下，以供应商的综合得分由高到低的顺序进行排序，确认排名，综合得分最高者为第一候选人。若存在有供应商得分相同情况，根据供应商提交响应文件中业绩数量多者进行排序；如业绩数量相同，以提交响应文件时间的先后顺序，确定排名先后。</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应向采购人提交书面评审报告和成交候选人名单。</w:t>
      </w:r>
      <w:r>
        <w:rPr>
          <w:rFonts w:hint="eastAsia" w:ascii="Times New Roman" w:hAnsi="Times New Roman" w:cs="Times New Roman"/>
          <w:color w:val="auto"/>
        </w:rPr>
        <w:t>评审小组</w:t>
      </w:r>
      <w:r>
        <w:rPr>
          <w:rFonts w:ascii="Times New Roman" w:hAnsi="Times New Roman" w:cs="Times New Roman"/>
          <w:color w:val="auto"/>
        </w:rPr>
        <w:t>推荐成交候选人的人数</w:t>
      </w:r>
      <w:r>
        <w:rPr>
          <w:rFonts w:hint="eastAsia" w:ascii="Times New Roman" w:hAnsi="Times New Roman" w:cs="Times New Roman"/>
          <w:color w:val="auto"/>
        </w:rPr>
        <w:t>为：</w:t>
      </w:r>
      <w:r>
        <w:rPr>
          <w:rFonts w:hint="eastAsia" w:ascii="Times New Roman" w:hAnsi="Times New Roman" w:cs="Times New Roman"/>
          <w:color w:val="auto"/>
          <w:lang w:val="en-US" w:eastAsia="zh-CN"/>
        </w:rPr>
        <w:t>1</w:t>
      </w:r>
      <w:r>
        <w:rPr>
          <w:rFonts w:hint="eastAsia" w:ascii="Times New Roman" w:hAnsi="Times New Roman" w:cs="Times New Roman"/>
          <w:color w:val="auto"/>
        </w:rPr>
        <w:t>人</w:t>
      </w:r>
      <w:r>
        <w:rPr>
          <w:rFonts w:ascii="Times New Roman" w:hAnsi="Times New Roman" w:cs="Times New Roman"/>
          <w:color w:val="auto"/>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2" w:name="_Toc9067726"/>
      <w:bookmarkStart w:id="113" w:name="_Toc14201245"/>
      <w:bookmarkStart w:id="114" w:name="_Toc26656976"/>
      <w:r>
        <w:rPr>
          <w:rFonts w:hint="default" w:ascii="Times New Roman" w:hAnsi="Times New Roman" w:eastAsia="黑体" w:cs="Times New Roman"/>
          <w:bCs/>
          <w:color w:val="auto"/>
          <w:sz w:val="24"/>
          <w:szCs w:val="32"/>
          <w:highlight w:val="none"/>
        </w:rPr>
        <w:t>7. 合同授予</w:t>
      </w:r>
      <w:bookmarkEnd w:id="112"/>
      <w:bookmarkEnd w:id="113"/>
      <w:bookmarkEnd w:id="114"/>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5" w:name="_Toc26656977"/>
      <w:bookmarkStart w:id="116"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5"/>
      <w:bookmarkEnd w:id="116"/>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公示期</w:t>
      </w:r>
      <w:r>
        <w:rPr>
          <w:rFonts w:hint="eastAsia" w:ascii="Times New Roman" w:hAnsi="Times New Roman" w:cs="Times New Roman"/>
          <w:color w:val="auto"/>
          <w:highlight w:val="none"/>
          <w:lang w:val="en-US" w:eastAsia="zh-CN"/>
        </w:rPr>
        <w:t>为</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7" w:name="_Toc26656978"/>
      <w:bookmarkStart w:id="118"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17"/>
      <w:bookmarkEnd w:id="118"/>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9" w:name="_Toc26656979"/>
      <w:bookmarkStart w:id="120"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19"/>
      <w:bookmarkEnd w:id="12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1" w:name="_Toc14201250"/>
      <w:bookmarkStart w:id="122" w:name="_Toc26656981"/>
      <w:r>
        <w:rPr>
          <w:rFonts w:hint="default" w:ascii="Times New Roman" w:hAnsi="Times New Roman" w:eastAsia="黑体" w:cs="Times New Roman"/>
          <w:bCs/>
          <w:color w:val="auto"/>
          <w:sz w:val="24"/>
          <w:szCs w:val="32"/>
          <w:highlight w:val="none"/>
        </w:rPr>
        <w:t>7.</w:t>
      </w:r>
      <w:bookmarkEnd w:id="121"/>
      <w:bookmarkEnd w:id="122"/>
      <w:bookmarkStart w:id="123" w:name="_Toc26656983"/>
      <w:bookmarkStart w:id="124" w:name="_Toc14201252"/>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23"/>
      <w:bookmarkEnd w:id="12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eastAsia"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r>
        <w:rPr>
          <w:rFonts w:hint="eastAsia" w:ascii="Times New Roman" w:hAnsi="Times New Roman" w:cs="Times New Roman"/>
          <w:color w:val="auto"/>
          <w:highlight w:val="none"/>
          <w:u w:val="single"/>
          <w:lang w:val="en-US" w:eastAsia="zh-CN"/>
        </w:rPr>
        <w:t>贰万元整</w:t>
      </w:r>
      <w:r>
        <w:rPr>
          <w:rFonts w:hint="eastAsia" w:ascii="Times New Roman" w:hAnsi="Times New Roman" w:cs="Times New Roman"/>
          <w:color w:val="auto"/>
          <w:highlight w:val="none"/>
          <w:u w:val="none"/>
          <w:lang w:val="en-US" w:eastAsia="zh-CN"/>
        </w:rPr>
        <w:t>，</w:t>
      </w:r>
      <w:r>
        <w:rPr>
          <w:rFonts w:hint="eastAsia" w:ascii="Times New Roman" w:hAnsi="Times New Roman" w:cs="Times New Roman"/>
          <w:color w:val="auto"/>
          <w:highlight w:val="none"/>
          <w:lang w:val="en-US" w:eastAsia="zh-CN"/>
        </w:rPr>
        <w:t>履约保证金的形式为</w:t>
      </w:r>
      <w:r>
        <w:rPr>
          <w:rFonts w:hint="eastAsia" w:ascii="Times New Roman" w:hAnsi="Times New Roman" w:cs="Times New Roman"/>
          <w:color w:val="auto"/>
          <w:highlight w:val="none"/>
          <w:u w:val="single"/>
          <w:lang w:val="en-US" w:eastAsia="zh-CN"/>
        </w:rPr>
        <w:t>银行转账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不能按本章第7.</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还应当对超过部分予以赔偿。</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5" w:name="_Toc14201253"/>
      <w:bookmarkStart w:id="126" w:name="_Toc26656984"/>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5"/>
      <w:bookmarkEnd w:id="12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27" w:name="_Toc9067727"/>
      <w:bookmarkStart w:id="128" w:name="_Toc26656988"/>
      <w:bookmarkStart w:id="129"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27"/>
      <w:bookmarkEnd w:id="128"/>
      <w:bookmarkEnd w:id="12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14201262"/>
      <w:bookmarkStart w:id="131"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30"/>
      <w:bookmarkEnd w:id="131"/>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widowControl/>
        <w:spacing w:line="440" w:lineRule="exact"/>
        <w:ind w:firstLine="420"/>
        <w:jc w:val="left"/>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p>
    <w:p>
      <w:pPr>
        <w:widowControl/>
        <w:spacing w:line="440" w:lineRule="exact"/>
        <w:ind w:firstLine="420"/>
        <w:jc w:val="left"/>
        <w:rPr>
          <w:rFonts w:ascii="Times New Roman" w:hAnsi="Times New Roman" w:cs="Times New Roman"/>
          <w:color w:val="auto"/>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ascii="Times New Roman" w:hAnsi="Times New Roman" w:cs="Times New Roman"/>
          <w:color w:val="auto"/>
          <w:u w:val="single"/>
        </w:rPr>
        <w:t>安徽省高速公路试验检测科研中心有限公司党群工作部</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联系方式：</w:t>
      </w:r>
      <w:r>
        <w:rPr>
          <w:rFonts w:ascii="Times New Roman" w:hAnsi="Times New Roman" w:cs="Times New Roman"/>
          <w:color w:val="auto"/>
          <w:u w:val="single"/>
        </w:rPr>
        <w:t xml:space="preserve">0551-63813025 </w:t>
      </w:r>
    </w:p>
    <w:p>
      <w:pPr>
        <w:spacing w:line="440" w:lineRule="exact"/>
        <w:ind w:firstLine="420"/>
        <w:rPr>
          <w:rFonts w:hint="default" w:ascii="Times New Roman" w:hAnsi="Times New Roman" w:cs="Times New Roman"/>
          <w:color w:val="auto"/>
          <w:highlight w:val="none"/>
        </w:rPr>
      </w:pPr>
    </w:p>
    <w:p>
      <w:pPr>
        <w:widowControl/>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bookmarkStart w:id="132" w:name="_Toc29272_WPSOffice_Level1"/>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132"/>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pPr>
    </w:p>
    <w:p>
      <w:pPr>
        <w:jc w:val="center"/>
        <w:rPr>
          <w:rFonts w:hint="default" w:ascii="Times New Roman" w:hAnsi="Times New Roman" w:eastAsia="宋体" w:cs="Times New Roman"/>
          <w:color w:val="auto"/>
          <w:highlight w:val="none"/>
          <w:lang w:val="en-US" w:eastAsia="zh-CN"/>
        </w:rPr>
        <w:sectPr>
          <w:footerReference r:id="rId4"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snapToGrid w:val="0"/>
        <w:spacing w:beforeLines="50" w:line="360" w:lineRule="auto"/>
        <w:jc w:val="center"/>
        <w:rPr>
          <w:rFonts w:hint="eastAsia" w:ascii="黑体" w:hAnsi="黑体" w:eastAsia="黑体" w:cs="黑体"/>
          <w:color w:val="auto"/>
          <w:sz w:val="24"/>
        </w:rPr>
      </w:pPr>
      <w:bookmarkStart w:id="133" w:name="_Toc13270_WPSOffice_Level1"/>
      <w:r>
        <w:rPr>
          <w:rFonts w:hint="eastAsia" w:ascii="黑体" w:hAnsi="黑体" w:eastAsia="黑体" w:cs="黑体"/>
          <w:color w:val="auto"/>
          <w:sz w:val="24"/>
        </w:rPr>
        <w:t>表1  评标办法前附表</w:t>
      </w:r>
    </w:p>
    <w:tbl>
      <w:tblPr>
        <w:tblStyle w:val="13"/>
        <w:tblW w:w="10205" w:type="dxa"/>
        <w:tblInd w:w="-84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961"/>
        <w:gridCol w:w="6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条款号</w:t>
            </w:r>
          </w:p>
        </w:tc>
        <w:tc>
          <w:tcPr>
            <w:tcW w:w="2926" w:type="dxa"/>
            <w:tcBorders>
              <w:tl2br w:val="nil"/>
              <w:tr2bl w:val="nil"/>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条款内容</w:t>
            </w:r>
          </w:p>
        </w:tc>
        <w:tc>
          <w:tcPr>
            <w:tcW w:w="6207" w:type="dxa"/>
            <w:tcBorders>
              <w:tl2br w:val="nil"/>
              <w:tr2bl w:val="nil"/>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1.1.1</w:t>
            </w:r>
          </w:p>
        </w:tc>
        <w:tc>
          <w:tcPr>
            <w:tcW w:w="2926" w:type="dxa"/>
            <w:tcBorders>
              <w:tl2br w:val="nil"/>
              <w:tr2bl w:val="nil"/>
            </w:tcBorders>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分值构成</w:t>
            </w:r>
          </w:p>
          <w:p>
            <w:pPr>
              <w:jc w:val="center"/>
              <w:rPr>
                <w:rFonts w:ascii="Times New Roman" w:hAnsi="Times New Roman" w:eastAsia="宋体" w:cs="Times New Roman"/>
                <w:color w:val="auto"/>
              </w:rPr>
            </w:pPr>
            <w:r>
              <w:rPr>
                <w:rFonts w:ascii="Times New Roman" w:hAnsi="Times New Roman" w:eastAsia="宋体" w:cs="Times New Roman"/>
                <w:color w:val="auto"/>
              </w:rPr>
              <w:t>（总分100分）</w:t>
            </w:r>
          </w:p>
        </w:tc>
        <w:tc>
          <w:tcPr>
            <w:tcW w:w="6207" w:type="dxa"/>
            <w:tcBorders>
              <w:tl2br w:val="nil"/>
              <w:tr2bl w:val="nil"/>
            </w:tcBorders>
            <w:vAlign w:val="center"/>
          </w:tcPr>
          <w:p>
            <w:pPr>
              <w:widowControl/>
              <w:adjustRightInd w:val="0"/>
              <w:snapToGrid w:val="0"/>
              <w:spacing w:line="360" w:lineRule="atLeast"/>
              <w:jc w:val="left"/>
              <w:rPr>
                <w:color w:val="auto"/>
              </w:rPr>
            </w:pPr>
            <w:r>
              <w:rPr>
                <w:rFonts w:hint="eastAsia"/>
                <w:color w:val="auto"/>
                <w:lang w:val="en-US" w:eastAsia="zh-CN"/>
              </w:rPr>
              <w:t>商务技术</w:t>
            </w:r>
            <w:r>
              <w:rPr>
                <w:color w:val="auto"/>
              </w:rPr>
              <w:t>：</w:t>
            </w:r>
            <w:r>
              <w:rPr>
                <w:rFonts w:hint="eastAsia"/>
                <w:color w:val="auto"/>
                <w:lang w:val="en-US" w:eastAsia="zh-CN"/>
              </w:rPr>
              <w:t>70</w:t>
            </w:r>
            <w:r>
              <w:rPr>
                <w:color w:val="auto"/>
              </w:rPr>
              <w:t>分</w:t>
            </w:r>
          </w:p>
          <w:p>
            <w:pPr>
              <w:widowControl/>
              <w:adjustRightInd w:val="0"/>
              <w:snapToGrid w:val="0"/>
              <w:spacing w:line="360" w:lineRule="atLeast"/>
              <w:jc w:val="left"/>
              <w:rPr>
                <w:rFonts w:ascii="Times New Roman" w:hAnsi="Times New Roman" w:eastAsia="宋体" w:cs="Times New Roman"/>
                <w:color w:val="auto"/>
              </w:rPr>
            </w:pPr>
            <w:r>
              <w:rPr>
                <w:color w:val="auto"/>
              </w:rPr>
              <w:t>评</w:t>
            </w:r>
            <w:r>
              <w:rPr>
                <w:rFonts w:hint="eastAsia"/>
                <w:color w:val="auto"/>
              </w:rPr>
              <w:t>审</w:t>
            </w:r>
            <w:r>
              <w:rPr>
                <w:color w:val="auto"/>
              </w:rPr>
              <w:t>价：</w:t>
            </w:r>
            <w:r>
              <w:rPr>
                <w:rFonts w:hint="eastAsia"/>
                <w:color w:val="auto"/>
                <w:lang w:val="en-US" w:eastAsia="zh-CN"/>
              </w:rPr>
              <w:t>30</w:t>
            </w:r>
            <w:r>
              <w:rPr>
                <w:color w:val="auto"/>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1.1.2</w:t>
            </w:r>
          </w:p>
        </w:tc>
        <w:tc>
          <w:tcPr>
            <w:tcW w:w="2926"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评审基准价</w:t>
            </w:r>
          </w:p>
          <w:p>
            <w:pPr>
              <w:jc w:val="center"/>
              <w:rPr>
                <w:rFonts w:ascii="Times New Roman" w:hAnsi="Times New Roman" w:eastAsia="宋体" w:cs="Times New Roman"/>
                <w:color w:val="auto"/>
              </w:rPr>
            </w:pPr>
            <w:r>
              <w:rPr>
                <w:rFonts w:hint="eastAsia" w:ascii="Times New Roman" w:hAnsi="Times New Roman" w:eastAsia="宋体" w:cs="Times New Roman"/>
                <w:color w:val="auto"/>
              </w:rPr>
              <w:t>计算方式</w:t>
            </w:r>
          </w:p>
        </w:tc>
        <w:tc>
          <w:tcPr>
            <w:tcW w:w="6207" w:type="dxa"/>
            <w:tcBorders>
              <w:tl2br w:val="nil"/>
              <w:tr2bl w:val="nil"/>
            </w:tcBorders>
            <w:vAlign w:val="center"/>
          </w:tcPr>
          <w:p>
            <w:pPr>
              <w:widowControl/>
              <w:adjustRightInd w:val="0"/>
              <w:snapToGrid w:val="0"/>
              <w:spacing w:line="360" w:lineRule="atLeast"/>
              <w:jc w:val="left"/>
              <w:rPr>
                <w:color w:val="auto"/>
              </w:rPr>
            </w:pPr>
            <w:r>
              <w:rPr>
                <w:color w:val="auto"/>
              </w:rPr>
              <w:t xml:space="preserve">评标基准价的计算： </w:t>
            </w:r>
          </w:p>
          <w:p>
            <w:pPr>
              <w:widowControl/>
              <w:adjustRightInd w:val="0"/>
              <w:snapToGrid w:val="0"/>
              <w:spacing w:line="360" w:lineRule="atLeast"/>
              <w:jc w:val="left"/>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 xml:space="preserve">评标价的确定： </w:t>
            </w:r>
          </w:p>
          <w:p>
            <w:pPr>
              <w:widowControl/>
              <w:adjustRightInd w:val="0"/>
              <w:snapToGrid w:val="0"/>
              <w:spacing w:line="360" w:lineRule="atLeast"/>
              <w:jc w:val="left"/>
              <w:rPr>
                <w:rFonts w:hint="eastAsia"/>
                <w:color w:val="auto"/>
              </w:rPr>
            </w:pPr>
            <w:r>
              <w:rPr>
                <w:color w:val="auto"/>
              </w:rPr>
              <w:t>评标价=</w:t>
            </w:r>
            <w:r>
              <w:rPr>
                <w:rFonts w:hint="eastAsia"/>
                <w:color w:val="auto"/>
              </w:rPr>
              <w:t>报价</w:t>
            </w:r>
            <w:r>
              <w:rPr>
                <w:color w:val="auto"/>
              </w:rPr>
              <w:t xml:space="preserve">函报价 </w:t>
            </w:r>
            <w:r>
              <w:rPr>
                <w:rFonts w:hint="eastAsia"/>
                <w:color w:val="auto"/>
              </w:rPr>
              <w:t>（报价比例）</w:t>
            </w:r>
          </w:p>
          <w:p>
            <w:pPr>
              <w:widowControl/>
              <w:adjustRightInd w:val="0"/>
              <w:snapToGrid w:val="0"/>
              <w:spacing w:line="360" w:lineRule="atLeast"/>
              <w:jc w:val="left"/>
              <w:rPr>
                <w:rFonts w:ascii="Times New Roman" w:hAnsi="Times New Roman" w:eastAsia="宋体" w:cs="Times New Roman"/>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default"/>
                <w:color w:val="auto"/>
                <w:lang w:eastAsia="zh-CN"/>
              </w:rPr>
              <w:t>评审基准价</w:t>
            </w:r>
            <w:r>
              <w:rPr>
                <w:rFonts w:hint="default"/>
                <w:color w:val="auto"/>
              </w:rPr>
              <w:t>的确定 ：</w:t>
            </w:r>
            <w:r>
              <w:rPr>
                <w:rFonts w:hint="eastAsia"/>
                <w:color w:val="auto"/>
                <w:lang w:val="en-US" w:eastAsia="zh-CN"/>
              </w:rPr>
              <w:t>将评审价中的最低值作为</w:t>
            </w:r>
            <w:r>
              <w:rPr>
                <w:rFonts w:hint="default"/>
                <w:color w:val="auto"/>
                <w:lang w:eastAsia="zh-CN"/>
              </w:rPr>
              <w:t>评审基准价</w:t>
            </w:r>
            <w:r>
              <w:rPr>
                <w:rFonts w:hint="eastAsia"/>
                <w:color w:val="auto"/>
                <w:lang w:eastAsia="zh-CN"/>
              </w:rPr>
              <w:t>。</w:t>
            </w:r>
            <w:r>
              <w:rPr>
                <w:rFonts w:ascii="Times New Roman" w:hAnsi="Times New Roman" w:eastAsia="宋体" w:cs="Times New Roman"/>
                <w:color w:val="auto"/>
                <w:kern w:val="0"/>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1.1.3</w:t>
            </w:r>
          </w:p>
        </w:tc>
        <w:tc>
          <w:tcPr>
            <w:tcW w:w="2926"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评审价的计算方式</w:t>
            </w:r>
          </w:p>
        </w:tc>
        <w:tc>
          <w:tcPr>
            <w:tcW w:w="6207" w:type="dxa"/>
            <w:tcBorders>
              <w:tl2br w:val="nil"/>
              <w:tr2bl w:val="nil"/>
            </w:tcBorders>
            <w:vAlign w:val="center"/>
          </w:tcPr>
          <w:p>
            <w:pPr>
              <w:widowControl/>
              <w:jc w:val="left"/>
              <w:rPr>
                <w:rFonts w:ascii="Times New Roman" w:hAnsi="Times New Roman" w:eastAsia="宋体" w:cs="Times New Roman"/>
                <w:color w:val="auto"/>
                <w:kern w:val="0"/>
                <w:sz w:val="22"/>
                <w:szCs w:val="22"/>
              </w:rPr>
            </w:pPr>
            <w:r>
              <w:rPr>
                <w:rFonts w:hint="eastAsia" w:ascii="Times New Roman" w:hAnsi="Times New Roman" w:cs="Times New Roman"/>
                <w:color w:val="auto"/>
                <w:szCs w:val="21"/>
                <w:highlight w:val="none"/>
                <w:lang w:val="en-US" w:eastAsia="zh-CN"/>
              </w:rPr>
              <w:t>以最低报价比例为基准报价，则评标价得分=基准价/报价*30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0"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1.1.4</w:t>
            </w:r>
          </w:p>
        </w:tc>
        <w:tc>
          <w:tcPr>
            <w:tcW w:w="2926" w:type="dxa"/>
            <w:tcBorders>
              <w:tl2br w:val="nil"/>
              <w:tr2bl w:val="nil"/>
            </w:tcBorders>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评审方法</w:t>
            </w:r>
          </w:p>
        </w:tc>
        <w:tc>
          <w:tcPr>
            <w:tcW w:w="6207" w:type="dxa"/>
            <w:tcBorders>
              <w:tl2br w:val="nil"/>
              <w:tr2bl w:val="nil"/>
            </w:tcBorders>
            <w:vAlign w:val="center"/>
          </w:tcPr>
          <w:p>
            <w:pPr>
              <w:widowControl/>
              <w:adjustRightInd w:val="0"/>
              <w:snapToGrid w:val="0"/>
              <w:jc w:val="left"/>
              <w:rPr>
                <w:color w:val="auto"/>
              </w:rPr>
            </w:pPr>
            <w:r>
              <w:rPr>
                <w:rFonts w:hint="eastAsia"/>
                <w:color w:val="auto"/>
              </w:rPr>
              <w:t>按最终得分由高到低的顺序依次推荐前</w:t>
            </w:r>
            <w:r>
              <w:rPr>
                <w:rFonts w:hint="eastAsia"/>
                <w:color w:val="auto"/>
                <w:lang w:val="en-US" w:eastAsia="zh-CN"/>
              </w:rPr>
              <w:t>1</w:t>
            </w:r>
            <w:r>
              <w:rPr>
                <w:rFonts w:hint="eastAsia"/>
                <w:color w:val="auto"/>
              </w:rPr>
              <w:t>名成交候选人：</w:t>
            </w:r>
          </w:p>
          <w:p>
            <w:pPr>
              <w:widowControl/>
              <w:adjustRightInd w:val="0"/>
              <w:snapToGrid w:val="0"/>
              <w:spacing w:line="360" w:lineRule="atLeast"/>
              <w:jc w:val="left"/>
              <w:rPr>
                <w:color w:val="auto"/>
              </w:rPr>
            </w:pPr>
            <w:r>
              <w:rPr>
                <w:color w:val="auto"/>
              </w:rPr>
              <w:t>（1）对满足询比文件要求的响应文件，按照</w:t>
            </w:r>
            <w:r>
              <w:rPr>
                <w:rFonts w:hint="eastAsia"/>
                <w:color w:val="auto"/>
              </w:rPr>
              <w:t>得分</w:t>
            </w:r>
            <w:r>
              <w:rPr>
                <w:color w:val="auto"/>
              </w:rPr>
              <w:t>由</w:t>
            </w:r>
            <w:r>
              <w:rPr>
                <w:rFonts w:hint="eastAsia"/>
                <w:color w:val="auto"/>
              </w:rPr>
              <w:t>高</w:t>
            </w:r>
            <w:r>
              <w:rPr>
                <w:color w:val="auto"/>
              </w:rPr>
              <w:t>到</w:t>
            </w:r>
            <w:r>
              <w:rPr>
                <w:rFonts w:hint="eastAsia"/>
                <w:color w:val="auto"/>
              </w:rPr>
              <w:t>低</w:t>
            </w:r>
            <w:r>
              <w:rPr>
                <w:color w:val="auto"/>
              </w:rPr>
              <w:t>的顺序推荐</w:t>
            </w:r>
            <w:r>
              <w:rPr>
                <w:rFonts w:hint="eastAsia"/>
                <w:color w:val="auto"/>
                <w:lang w:val="en-US" w:eastAsia="zh-CN"/>
              </w:rPr>
              <w:t>1</w:t>
            </w:r>
            <w:r>
              <w:rPr>
                <w:rFonts w:hint="eastAsia"/>
                <w:color w:val="auto"/>
              </w:rPr>
              <w:t>名</w:t>
            </w:r>
            <w:r>
              <w:rPr>
                <w:color w:val="auto"/>
              </w:rPr>
              <w:t>成交候选人；</w:t>
            </w:r>
          </w:p>
          <w:p>
            <w:pPr>
              <w:widowControl/>
              <w:adjustRightInd w:val="0"/>
              <w:snapToGrid w:val="0"/>
              <w:spacing w:line="360" w:lineRule="atLeast"/>
              <w:jc w:val="left"/>
              <w:rPr>
                <w:color w:val="auto"/>
                <w:lang w:val="zh-CN"/>
              </w:rPr>
            </w:pPr>
            <w:r>
              <w:rPr>
                <w:color w:val="auto"/>
              </w:rPr>
              <w:t>（2）</w:t>
            </w:r>
            <w:r>
              <w:rPr>
                <w:rFonts w:hint="eastAsia"/>
                <w:color w:val="auto"/>
                <w:lang w:val="en-US" w:eastAsia="zh-CN"/>
              </w:rPr>
              <w:t>若存在有供应商得分相同情况，根据供应商提交响应文件中业绩数量多者进行排序；如业绩数量相同，以提交响应文件时间的先后顺序，确定排名先后。</w:t>
            </w:r>
          </w:p>
          <w:p>
            <w:pPr>
              <w:widowControl/>
              <w:adjustRightInd w:val="0"/>
              <w:snapToGrid w:val="0"/>
              <w:spacing w:line="360" w:lineRule="atLeast"/>
              <w:jc w:val="left"/>
              <w:rPr>
                <w:color w:val="auto"/>
              </w:rPr>
            </w:pPr>
            <w:r>
              <w:rPr>
                <w:rFonts w:hint="eastAsia"/>
                <w:color w:val="auto"/>
                <w:lang w:val="zh-CN" w:eastAsia="zh-CN"/>
              </w:rPr>
              <w:t>（3）</w:t>
            </w:r>
            <w:r>
              <w:rPr>
                <w:rFonts w:hint="eastAsia" w:ascii="Times New Roman" w:hAnsi="Times New Roman" w:cs="Times New Roman"/>
                <w:color w:val="auto"/>
                <w:lang w:val="en-US" w:eastAsia="zh-CN"/>
              </w:rPr>
              <w:t>评审小组对通过资格审查的报价文件，在满足采购文件实质性要求的前提下，以供应商的综合得分由高到低的顺序进行排序，确认排名，综合得分最高者为第一候选人。</w:t>
            </w:r>
          </w:p>
        </w:tc>
      </w:tr>
    </w:tbl>
    <w:p>
      <w:pPr>
        <w:keepNext/>
        <w:keepLines/>
        <w:spacing w:before="120" w:beforeLines="50" w:after="120" w:afterLines="50"/>
        <w:ind w:firstLine="0" w:firstLineChars="0"/>
        <w:outlineLvl w:val="1"/>
        <w:rPr>
          <w:rFonts w:hint="default" w:ascii="Times New Roman" w:hAnsi="Times New Roman" w:eastAsia="黑体" w:cs="Times New Roman"/>
          <w:color w:val="auto"/>
          <w:sz w:val="29"/>
          <w:szCs w:val="29"/>
          <w:highlight w:val="none"/>
        </w:rPr>
      </w:pPr>
      <w:r>
        <w:rPr>
          <w:rFonts w:hint="default" w:ascii="Times New Roman" w:hAnsi="Times New Roman" w:eastAsia="黑体" w:cs="Times New Roman"/>
          <w:color w:val="auto"/>
          <w:sz w:val="29"/>
          <w:szCs w:val="29"/>
          <w:highlight w:val="none"/>
        </w:rPr>
        <w:br w:type="page"/>
      </w:r>
    </w:p>
    <w:p>
      <w:pPr>
        <w:snapToGrid w:val="0"/>
        <w:spacing w:beforeLines="50" w:line="360" w:lineRule="auto"/>
        <w:jc w:val="center"/>
        <w:rPr>
          <w:rFonts w:ascii="黑体" w:hAnsi="黑体" w:eastAsia="黑体" w:cs="黑体"/>
          <w:color w:val="auto"/>
          <w:sz w:val="24"/>
        </w:rPr>
      </w:pPr>
      <w:r>
        <w:rPr>
          <w:rFonts w:hint="eastAsia" w:ascii="黑体" w:hAnsi="黑体" w:eastAsia="黑体" w:cs="黑体"/>
          <w:color w:val="auto"/>
          <w:sz w:val="24"/>
        </w:rPr>
        <w:t>表2详细评标因素表</w:t>
      </w:r>
    </w:p>
    <w:tbl>
      <w:tblPr>
        <w:tblStyle w:val="12"/>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1"/>
        <w:gridCol w:w="1110"/>
        <w:gridCol w:w="1200"/>
        <w:gridCol w:w="1155"/>
        <w:gridCol w:w="705"/>
        <w:gridCol w:w="50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5171" w:type="dxa"/>
            <w:gridSpan w:val="5"/>
            <w:noWrap w:val="0"/>
            <w:vAlign w:val="center"/>
          </w:tcPr>
          <w:p>
            <w:pPr>
              <w:widowControl/>
              <w:adjustRightInd w:val="0"/>
              <w:snapToGrid w:val="0"/>
              <w:spacing w:line="360" w:lineRule="auto"/>
              <w:jc w:val="center"/>
              <w:rPr>
                <w:rFonts w:hint="eastAsia"/>
                <w:color w:val="auto"/>
              </w:rPr>
            </w:pPr>
            <w:r>
              <w:rPr>
                <w:rFonts w:hint="eastAsia"/>
                <w:color w:val="auto"/>
              </w:rPr>
              <w:t>评分因素与权重分值</w:t>
            </w:r>
          </w:p>
        </w:tc>
        <w:tc>
          <w:tcPr>
            <w:tcW w:w="5034" w:type="dxa"/>
            <w:vMerge w:val="restart"/>
            <w:noWrap w:val="0"/>
            <w:vAlign w:val="center"/>
          </w:tcPr>
          <w:p>
            <w:pPr>
              <w:widowControl/>
              <w:adjustRightInd w:val="0"/>
              <w:snapToGrid w:val="0"/>
              <w:spacing w:line="360" w:lineRule="auto"/>
              <w:jc w:val="center"/>
              <w:rPr>
                <w:rFonts w:hint="eastAsia"/>
                <w:color w:val="auto"/>
              </w:rPr>
            </w:pPr>
            <w:r>
              <w:rPr>
                <w:rFonts w:hint="eastAsia"/>
                <w:color w:val="auto"/>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001" w:type="dxa"/>
            <w:noWrap w:val="0"/>
            <w:vAlign w:val="center"/>
          </w:tcPr>
          <w:p>
            <w:pPr>
              <w:widowControl/>
              <w:adjustRightInd w:val="0"/>
              <w:snapToGrid w:val="0"/>
              <w:spacing w:line="360" w:lineRule="auto"/>
              <w:jc w:val="center"/>
              <w:rPr>
                <w:rFonts w:hint="eastAsia"/>
                <w:color w:val="auto"/>
              </w:rPr>
            </w:pPr>
            <w:r>
              <w:rPr>
                <w:rFonts w:hint="eastAsia"/>
                <w:color w:val="auto"/>
              </w:rPr>
              <w:t>条款号</w:t>
            </w:r>
          </w:p>
        </w:tc>
        <w:tc>
          <w:tcPr>
            <w:tcW w:w="1110" w:type="dxa"/>
            <w:noWrap w:val="0"/>
            <w:vAlign w:val="center"/>
          </w:tcPr>
          <w:p>
            <w:pPr>
              <w:widowControl/>
              <w:adjustRightInd w:val="0"/>
              <w:snapToGrid w:val="0"/>
              <w:spacing w:line="360" w:lineRule="auto"/>
              <w:jc w:val="center"/>
              <w:rPr>
                <w:rFonts w:hint="eastAsia"/>
                <w:color w:val="auto"/>
              </w:rPr>
            </w:pPr>
            <w:r>
              <w:rPr>
                <w:rFonts w:hint="eastAsia"/>
                <w:color w:val="auto"/>
              </w:rPr>
              <w:t>评分因素</w:t>
            </w:r>
          </w:p>
        </w:tc>
        <w:tc>
          <w:tcPr>
            <w:tcW w:w="1200" w:type="dxa"/>
            <w:noWrap w:val="0"/>
            <w:vAlign w:val="center"/>
          </w:tcPr>
          <w:p>
            <w:pPr>
              <w:widowControl/>
              <w:adjustRightInd w:val="0"/>
              <w:snapToGrid w:val="0"/>
              <w:spacing w:line="240" w:lineRule="auto"/>
              <w:jc w:val="center"/>
              <w:rPr>
                <w:rFonts w:hint="eastAsia"/>
                <w:color w:val="auto"/>
              </w:rPr>
            </w:pPr>
            <w:r>
              <w:rPr>
                <w:rFonts w:hint="eastAsia"/>
                <w:color w:val="auto"/>
              </w:rPr>
              <w:t>评分因素权重分值</w:t>
            </w:r>
          </w:p>
        </w:tc>
        <w:tc>
          <w:tcPr>
            <w:tcW w:w="1155" w:type="dxa"/>
            <w:noWrap w:val="0"/>
            <w:vAlign w:val="center"/>
          </w:tcPr>
          <w:p>
            <w:pPr>
              <w:widowControl/>
              <w:adjustRightInd w:val="0"/>
              <w:snapToGrid w:val="0"/>
              <w:spacing w:line="240" w:lineRule="auto"/>
              <w:jc w:val="center"/>
              <w:rPr>
                <w:rFonts w:hint="eastAsia"/>
                <w:color w:val="auto"/>
              </w:rPr>
            </w:pPr>
            <w:r>
              <w:rPr>
                <w:rFonts w:hint="eastAsia"/>
                <w:color w:val="auto"/>
              </w:rPr>
              <w:t>各评分因素细分项</w:t>
            </w:r>
          </w:p>
        </w:tc>
        <w:tc>
          <w:tcPr>
            <w:tcW w:w="705" w:type="dxa"/>
            <w:noWrap w:val="0"/>
            <w:vAlign w:val="center"/>
          </w:tcPr>
          <w:p>
            <w:pPr>
              <w:widowControl/>
              <w:adjustRightInd w:val="0"/>
              <w:snapToGrid w:val="0"/>
              <w:spacing w:line="360" w:lineRule="auto"/>
              <w:jc w:val="center"/>
              <w:rPr>
                <w:rFonts w:hint="eastAsia"/>
                <w:color w:val="auto"/>
              </w:rPr>
            </w:pPr>
            <w:r>
              <w:rPr>
                <w:rFonts w:hint="eastAsia"/>
                <w:color w:val="auto"/>
              </w:rPr>
              <w:t>分值</w:t>
            </w:r>
          </w:p>
        </w:tc>
        <w:tc>
          <w:tcPr>
            <w:tcW w:w="5034" w:type="dxa"/>
            <w:vMerge w:val="continue"/>
            <w:noWrap w:val="0"/>
            <w:vAlign w:val="center"/>
          </w:tcPr>
          <w:p>
            <w:pPr>
              <w:widowControl/>
              <w:adjustRightInd w:val="0"/>
              <w:snapToGrid w:val="0"/>
              <w:spacing w:line="360" w:lineRule="auto"/>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14" w:hRule="atLeast"/>
          <w:jc w:val="center"/>
        </w:trPr>
        <w:tc>
          <w:tcPr>
            <w:tcW w:w="1001" w:type="dxa"/>
            <w:vMerge w:val="restart"/>
            <w:noWrap w:val="0"/>
            <w:vAlign w:val="center"/>
          </w:tcPr>
          <w:p>
            <w:pPr>
              <w:widowControl/>
              <w:adjustRightInd w:val="0"/>
              <w:snapToGrid w:val="0"/>
              <w:spacing w:line="360" w:lineRule="auto"/>
              <w:jc w:val="center"/>
              <w:rPr>
                <w:rFonts w:hint="default" w:eastAsiaTheme="minorEastAsia"/>
                <w:color w:val="auto"/>
                <w:lang w:val="en-US" w:eastAsia="zh-CN"/>
              </w:rPr>
            </w:pPr>
            <w:r>
              <w:rPr>
                <w:rFonts w:hint="eastAsia"/>
                <w:color w:val="auto"/>
                <w:lang w:val="en-US" w:eastAsia="zh-CN"/>
              </w:rPr>
              <w:t>2.1</w:t>
            </w:r>
          </w:p>
        </w:tc>
        <w:tc>
          <w:tcPr>
            <w:tcW w:w="1110" w:type="dxa"/>
            <w:vMerge w:val="restart"/>
            <w:noWrap w:val="0"/>
            <w:vAlign w:val="center"/>
          </w:tcPr>
          <w:p>
            <w:pPr>
              <w:widowControl/>
              <w:adjustRightInd w:val="0"/>
              <w:snapToGrid w:val="0"/>
              <w:spacing w:line="360" w:lineRule="auto"/>
              <w:jc w:val="center"/>
              <w:rPr>
                <w:rFonts w:hint="eastAsia"/>
                <w:color w:val="auto"/>
              </w:rPr>
            </w:pPr>
            <w:r>
              <w:rPr>
                <w:rFonts w:hint="eastAsia"/>
                <w:color w:val="auto"/>
              </w:rPr>
              <w:t>商务</w:t>
            </w:r>
          </w:p>
          <w:p>
            <w:pPr>
              <w:widowControl/>
              <w:adjustRightInd w:val="0"/>
              <w:snapToGrid w:val="0"/>
              <w:spacing w:line="360" w:lineRule="auto"/>
              <w:jc w:val="center"/>
              <w:rPr>
                <w:rFonts w:hint="eastAsia"/>
                <w:color w:val="auto"/>
              </w:rPr>
            </w:pPr>
            <w:r>
              <w:rPr>
                <w:rFonts w:hint="eastAsia"/>
                <w:color w:val="auto"/>
              </w:rPr>
              <w:t>技术分值</w:t>
            </w:r>
          </w:p>
        </w:tc>
        <w:tc>
          <w:tcPr>
            <w:tcW w:w="1200" w:type="dxa"/>
            <w:vMerge w:val="restart"/>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7</w:t>
            </w:r>
            <w:r>
              <w:rPr>
                <w:rFonts w:hint="eastAsia"/>
                <w:color w:val="auto"/>
              </w:rPr>
              <w:t>0分</w:t>
            </w:r>
          </w:p>
        </w:tc>
        <w:tc>
          <w:tcPr>
            <w:tcW w:w="1155" w:type="dxa"/>
            <w:noWrap w:val="0"/>
            <w:vAlign w:val="center"/>
          </w:tcPr>
          <w:p>
            <w:pPr>
              <w:widowControl/>
              <w:adjustRightInd w:val="0"/>
              <w:snapToGrid w:val="0"/>
              <w:spacing w:line="360" w:lineRule="auto"/>
              <w:jc w:val="center"/>
              <w:rPr>
                <w:rFonts w:hint="eastAsia"/>
                <w:color w:val="auto"/>
                <w:lang w:eastAsia="zh-CN"/>
              </w:rPr>
            </w:pPr>
            <w:r>
              <w:rPr>
                <w:rFonts w:hint="eastAsia"/>
                <w:color w:val="auto"/>
                <w:lang w:eastAsia="zh-CN"/>
              </w:rPr>
              <w:t>场地及距离要求</w:t>
            </w:r>
          </w:p>
        </w:tc>
        <w:tc>
          <w:tcPr>
            <w:tcW w:w="705" w:type="dxa"/>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10</w:t>
            </w:r>
            <w:r>
              <w:rPr>
                <w:rFonts w:hint="eastAsia"/>
                <w:color w:val="auto"/>
              </w:rPr>
              <w:t>分</w:t>
            </w:r>
          </w:p>
        </w:tc>
        <w:tc>
          <w:tcPr>
            <w:tcW w:w="5034" w:type="dxa"/>
            <w:noWrap w:val="0"/>
            <w:vAlign w:val="center"/>
          </w:tcPr>
          <w:p>
            <w:pPr>
              <w:widowControl/>
              <w:adjustRightInd w:val="0"/>
              <w:snapToGrid w:val="0"/>
              <w:spacing w:line="360" w:lineRule="auto"/>
              <w:jc w:val="left"/>
              <w:rPr>
                <w:rFonts w:hint="eastAsia"/>
                <w:color w:val="auto"/>
                <w:lang w:val="en-US" w:eastAsia="zh-CN"/>
              </w:rPr>
            </w:pPr>
            <w:r>
              <w:rPr>
                <w:rFonts w:hint="eastAsia"/>
                <w:color w:val="auto"/>
                <w:lang w:val="en-US" w:eastAsia="zh-CN"/>
              </w:rPr>
              <w:t>1、本次供应商在满足基本资质条件的情况下得基本分6分。</w:t>
            </w:r>
          </w:p>
          <w:p>
            <w:pPr>
              <w:widowControl/>
              <w:adjustRightInd w:val="0"/>
              <w:snapToGrid w:val="0"/>
              <w:spacing w:line="360" w:lineRule="auto"/>
              <w:jc w:val="left"/>
              <w:rPr>
                <w:rFonts w:hint="eastAsia"/>
                <w:color w:val="auto"/>
                <w:lang w:val="en-US" w:eastAsia="zh-CN"/>
              </w:rPr>
            </w:pPr>
            <w:r>
              <w:rPr>
                <w:rFonts w:hint="eastAsia"/>
                <w:color w:val="auto"/>
                <w:lang w:val="en-US" w:eastAsia="zh-CN"/>
              </w:rPr>
              <w:t>2、以本公司为中心，距离本公司3公里以内（含3公里）得2分。</w:t>
            </w:r>
          </w:p>
          <w:p>
            <w:pPr>
              <w:widowControl/>
              <w:adjustRightInd w:val="0"/>
              <w:snapToGrid w:val="0"/>
              <w:spacing w:line="360" w:lineRule="auto"/>
              <w:jc w:val="left"/>
              <w:rPr>
                <w:rFonts w:hint="default"/>
                <w:color w:val="auto"/>
                <w:lang w:val="en-US" w:eastAsia="zh-CN"/>
              </w:rPr>
            </w:pPr>
            <w:r>
              <w:rPr>
                <w:rFonts w:hint="eastAsia"/>
                <w:color w:val="auto"/>
                <w:lang w:val="en-US" w:eastAsia="zh-CN"/>
              </w:rPr>
              <w:t>3、经营面积每增加50平米加0.5分，最多加2分。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001" w:type="dxa"/>
            <w:vMerge w:val="continue"/>
            <w:noWrap w:val="0"/>
            <w:vAlign w:val="center"/>
          </w:tcPr>
          <w:p>
            <w:pPr>
              <w:widowControl/>
              <w:adjustRightInd w:val="0"/>
              <w:snapToGrid w:val="0"/>
              <w:spacing w:line="360" w:lineRule="auto"/>
              <w:jc w:val="center"/>
              <w:rPr>
                <w:rFonts w:hint="eastAsia"/>
                <w:color w:val="auto"/>
              </w:rPr>
            </w:pPr>
          </w:p>
        </w:tc>
        <w:tc>
          <w:tcPr>
            <w:tcW w:w="1110" w:type="dxa"/>
            <w:vMerge w:val="continue"/>
            <w:noWrap w:val="0"/>
            <w:vAlign w:val="center"/>
          </w:tcPr>
          <w:p>
            <w:pPr>
              <w:widowControl/>
              <w:adjustRightInd w:val="0"/>
              <w:snapToGrid w:val="0"/>
              <w:spacing w:line="360" w:lineRule="auto"/>
              <w:jc w:val="center"/>
              <w:rPr>
                <w:rFonts w:hint="eastAsia"/>
                <w:color w:val="auto"/>
              </w:rPr>
            </w:pPr>
          </w:p>
        </w:tc>
        <w:tc>
          <w:tcPr>
            <w:tcW w:w="1200" w:type="dxa"/>
            <w:vMerge w:val="continue"/>
            <w:noWrap w:val="0"/>
            <w:vAlign w:val="center"/>
          </w:tcPr>
          <w:p>
            <w:pPr>
              <w:widowControl/>
              <w:adjustRightInd w:val="0"/>
              <w:snapToGrid w:val="0"/>
              <w:spacing w:line="360" w:lineRule="auto"/>
              <w:jc w:val="center"/>
              <w:rPr>
                <w:rFonts w:hint="eastAsia"/>
                <w:color w:val="auto"/>
              </w:rPr>
            </w:pPr>
          </w:p>
        </w:tc>
        <w:tc>
          <w:tcPr>
            <w:tcW w:w="1155" w:type="dxa"/>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设备</w:t>
            </w:r>
            <w:r>
              <w:rPr>
                <w:rFonts w:hint="eastAsia"/>
                <w:color w:val="auto"/>
              </w:rPr>
              <w:t>认证</w:t>
            </w:r>
          </w:p>
        </w:tc>
        <w:tc>
          <w:tcPr>
            <w:tcW w:w="705" w:type="dxa"/>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10</w:t>
            </w:r>
            <w:r>
              <w:rPr>
                <w:rFonts w:hint="eastAsia"/>
                <w:color w:val="auto"/>
              </w:rPr>
              <w:t>分</w:t>
            </w:r>
          </w:p>
        </w:tc>
        <w:tc>
          <w:tcPr>
            <w:tcW w:w="5034" w:type="dxa"/>
            <w:noWrap w:val="0"/>
            <w:vAlign w:val="center"/>
          </w:tcPr>
          <w:p>
            <w:pPr>
              <w:widowControl/>
              <w:adjustRightInd w:val="0"/>
              <w:snapToGrid w:val="0"/>
              <w:spacing w:line="360" w:lineRule="auto"/>
              <w:jc w:val="left"/>
              <w:rPr>
                <w:rFonts w:hint="default"/>
                <w:color w:val="auto"/>
                <w:lang w:val="en-US" w:eastAsia="zh-CN"/>
              </w:rPr>
            </w:pPr>
            <w:r>
              <w:rPr>
                <w:rFonts w:hint="eastAsia"/>
                <w:color w:val="auto"/>
                <w:lang w:val="en-US" w:eastAsia="zh-CN"/>
              </w:rPr>
              <w:t>1、满足资格条件的基本要求得基本6分。</w:t>
            </w:r>
          </w:p>
          <w:p>
            <w:pPr>
              <w:widowControl/>
              <w:adjustRightInd w:val="0"/>
              <w:snapToGrid w:val="0"/>
              <w:spacing w:line="360" w:lineRule="auto"/>
              <w:jc w:val="left"/>
              <w:rPr>
                <w:rFonts w:hint="default"/>
                <w:color w:val="auto"/>
                <w:lang w:val="en-US" w:eastAsia="zh-CN"/>
              </w:rPr>
            </w:pPr>
            <w:r>
              <w:rPr>
                <w:rFonts w:hint="eastAsia"/>
                <w:color w:val="auto"/>
                <w:lang w:val="en-US" w:eastAsia="zh-CN"/>
              </w:rPr>
              <w:t>2、每增加1台生产型彩色打印机或生产型黑白打印机得0.5分；最多加2分。</w:t>
            </w:r>
          </w:p>
          <w:p>
            <w:pPr>
              <w:widowControl/>
              <w:adjustRightInd w:val="0"/>
              <w:snapToGrid w:val="0"/>
              <w:spacing w:line="360" w:lineRule="auto"/>
              <w:jc w:val="left"/>
              <w:rPr>
                <w:rFonts w:hint="default"/>
                <w:color w:val="auto"/>
                <w:lang w:val="en-US"/>
              </w:rPr>
            </w:pPr>
            <w:r>
              <w:rPr>
                <w:rFonts w:hint="eastAsia"/>
                <w:color w:val="auto"/>
                <w:lang w:val="en-US" w:eastAsia="zh-CN"/>
              </w:rPr>
              <w:t>3、每增加1台蓝图工程打印机或白图工程打印机得1分，最多加2分。</w:t>
            </w:r>
          </w:p>
          <w:p>
            <w:pPr>
              <w:widowControl/>
              <w:adjustRightInd w:val="0"/>
              <w:snapToGrid w:val="0"/>
              <w:spacing w:line="360" w:lineRule="auto"/>
              <w:jc w:val="left"/>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92" w:hRule="atLeast"/>
          <w:jc w:val="center"/>
        </w:trPr>
        <w:tc>
          <w:tcPr>
            <w:tcW w:w="1001" w:type="dxa"/>
            <w:vMerge w:val="continue"/>
            <w:noWrap w:val="0"/>
            <w:vAlign w:val="center"/>
          </w:tcPr>
          <w:p>
            <w:pPr>
              <w:widowControl/>
              <w:adjustRightInd w:val="0"/>
              <w:snapToGrid w:val="0"/>
              <w:spacing w:line="360" w:lineRule="auto"/>
              <w:jc w:val="center"/>
              <w:rPr>
                <w:rFonts w:hint="eastAsia"/>
                <w:color w:val="auto"/>
              </w:rPr>
            </w:pPr>
          </w:p>
        </w:tc>
        <w:tc>
          <w:tcPr>
            <w:tcW w:w="1110" w:type="dxa"/>
            <w:vMerge w:val="continue"/>
            <w:noWrap w:val="0"/>
            <w:vAlign w:val="center"/>
          </w:tcPr>
          <w:p>
            <w:pPr>
              <w:widowControl/>
              <w:adjustRightInd w:val="0"/>
              <w:snapToGrid w:val="0"/>
              <w:spacing w:line="360" w:lineRule="auto"/>
              <w:jc w:val="center"/>
              <w:rPr>
                <w:rFonts w:hint="eastAsia"/>
                <w:color w:val="auto"/>
              </w:rPr>
            </w:pPr>
          </w:p>
        </w:tc>
        <w:tc>
          <w:tcPr>
            <w:tcW w:w="1200" w:type="dxa"/>
            <w:vMerge w:val="continue"/>
            <w:noWrap w:val="0"/>
            <w:vAlign w:val="center"/>
          </w:tcPr>
          <w:p>
            <w:pPr>
              <w:widowControl/>
              <w:adjustRightInd w:val="0"/>
              <w:snapToGrid w:val="0"/>
              <w:spacing w:line="360" w:lineRule="auto"/>
              <w:jc w:val="center"/>
              <w:rPr>
                <w:rFonts w:hint="eastAsia"/>
                <w:color w:val="auto"/>
              </w:rPr>
            </w:pPr>
          </w:p>
        </w:tc>
        <w:tc>
          <w:tcPr>
            <w:tcW w:w="1155" w:type="dxa"/>
            <w:noWrap w:val="0"/>
            <w:vAlign w:val="center"/>
          </w:tcPr>
          <w:p>
            <w:pPr>
              <w:widowControl/>
              <w:adjustRightInd w:val="0"/>
              <w:snapToGrid w:val="0"/>
              <w:spacing w:line="360" w:lineRule="auto"/>
              <w:jc w:val="center"/>
              <w:rPr>
                <w:rFonts w:hint="eastAsia"/>
                <w:color w:val="auto"/>
              </w:rPr>
            </w:pPr>
            <w:r>
              <w:rPr>
                <w:rFonts w:hint="eastAsia"/>
                <w:color w:val="auto"/>
              </w:rPr>
              <w:t>企业业绩</w:t>
            </w:r>
          </w:p>
        </w:tc>
        <w:tc>
          <w:tcPr>
            <w:tcW w:w="705" w:type="dxa"/>
            <w:noWrap w:val="0"/>
            <w:vAlign w:val="center"/>
          </w:tcPr>
          <w:p>
            <w:pPr>
              <w:widowControl/>
              <w:adjustRightInd w:val="0"/>
              <w:snapToGrid w:val="0"/>
              <w:spacing w:line="360" w:lineRule="auto"/>
              <w:jc w:val="center"/>
              <w:rPr>
                <w:rFonts w:hint="eastAsia"/>
                <w:color w:val="auto"/>
              </w:rPr>
            </w:pPr>
            <w:r>
              <w:rPr>
                <w:rFonts w:hint="eastAsia"/>
                <w:color w:val="auto"/>
              </w:rPr>
              <w:t>10分</w:t>
            </w:r>
          </w:p>
        </w:tc>
        <w:tc>
          <w:tcPr>
            <w:tcW w:w="5034" w:type="dxa"/>
            <w:noWrap w:val="0"/>
            <w:vAlign w:val="center"/>
          </w:tcPr>
          <w:p>
            <w:pPr>
              <w:widowControl/>
              <w:adjustRightInd w:val="0"/>
              <w:snapToGrid w:val="0"/>
              <w:spacing w:line="360" w:lineRule="auto"/>
              <w:jc w:val="left"/>
              <w:rPr>
                <w:rFonts w:hint="eastAsia"/>
                <w:color w:val="auto"/>
              </w:rPr>
            </w:pPr>
            <w:r>
              <w:rPr>
                <w:rFonts w:hint="eastAsia"/>
                <w:color w:val="auto"/>
              </w:rPr>
              <w:t>1、满足</w:t>
            </w:r>
            <w:r>
              <w:rPr>
                <w:rFonts w:hint="eastAsia"/>
                <w:color w:val="auto"/>
                <w:lang w:val="en-US" w:eastAsia="zh-CN"/>
              </w:rPr>
              <w:t>询比</w:t>
            </w:r>
            <w:r>
              <w:rPr>
                <w:rFonts w:hint="eastAsia"/>
                <w:color w:val="auto"/>
              </w:rPr>
              <w:t>文件业绩最低要求得基本分6分。</w:t>
            </w:r>
          </w:p>
          <w:p>
            <w:pPr>
              <w:widowControl/>
              <w:adjustRightInd w:val="0"/>
              <w:snapToGrid w:val="0"/>
              <w:spacing w:line="360" w:lineRule="auto"/>
              <w:jc w:val="left"/>
              <w:rPr>
                <w:rFonts w:hint="default"/>
                <w:color w:val="auto"/>
                <w:lang w:val="en-US" w:eastAsia="zh-CN"/>
              </w:rPr>
            </w:pPr>
            <w:r>
              <w:rPr>
                <w:rFonts w:hint="eastAsia"/>
                <w:color w:val="auto"/>
                <w:lang w:val="en-US" w:eastAsia="zh-CN"/>
              </w:rPr>
              <w:t>2</w:t>
            </w:r>
            <w:r>
              <w:rPr>
                <w:rFonts w:hint="eastAsia"/>
                <w:color w:val="auto"/>
              </w:rPr>
              <w:t>、提供</w:t>
            </w:r>
            <w:r>
              <w:rPr>
                <w:rFonts w:hint="eastAsia"/>
                <w:color w:val="auto"/>
                <w:lang w:val="en-US" w:eastAsia="zh-CN"/>
              </w:rPr>
              <w:t>2019年以来</w:t>
            </w:r>
            <w:r>
              <w:rPr>
                <w:rFonts w:hint="eastAsia"/>
                <w:color w:val="auto"/>
              </w:rPr>
              <w:t>（20</w:t>
            </w:r>
            <w:r>
              <w:rPr>
                <w:rFonts w:hint="eastAsia"/>
                <w:color w:val="auto"/>
                <w:lang w:val="en-US" w:eastAsia="zh-CN"/>
              </w:rPr>
              <w:t>19</w:t>
            </w:r>
            <w:r>
              <w:rPr>
                <w:rFonts w:hint="eastAsia"/>
                <w:color w:val="auto"/>
              </w:rPr>
              <w:t>年1月1日至</w:t>
            </w:r>
            <w:r>
              <w:rPr>
                <w:rFonts w:hint="eastAsia"/>
                <w:color w:val="auto"/>
                <w:lang w:val="en-US" w:eastAsia="zh-CN"/>
              </w:rPr>
              <w:t>采购</w:t>
            </w:r>
            <w:r>
              <w:rPr>
                <w:rFonts w:hint="eastAsia"/>
                <w:color w:val="auto"/>
              </w:rPr>
              <w:t>截止时间，以签订时间为准</w:t>
            </w:r>
            <w:r>
              <w:rPr>
                <w:rFonts w:hint="eastAsia"/>
                <w:color w:val="auto"/>
                <w:lang w:eastAsia="zh-CN"/>
              </w:rPr>
              <w:t>，每增加一个</w:t>
            </w:r>
            <w:r>
              <w:rPr>
                <w:rFonts w:hint="eastAsia"/>
                <w:color w:val="auto"/>
                <w:lang w:val="en-US" w:eastAsia="zh-CN"/>
              </w:rPr>
              <w:t>同类</w:t>
            </w:r>
            <w:r>
              <w:rPr>
                <w:rFonts w:hint="eastAsia"/>
                <w:color w:val="auto"/>
                <w:lang w:eastAsia="zh-CN"/>
              </w:rPr>
              <w:t>业绩</w:t>
            </w:r>
            <w:r>
              <w:rPr>
                <w:rFonts w:hint="eastAsia"/>
                <w:color w:val="auto"/>
                <w:lang w:val="en-US" w:eastAsia="zh-CN"/>
              </w:rPr>
              <w:t>证明</w:t>
            </w:r>
            <w:r>
              <w:rPr>
                <w:rFonts w:hint="eastAsia"/>
                <w:color w:val="auto"/>
                <w:lang w:eastAsia="zh-CN"/>
              </w:rPr>
              <w:t>得</w:t>
            </w:r>
            <w:r>
              <w:rPr>
                <w:rFonts w:hint="eastAsia"/>
                <w:color w:val="auto"/>
                <w:lang w:val="en-US" w:eastAsia="zh-CN"/>
              </w:rPr>
              <w:t>2分，最多得4分。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1001" w:type="dxa"/>
            <w:vMerge w:val="continue"/>
            <w:noWrap w:val="0"/>
            <w:vAlign w:val="center"/>
          </w:tcPr>
          <w:p>
            <w:pPr>
              <w:widowControl/>
              <w:adjustRightInd w:val="0"/>
              <w:snapToGrid w:val="0"/>
              <w:spacing w:line="360" w:lineRule="auto"/>
              <w:jc w:val="center"/>
              <w:rPr>
                <w:rFonts w:hint="eastAsia"/>
                <w:color w:val="auto"/>
              </w:rPr>
            </w:pPr>
          </w:p>
        </w:tc>
        <w:tc>
          <w:tcPr>
            <w:tcW w:w="1110" w:type="dxa"/>
            <w:vMerge w:val="continue"/>
            <w:noWrap w:val="0"/>
            <w:vAlign w:val="center"/>
          </w:tcPr>
          <w:p>
            <w:pPr>
              <w:widowControl/>
              <w:adjustRightInd w:val="0"/>
              <w:snapToGrid w:val="0"/>
              <w:spacing w:line="360" w:lineRule="auto"/>
              <w:jc w:val="center"/>
              <w:rPr>
                <w:rFonts w:hint="eastAsia"/>
                <w:color w:val="auto"/>
              </w:rPr>
            </w:pPr>
          </w:p>
        </w:tc>
        <w:tc>
          <w:tcPr>
            <w:tcW w:w="1200" w:type="dxa"/>
            <w:vMerge w:val="continue"/>
            <w:noWrap w:val="0"/>
            <w:vAlign w:val="center"/>
          </w:tcPr>
          <w:p>
            <w:pPr>
              <w:widowControl/>
              <w:adjustRightInd w:val="0"/>
              <w:snapToGrid w:val="0"/>
              <w:spacing w:line="360" w:lineRule="auto"/>
              <w:jc w:val="center"/>
              <w:rPr>
                <w:rFonts w:hint="eastAsia"/>
                <w:color w:val="auto"/>
              </w:rPr>
            </w:pPr>
          </w:p>
        </w:tc>
        <w:tc>
          <w:tcPr>
            <w:tcW w:w="1155" w:type="dxa"/>
            <w:noWrap w:val="0"/>
            <w:vAlign w:val="center"/>
          </w:tcPr>
          <w:p>
            <w:pPr>
              <w:widowControl/>
              <w:adjustRightInd w:val="0"/>
              <w:snapToGrid w:val="0"/>
              <w:spacing w:line="360" w:lineRule="auto"/>
              <w:jc w:val="center"/>
              <w:rPr>
                <w:rFonts w:hint="default" w:eastAsiaTheme="minorEastAsia"/>
                <w:color w:val="auto"/>
                <w:lang w:val="en-US" w:eastAsia="zh-CN"/>
              </w:rPr>
            </w:pPr>
            <w:r>
              <w:rPr>
                <w:rFonts w:hint="eastAsia"/>
                <w:color w:val="auto"/>
                <w:lang w:val="en-US" w:eastAsia="zh-CN"/>
              </w:rPr>
              <w:t>服务方案</w:t>
            </w:r>
          </w:p>
        </w:tc>
        <w:tc>
          <w:tcPr>
            <w:tcW w:w="705" w:type="dxa"/>
            <w:noWrap w:val="0"/>
            <w:vAlign w:val="center"/>
          </w:tcPr>
          <w:p>
            <w:pPr>
              <w:widowControl/>
              <w:adjustRightInd w:val="0"/>
              <w:snapToGrid w:val="0"/>
              <w:spacing w:line="360" w:lineRule="auto"/>
              <w:jc w:val="center"/>
              <w:rPr>
                <w:rFonts w:hint="default" w:eastAsiaTheme="minorEastAsia"/>
                <w:color w:val="auto"/>
                <w:lang w:val="en-US" w:eastAsia="zh-CN"/>
              </w:rPr>
            </w:pPr>
            <w:r>
              <w:rPr>
                <w:rFonts w:hint="eastAsia"/>
                <w:color w:val="auto"/>
                <w:lang w:val="en-US" w:eastAsia="zh-CN"/>
              </w:rPr>
              <w:t>40分</w:t>
            </w:r>
          </w:p>
        </w:tc>
        <w:tc>
          <w:tcPr>
            <w:tcW w:w="5034" w:type="dxa"/>
            <w:noWrap w:val="0"/>
            <w:vAlign w:val="center"/>
          </w:tcPr>
          <w:p>
            <w:pPr>
              <w:widowControl/>
              <w:numPr>
                <w:ilvl w:val="0"/>
                <w:numId w:val="5"/>
              </w:numPr>
              <w:adjustRightInd w:val="0"/>
              <w:snapToGrid w:val="0"/>
              <w:spacing w:line="360" w:lineRule="auto"/>
              <w:jc w:val="left"/>
              <w:rPr>
                <w:rFonts w:hint="default"/>
                <w:lang w:val="en-US" w:eastAsia="zh-CN"/>
              </w:rPr>
            </w:pPr>
            <w:r>
              <w:rPr>
                <w:rFonts w:hint="eastAsia"/>
                <w:lang w:val="en-US" w:eastAsia="zh-CN"/>
              </w:rPr>
              <w:t>整体方案（20分）：应内容齐全合理，须载明组织架构、人员配备，计划分工，且与总服务期相适应，有质量安全保证措施等，得基本分12分；针对试验检测机构业务特性有详细的服务方案，方案应具有可操作性、实用性、体现特色服务等，如图纸、检测报告排版打印，投标文件印制、包封等，加0~8分。</w:t>
            </w:r>
          </w:p>
          <w:p>
            <w:pPr>
              <w:widowControl/>
              <w:adjustRightInd w:val="0"/>
              <w:snapToGrid w:val="0"/>
              <w:spacing w:line="360" w:lineRule="auto"/>
              <w:jc w:val="left"/>
              <w:rPr>
                <w:rFonts w:hint="eastAsia"/>
                <w:color w:val="auto"/>
                <w:lang w:val="en-US" w:eastAsia="zh-CN"/>
              </w:rPr>
            </w:pPr>
            <w:r>
              <w:rPr>
                <w:rFonts w:hint="eastAsia"/>
                <w:color w:val="auto"/>
                <w:lang w:val="en-US" w:eastAsia="zh-CN"/>
              </w:rPr>
              <w:t>2、合理化建议（15分）：</w:t>
            </w:r>
            <w:r>
              <w:rPr>
                <w:rFonts w:hint="eastAsia"/>
                <w:color w:val="auto"/>
              </w:rPr>
              <w:t>基本满足得9分，针对</w:t>
            </w:r>
            <w:r>
              <w:rPr>
                <w:rFonts w:hint="eastAsia"/>
                <w:color w:val="auto"/>
                <w:lang w:val="en-US" w:eastAsia="zh-CN"/>
              </w:rPr>
              <w:t>试验检测机构的服务</w:t>
            </w:r>
            <w:r>
              <w:rPr>
                <w:rFonts w:hint="eastAsia"/>
                <w:color w:val="auto"/>
              </w:rPr>
              <w:t>建议有针对性、操作性、实用性等，加0~6分。</w:t>
            </w:r>
          </w:p>
          <w:p>
            <w:pPr>
              <w:pStyle w:val="2"/>
              <w:numPr>
                <w:ilvl w:val="0"/>
                <w:numId w:val="5"/>
              </w:numPr>
              <w:ind w:left="0" w:leftChars="0" w:firstLine="0" w:firstLineChars="0"/>
              <w:rPr>
                <w:rFonts w:hint="eastAsia" w:eastAsiaTheme="minorEastAsia"/>
                <w:lang w:val="en-US" w:eastAsia="zh-CN"/>
              </w:rPr>
            </w:pPr>
            <w:r>
              <w:rPr>
                <w:rFonts w:hint="eastAsia"/>
                <w:lang w:val="en-US" w:eastAsia="zh-CN"/>
              </w:rPr>
              <w:t>服务承诺（5分）：</w:t>
            </w:r>
            <w:r>
              <w:rPr>
                <w:rFonts w:hint="eastAsia"/>
                <w:color w:val="auto"/>
              </w:rPr>
              <w:t>基本满足得3分，内容全面的，加0-2分。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1001" w:type="dxa"/>
            <w:noWrap w:val="0"/>
            <w:vAlign w:val="center"/>
          </w:tcPr>
          <w:p>
            <w:pPr>
              <w:widowControl/>
              <w:adjustRightInd w:val="0"/>
              <w:snapToGrid w:val="0"/>
              <w:spacing w:line="360" w:lineRule="auto"/>
              <w:jc w:val="center"/>
              <w:rPr>
                <w:rFonts w:hint="default" w:eastAsiaTheme="minorEastAsia"/>
                <w:color w:val="auto"/>
                <w:lang w:val="en-US" w:eastAsia="zh-CN"/>
              </w:rPr>
            </w:pPr>
            <w:r>
              <w:rPr>
                <w:rFonts w:hint="eastAsia"/>
                <w:color w:val="auto"/>
                <w:lang w:val="en-US" w:eastAsia="zh-CN"/>
              </w:rPr>
              <w:t>2.2</w:t>
            </w:r>
          </w:p>
        </w:tc>
        <w:tc>
          <w:tcPr>
            <w:tcW w:w="1110" w:type="dxa"/>
            <w:noWrap w:val="0"/>
            <w:vAlign w:val="center"/>
          </w:tcPr>
          <w:p>
            <w:pPr>
              <w:widowControl/>
              <w:adjustRightInd w:val="0"/>
              <w:snapToGrid w:val="0"/>
              <w:spacing w:line="360" w:lineRule="auto"/>
              <w:jc w:val="center"/>
              <w:rPr>
                <w:rFonts w:hint="eastAsia"/>
                <w:color w:val="auto"/>
              </w:rPr>
            </w:pPr>
            <w:r>
              <w:rPr>
                <w:rFonts w:hint="eastAsia"/>
                <w:color w:val="auto"/>
              </w:rPr>
              <w:t>评</w:t>
            </w:r>
            <w:r>
              <w:rPr>
                <w:rFonts w:hint="eastAsia"/>
                <w:color w:val="auto"/>
                <w:lang w:val="en-US" w:eastAsia="zh-CN"/>
              </w:rPr>
              <w:t>审</w:t>
            </w:r>
            <w:r>
              <w:rPr>
                <w:rFonts w:hint="eastAsia"/>
                <w:color w:val="auto"/>
              </w:rPr>
              <w:t>价</w:t>
            </w:r>
          </w:p>
        </w:tc>
        <w:tc>
          <w:tcPr>
            <w:tcW w:w="1200" w:type="dxa"/>
            <w:noWrap w:val="0"/>
            <w:vAlign w:val="center"/>
          </w:tcPr>
          <w:p>
            <w:pPr>
              <w:widowControl/>
              <w:adjustRightInd w:val="0"/>
              <w:snapToGrid w:val="0"/>
              <w:spacing w:line="360" w:lineRule="auto"/>
              <w:jc w:val="center"/>
              <w:rPr>
                <w:rFonts w:hint="eastAsia"/>
                <w:color w:val="auto"/>
              </w:rPr>
            </w:pPr>
            <w:r>
              <w:rPr>
                <w:rFonts w:hint="eastAsia"/>
                <w:color w:val="auto"/>
                <w:lang w:val="en-US" w:eastAsia="zh-CN"/>
              </w:rPr>
              <w:t>3</w:t>
            </w:r>
            <w:r>
              <w:rPr>
                <w:rFonts w:hint="eastAsia"/>
                <w:color w:val="auto"/>
              </w:rPr>
              <w:t>0分</w:t>
            </w:r>
          </w:p>
        </w:tc>
        <w:tc>
          <w:tcPr>
            <w:tcW w:w="6894" w:type="dxa"/>
            <w:gridSpan w:val="3"/>
            <w:noWrap w:val="0"/>
            <w:vAlign w:val="center"/>
          </w:tcPr>
          <w:p>
            <w:pPr>
              <w:widowControl/>
              <w:adjustRightInd w:val="0"/>
              <w:snapToGrid w:val="0"/>
              <w:spacing w:line="360" w:lineRule="auto"/>
              <w:jc w:val="left"/>
              <w:rPr>
                <w:rFonts w:hint="eastAsia"/>
                <w:color w:val="auto"/>
                <w:lang w:val="en-US" w:eastAsia="zh-CN"/>
              </w:rPr>
            </w:pPr>
            <w:r>
              <w:rPr>
                <w:rFonts w:hint="eastAsia"/>
                <w:color w:val="auto"/>
                <w:lang w:val="en-US" w:eastAsia="zh-CN"/>
              </w:rPr>
              <w:t>1、本次报价按比例进行报价，报价比例即为各分项报价的比例。</w:t>
            </w:r>
          </w:p>
          <w:p>
            <w:pPr>
              <w:widowControl/>
              <w:adjustRightInd w:val="0"/>
              <w:snapToGrid w:val="0"/>
              <w:spacing w:line="360" w:lineRule="auto"/>
              <w:jc w:val="left"/>
              <w:rPr>
                <w:rFonts w:hint="eastAsia"/>
                <w:color w:val="auto"/>
                <w:lang w:val="en-US" w:eastAsia="zh-CN"/>
              </w:rPr>
            </w:pPr>
            <w:r>
              <w:rPr>
                <w:rFonts w:hint="eastAsia"/>
                <w:color w:val="auto"/>
                <w:lang w:val="en-US" w:eastAsia="zh-CN"/>
              </w:rPr>
              <w:t>2、以最低报价比例为基准报价，则评标价得分=基准价/报价*30</w:t>
            </w:r>
          </w:p>
          <w:p>
            <w:pPr>
              <w:widowControl/>
              <w:adjustRightInd w:val="0"/>
              <w:snapToGrid w:val="0"/>
              <w:spacing w:line="360" w:lineRule="auto"/>
              <w:jc w:val="left"/>
              <w:rPr>
                <w:rFonts w:hint="default"/>
                <w:color w:val="auto"/>
                <w:lang w:val="en-US" w:eastAsia="zh-CN"/>
              </w:rPr>
            </w:pPr>
            <w:r>
              <w:rPr>
                <w:rFonts w:hint="eastAsia"/>
                <w:color w:val="auto"/>
                <w:lang w:val="en-US" w:eastAsia="zh-CN"/>
              </w:rPr>
              <w:t>其中基准价为最低报价比例，报价为各报价人的报价比例；最高得分为30分，最低得分为0分。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49" w:hRule="atLeast"/>
          <w:jc w:val="center"/>
        </w:trPr>
        <w:tc>
          <w:tcPr>
            <w:tcW w:w="10205" w:type="dxa"/>
            <w:gridSpan w:val="6"/>
            <w:noWrap w:val="0"/>
            <w:vAlign w:val="center"/>
          </w:tcPr>
          <w:p>
            <w:pPr>
              <w:widowControl/>
              <w:adjustRightInd w:val="0"/>
              <w:snapToGrid w:val="0"/>
              <w:spacing w:line="360" w:lineRule="auto"/>
              <w:jc w:val="left"/>
              <w:rPr>
                <w:rFonts w:hint="eastAsia"/>
                <w:color w:val="auto"/>
                <w:lang w:val="en-US" w:eastAsia="zh-CN"/>
              </w:rPr>
            </w:pPr>
            <w:r>
              <w:rPr>
                <w:rFonts w:hint="eastAsia" w:ascii="Times New Roman" w:hAnsi="Times New Roman" w:cs="Times New Roman"/>
                <w:color w:val="auto"/>
                <w:lang w:eastAsia="zh-CN"/>
              </w:rPr>
              <w:t>需要补充的其他内容：</w:t>
            </w:r>
            <w:r>
              <w:rPr>
                <w:rFonts w:hint="eastAsia" w:ascii="Times New Roman" w:hAnsi="Times New Roman" w:cs="Times New Roman"/>
                <w:color w:val="auto"/>
              </w:rPr>
              <w:t>如投标人的</w:t>
            </w:r>
            <w:r>
              <w:rPr>
                <w:rFonts w:ascii="Times New Roman" w:hAnsi="Times New Roman" w:eastAsia="宋体" w:cs="Times New Roman"/>
                <w:color w:val="auto"/>
                <w:kern w:val="0"/>
                <w:sz w:val="22"/>
                <w:szCs w:val="22"/>
              </w:rPr>
              <w:t>评标</w:t>
            </w:r>
            <w:r>
              <w:rPr>
                <w:rFonts w:hint="eastAsia" w:ascii="Times New Roman" w:hAnsi="Times New Roman" w:cs="Times New Roman"/>
                <w:color w:val="auto"/>
              </w:rPr>
              <w:t>价同时低于最高限价的80</w:t>
            </w:r>
            <w:r>
              <w:rPr>
                <w:rFonts w:hint="eastAsia" w:ascii="Times New Roman" w:hAnsi="Times New Roman" w:cs="Times New Roman"/>
                <w:color w:val="auto"/>
                <w:lang w:val="en-US" w:eastAsia="zh-CN"/>
              </w:rPr>
              <w:t>%</w:t>
            </w:r>
            <w:r>
              <w:rPr>
                <w:rFonts w:hint="eastAsia" w:ascii="Times New Roman" w:hAnsi="Times New Roman" w:cs="Times New Roman"/>
                <w:color w:val="auto"/>
              </w:rPr>
              <w:t>和</w:t>
            </w:r>
            <w:r>
              <w:rPr>
                <w:rFonts w:ascii="Times New Roman" w:hAnsi="Times New Roman" w:eastAsia="宋体" w:cs="Times New Roman"/>
                <w:color w:val="auto"/>
                <w:kern w:val="0"/>
                <w:sz w:val="22"/>
                <w:szCs w:val="22"/>
              </w:rPr>
              <w:t>评标</w:t>
            </w:r>
            <w:r>
              <w:rPr>
                <w:rFonts w:hint="eastAsia" w:ascii="Times New Roman" w:hAnsi="Times New Roman" w:eastAsia="宋体" w:cs="Times New Roman"/>
                <w:color w:val="auto"/>
                <w:kern w:val="0"/>
                <w:sz w:val="22"/>
                <w:szCs w:val="22"/>
                <w:lang w:eastAsia="zh-CN"/>
              </w:rPr>
              <w:t>价</w:t>
            </w:r>
            <w:r>
              <w:rPr>
                <w:rFonts w:hint="eastAsia" w:ascii="Times New Roman" w:hAnsi="Times New Roman" w:cs="Times New Roman"/>
                <w:color w:val="auto"/>
              </w:rPr>
              <w:t>平均值的85%时，应当</w:t>
            </w:r>
            <w:r>
              <w:rPr>
                <w:rFonts w:hint="eastAsia" w:ascii="Times New Roman" w:hAnsi="Times New Roman" w:cs="Times New Roman"/>
                <w:color w:val="auto"/>
                <w:lang w:eastAsia="zh-CN"/>
              </w:rPr>
              <w:t>启动澄清程序</w:t>
            </w:r>
            <w:r>
              <w:rPr>
                <w:rFonts w:hint="eastAsia" w:ascii="Times New Roman" w:hAnsi="Times New Roman" w:cs="Times New Roman"/>
                <w:color w:val="auto"/>
              </w:rPr>
              <w:t>，</w:t>
            </w:r>
            <w:r>
              <w:rPr>
                <w:rFonts w:hint="eastAsia" w:ascii="Times New Roman" w:hAnsi="Times New Roman" w:cs="Times New Roman"/>
                <w:color w:val="auto"/>
                <w:lang w:eastAsia="zh-CN"/>
              </w:rPr>
              <w:t>评审小组</w:t>
            </w:r>
            <w:r>
              <w:rPr>
                <w:rFonts w:hint="eastAsia" w:ascii="Times New Roman" w:hAnsi="Times New Roman" w:cs="Times New Roman"/>
                <w:color w:val="auto"/>
              </w:rPr>
              <w:t>将要求该</w:t>
            </w:r>
            <w:r>
              <w:rPr>
                <w:rFonts w:hint="eastAsia" w:ascii="Times New Roman" w:hAnsi="Times New Roman" w:cs="Times New Roman"/>
                <w:color w:val="auto"/>
                <w:lang w:eastAsia="zh-CN"/>
              </w:rPr>
              <w:t>响应</w:t>
            </w:r>
            <w:r>
              <w:rPr>
                <w:rFonts w:hint="eastAsia" w:ascii="Times New Roman" w:hAnsi="Times New Roman" w:cs="Times New Roman"/>
                <w:color w:val="auto"/>
              </w:rPr>
              <w:t>人作出书面说明并提供相应的证明材料。</w:t>
            </w:r>
            <w:r>
              <w:rPr>
                <w:rFonts w:hint="eastAsia" w:ascii="Times New Roman" w:hAnsi="Times New Roman" w:cs="Times New Roman"/>
                <w:color w:val="auto"/>
                <w:lang w:eastAsia="zh-CN"/>
              </w:rPr>
              <w:t>响应</w:t>
            </w:r>
            <w:r>
              <w:rPr>
                <w:rFonts w:hint="eastAsia" w:ascii="Times New Roman" w:hAnsi="Times New Roman" w:cs="Times New Roman"/>
                <w:color w:val="auto"/>
              </w:rPr>
              <w:t>人不能</w:t>
            </w:r>
            <w:r>
              <w:rPr>
                <w:rFonts w:hint="eastAsia" w:ascii="Times New Roman" w:hAnsi="Times New Roman" w:cs="Times New Roman"/>
                <w:color w:val="auto"/>
                <w:lang w:eastAsia="zh-CN"/>
              </w:rPr>
              <w:t>合理说明或者不能提供</w:t>
            </w:r>
            <w:r>
              <w:rPr>
                <w:rFonts w:hint="eastAsia" w:ascii="Times New Roman" w:hAnsi="Times New Roman" w:cs="Times New Roman"/>
                <w:color w:val="auto"/>
              </w:rPr>
              <w:t>相应证明</w:t>
            </w:r>
            <w:r>
              <w:rPr>
                <w:rFonts w:hint="eastAsia" w:ascii="Times New Roman" w:hAnsi="Times New Roman" w:cs="Times New Roman"/>
                <w:color w:val="auto"/>
                <w:lang w:eastAsia="zh-CN"/>
              </w:rPr>
              <w:t>材料</w:t>
            </w:r>
            <w:r>
              <w:rPr>
                <w:rFonts w:hint="eastAsia" w:ascii="Times New Roman" w:hAnsi="Times New Roman" w:cs="Times New Roman"/>
                <w:color w:val="auto"/>
              </w:rPr>
              <w:t>的，</w:t>
            </w:r>
            <w:r>
              <w:rPr>
                <w:rFonts w:hint="eastAsia" w:ascii="Times New Roman" w:hAnsi="Times New Roman" w:cs="Times New Roman"/>
                <w:color w:val="auto"/>
                <w:lang w:eastAsia="zh-CN"/>
              </w:rPr>
              <w:t>评审小组</w:t>
            </w:r>
            <w:r>
              <w:rPr>
                <w:rFonts w:hint="eastAsia" w:ascii="Times New Roman" w:hAnsi="Times New Roman" w:cs="Times New Roman"/>
                <w:color w:val="auto"/>
              </w:rPr>
              <w:t>将认定该</w:t>
            </w:r>
            <w:r>
              <w:rPr>
                <w:rFonts w:hint="eastAsia" w:ascii="Times New Roman" w:hAnsi="Times New Roman" w:cs="Times New Roman"/>
                <w:color w:val="auto"/>
                <w:lang w:eastAsia="zh-CN"/>
              </w:rPr>
              <w:t>响应</w:t>
            </w:r>
            <w:r>
              <w:rPr>
                <w:rFonts w:hint="eastAsia" w:ascii="Times New Roman" w:hAnsi="Times New Roman" w:cs="Times New Roman"/>
                <w:color w:val="auto"/>
              </w:rPr>
              <w:t>人以低于成本报价竞标，其竞标</w:t>
            </w:r>
            <w:r>
              <w:rPr>
                <w:rFonts w:hint="eastAsia" w:ascii="Times New Roman" w:hAnsi="Times New Roman" w:cs="Times New Roman"/>
                <w:color w:val="auto"/>
                <w:lang w:eastAsia="zh-CN"/>
              </w:rPr>
              <w:t>资</w:t>
            </w:r>
            <w:r>
              <w:rPr>
                <w:rFonts w:hint="eastAsia" w:ascii="Times New Roman" w:hAnsi="Times New Roman" w:cs="Times New Roman"/>
                <w:color w:val="auto"/>
              </w:rPr>
              <w:t>格</w:t>
            </w:r>
            <w:r>
              <w:rPr>
                <w:rFonts w:hint="eastAsia" w:ascii="Times New Roman" w:hAnsi="Times New Roman" w:cs="Times New Roman"/>
                <w:color w:val="auto"/>
                <w:lang w:eastAsia="zh-CN"/>
              </w:rPr>
              <w:t>将</w:t>
            </w:r>
            <w:r>
              <w:rPr>
                <w:rFonts w:hint="eastAsia" w:ascii="Times New Roman" w:hAnsi="Times New Roman" w:cs="Times New Roman"/>
                <w:color w:val="auto"/>
              </w:rPr>
              <w:t>被否决。</w:t>
            </w:r>
          </w:p>
        </w:tc>
      </w:tr>
    </w:tbl>
    <w:p>
      <w:pPr>
        <w:rPr>
          <w:rFonts w:hint="eastAsia" w:ascii="黑体" w:hAnsi="黑体" w:eastAsia="黑体" w:cs="黑体"/>
          <w:color w:val="auto"/>
          <w:sz w:val="24"/>
        </w:rPr>
      </w:pPr>
      <w:r>
        <w:rPr>
          <w:rFonts w:hint="eastAsia" w:ascii="黑体" w:hAnsi="黑体" w:eastAsia="黑体" w:cs="黑体"/>
          <w:color w:val="auto"/>
          <w:sz w:val="24"/>
        </w:rPr>
        <w:br w:type="page"/>
      </w:r>
    </w:p>
    <w:p>
      <w:pPr>
        <w:snapToGrid w:val="0"/>
        <w:spacing w:beforeLines="50" w:line="360" w:lineRule="auto"/>
        <w:jc w:val="center"/>
        <w:rPr>
          <w:rFonts w:ascii="黑体" w:hAnsi="黑体" w:eastAsia="黑体" w:cs="黑体"/>
          <w:color w:val="auto"/>
          <w:sz w:val="24"/>
        </w:rPr>
      </w:pPr>
      <w:r>
        <w:rPr>
          <w:rFonts w:hint="eastAsia" w:ascii="黑体" w:hAnsi="黑体" w:eastAsia="黑体" w:cs="黑体"/>
          <w:color w:val="auto"/>
          <w:sz w:val="24"/>
        </w:rPr>
        <w:t>表3 响应文件评审</w:t>
      </w:r>
    </w:p>
    <w:tbl>
      <w:tblPr>
        <w:tblStyle w:val="12"/>
        <w:tblW w:w="10205" w:type="dxa"/>
        <w:tblInd w:w="-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0"/>
        <w:gridCol w:w="1393"/>
        <w:gridCol w:w="1880"/>
        <w:gridCol w:w="5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2333" w:type="dxa"/>
            <w:gridSpan w:val="2"/>
            <w:vAlign w:val="center"/>
          </w:tcPr>
          <w:p>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880" w:type="dxa"/>
            <w:vAlign w:val="center"/>
          </w:tcPr>
          <w:p>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992" w:type="dxa"/>
            <w:vAlign w:val="center"/>
          </w:tcPr>
          <w:p>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3</w:t>
            </w:r>
            <w:r>
              <w:rPr>
                <w:rFonts w:ascii="Times New Roman" w:hAnsi="Times New Roman" w:cs="Times New Roman"/>
                <w:color w:val="auto"/>
                <w:kern w:val="0"/>
                <w:szCs w:val="21"/>
              </w:rPr>
              <w:t>.1</w:t>
            </w:r>
          </w:p>
        </w:tc>
        <w:tc>
          <w:tcPr>
            <w:tcW w:w="1393"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形式评审标准</w:t>
            </w: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供应商名称</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响应文件格式</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签名及</w:t>
            </w:r>
            <w:r>
              <w:rPr>
                <w:rFonts w:ascii="Times New Roman" w:hAnsi="Times New Roman" w:cs="Times New Roman"/>
                <w:color w:val="auto"/>
                <w:kern w:val="0"/>
                <w:szCs w:val="21"/>
              </w:rPr>
              <w:t>盖章</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U盘及响应</w:t>
            </w:r>
          </w:p>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文件份数</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装订及密封</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3</w:t>
            </w:r>
            <w:r>
              <w:rPr>
                <w:rFonts w:ascii="Times New Roman" w:hAnsi="Times New Roman" w:cs="Times New Roman"/>
                <w:color w:val="auto"/>
                <w:kern w:val="0"/>
                <w:szCs w:val="21"/>
              </w:rPr>
              <w:t>.1</w:t>
            </w:r>
          </w:p>
        </w:tc>
        <w:tc>
          <w:tcPr>
            <w:tcW w:w="1393"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资格评审标准</w:t>
            </w: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资质条件、信誉</w:t>
            </w:r>
          </w:p>
        </w:tc>
        <w:tc>
          <w:tcPr>
            <w:tcW w:w="5992" w:type="dxa"/>
            <w:tcMar>
              <w:left w:w="75" w:type="dxa"/>
            </w:tcMar>
            <w:vAlign w:val="center"/>
          </w:tcPr>
          <w:p>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hint="eastAsia"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hint="default" w:ascii="Times New Roman" w:hAnsi="Times New Roman" w:cs="Times New Roman" w:eastAsiaTheme="minorEastAsia"/>
                <w:color w:val="auto"/>
                <w:kern w:val="0"/>
                <w:szCs w:val="21"/>
                <w:lang w:val="en-US" w:eastAsia="zh-CN"/>
              </w:rPr>
            </w:pPr>
            <w:r>
              <w:rPr>
                <w:rFonts w:hint="eastAsia" w:ascii="Times New Roman" w:hAnsi="Times New Roman" w:cs="Times New Roman"/>
                <w:color w:val="auto"/>
                <w:kern w:val="0"/>
                <w:szCs w:val="21"/>
                <w:lang w:val="en-US" w:eastAsia="zh-CN"/>
              </w:rPr>
              <w:t>位置及场地</w:t>
            </w:r>
          </w:p>
        </w:tc>
        <w:tc>
          <w:tcPr>
            <w:tcW w:w="5992" w:type="dxa"/>
            <w:tcMar>
              <w:left w:w="75" w:type="dxa"/>
            </w:tcMar>
            <w:vAlign w:val="center"/>
          </w:tcPr>
          <w:p>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业绩</w:t>
            </w:r>
          </w:p>
        </w:tc>
        <w:tc>
          <w:tcPr>
            <w:tcW w:w="5992" w:type="dxa"/>
            <w:tcMar>
              <w:left w:w="75" w:type="dxa"/>
            </w:tcMar>
            <w:vAlign w:val="center"/>
          </w:tcPr>
          <w:p>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hint="eastAsia" w:ascii="Times New Roman" w:hAnsi="Times New Roman" w:cs="Times New Roman" w:eastAsiaTheme="minorEastAsia"/>
                <w:color w:val="auto"/>
                <w:kern w:val="0"/>
                <w:szCs w:val="21"/>
                <w:lang w:val="en-US" w:eastAsia="zh-CN"/>
              </w:rPr>
            </w:pPr>
            <w:r>
              <w:rPr>
                <w:rFonts w:hint="eastAsia" w:ascii="Times New Roman" w:hAnsi="Times New Roman" w:cs="Times New Roman"/>
                <w:color w:val="auto"/>
                <w:kern w:val="0"/>
                <w:szCs w:val="21"/>
                <w:lang w:val="en-US" w:eastAsia="zh-CN"/>
              </w:rPr>
              <w:t>设备</w:t>
            </w:r>
          </w:p>
        </w:tc>
        <w:tc>
          <w:tcPr>
            <w:tcW w:w="5992" w:type="dxa"/>
            <w:tcMar>
              <w:left w:w="75" w:type="dxa"/>
            </w:tcMar>
            <w:vAlign w:val="center"/>
          </w:tcPr>
          <w:p>
            <w:pPr>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符合第</w:t>
            </w:r>
            <w:r>
              <w:rPr>
                <w:rFonts w:hint="eastAsia" w:ascii="Times New Roman" w:hAnsi="Times New Roman" w:cs="Times New Roman"/>
                <w:bCs/>
                <w:color w:val="auto"/>
                <w:kern w:val="0"/>
                <w:szCs w:val="21"/>
              </w:rPr>
              <w:t>一</w:t>
            </w:r>
            <w:r>
              <w:rPr>
                <w:rFonts w:ascii="Times New Roman" w:hAnsi="Times New Roman" w:cs="Times New Roman"/>
                <w:bCs/>
                <w:color w:val="auto"/>
                <w:kern w:val="0"/>
                <w:szCs w:val="21"/>
              </w:rPr>
              <w:t>章“</w:t>
            </w:r>
            <w:r>
              <w:rPr>
                <w:rFonts w:hint="eastAsia" w:ascii="Times New Roman" w:hAnsi="Times New Roman" w:cs="Times New Roman"/>
                <w:color w:val="auto"/>
                <w:szCs w:val="21"/>
              </w:rPr>
              <w:t>采购公告</w:t>
            </w:r>
            <w:r>
              <w:rPr>
                <w:rFonts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3</w:t>
            </w:r>
            <w:r>
              <w:rPr>
                <w:rFonts w:ascii="Times New Roman" w:hAnsi="Times New Roman" w:cs="Times New Roman"/>
                <w:color w:val="auto"/>
                <w:kern w:val="0"/>
                <w:szCs w:val="21"/>
              </w:rPr>
              <w:t>.1</w:t>
            </w:r>
          </w:p>
        </w:tc>
        <w:tc>
          <w:tcPr>
            <w:tcW w:w="1393" w:type="dxa"/>
            <w:vMerge w:val="restart"/>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响应性评审标准</w:t>
            </w: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报价内容</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rPr>
              <w:t>符合</w:t>
            </w:r>
            <w:r>
              <w:rPr>
                <w:rFonts w:ascii="Times New Roman" w:hAnsi="Times New Roman" w:cs="Times New Roman"/>
                <w:color w:val="auto"/>
              </w:rPr>
              <w:t>第一章“</w:t>
            </w:r>
            <w:r>
              <w:rPr>
                <w:rFonts w:hint="eastAsia" w:ascii="Times New Roman" w:hAnsi="Times New Roman" w:cs="Times New Roman"/>
                <w:color w:val="auto"/>
                <w:szCs w:val="21"/>
              </w:rPr>
              <w:t>采购公告</w:t>
            </w:r>
            <w:r>
              <w:rPr>
                <w:rFonts w:ascii="Times New Roman" w:hAnsi="Times New Roman" w:cs="Times New Roman"/>
                <w:color w:va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响应保证金</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询比文件的获取</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w:t>
            </w:r>
            <w:r>
              <w:rPr>
                <w:rFonts w:ascii="Times New Roman" w:hAnsi="Times New Roman" w:cs="Times New Roman"/>
                <w:color w:val="auto"/>
              </w:rPr>
              <w:t>第一章“</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bCs/>
                <w:color w:val="auto"/>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ascii="Times New Roman" w:hAnsi="Times New Roman" w:cs="Times New Roman"/>
                <w:bCs/>
                <w:color w:val="auto"/>
                <w:kern w:val="0"/>
                <w:szCs w:val="21"/>
              </w:rPr>
            </w:pPr>
            <w:r>
              <w:rPr>
                <w:rFonts w:hint="eastAsia" w:ascii="Times New Roman" w:hAnsi="Times New Roman" w:cs="Times New Roman"/>
                <w:bCs/>
                <w:color w:val="auto"/>
                <w:kern w:val="0"/>
                <w:szCs w:val="21"/>
              </w:rPr>
              <w:t>联合体</w:t>
            </w:r>
          </w:p>
        </w:tc>
        <w:tc>
          <w:tcPr>
            <w:tcW w:w="5992"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bCs/>
                <w:color w:val="auto"/>
                <w:kern w:val="0"/>
                <w:szCs w:val="21"/>
              </w:rPr>
              <w:t>分包</w:t>
            </w:r>
          </w:p>
        </w:tc>
        <w:tc>
          <w:tcPr>
            <w:tcW w:w="5992"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ascii="Times New Roman" w:hAnsi="Times New Roman" w:cs="Times New Roman"/>
                <w:bCs/>
                <w:color w:val="auto"/>
                <w:kern w:val="0"/>
                <w:szCs w:val="21"/>
              </w:rPr>
            </w:pPr>
            <w:r>
              <w:rPr>
                <w:rFonts w:ascii="Times New Roman" w:hAnsi="Times New Roman" w:cs="Times New Roman"/>
                <w:color w:val="auto"/>
                <w:kern w:val="0"/>
                <w:szCs w:val="21"/>
              </w:rPr>
              <w:t>报价</w:t>
            </w:r>
          </w:p>
        </w:tc>
        <w:tc>
          <w:tcPr>
            <w:tcW w:w="5992" w:type="dxa"/>
            <w:tcBorders>
              <w:top w:val="outset" w:color="auto" w:sz="6" w:space="0"/>
              <w:left w:val="single" w:color="auto" w:sz="4" w:space="0"/>
              <w:right w:val="outset" w:color="auto" w:sz="6" w:space="0"/>
            </w:tcBorders>
            <w:tcMar>
              <w:left w:w="75" w:type="dxa"/>
            </w:tcMar>
            <w:vAlign w:val="center"/>
          </w:tcPr>
          <w:p>
            <w:pPr>
              <w:spacing w:line="440" w:lineRule="exact"/>
              <w:jc w:val="left"/>
              <w:rPr>
                <w:rFonts w:ascii="Times New Roman" w:hAnsi="Times New Roman" w:cs="Times New Roman"/>
                <w:bCs/>
                <w:color w:val="auto"/>
              </w:rPr>
            </w:pPr>
            <w:r>
              <w:rPr>
                <w:rFonts w:ascii="Times New Roman" w:hAnsi="Times New Roman" w:cs="Times New Roman"/>
                <w:bCs/>
                <w:color w:val="auto"/>
              </w:rPr>
              <w:t>（1）报价</w:t>
            </w:r>
            <w:r>
              <w:rPr>
                <w:rFonts w:hint="eastAsia" w:ascii="Times New Roman" w:hAnsi="Times New Roman" w:cs="Times New Roman"/>
                <w:bCs/>
                <w:color w:val="auto"/>
              </w:rPr>
              <w:t>比例</w:t>
            </w:r>
            <w:r>
              <w:rPr>
                <w:rFonts w:hint="eastAsia" w:ascii="Times New Roman" w:hAnsi="Times New Roman" w:cs="Times New Roman"/>
                <w:bCs/>
                <w:color w:val="auto"/>
                <w:lang w:val="en-US" w:eastAsia="zh-CN"/>
              </w:rPr>
              <w:t>未</w:t>
            </w:r>
            <w:r>
              <w:rPr>
                <w:rFonts w:ascii="Times New Roman" w:hAnsi="Times New Roman" w:cs="Times New Roman"/>
                <w:bCs/>
                <w:color w:val="auto"/>
              </w:rPr>
              <w:t>超</w:t>
            </w:r>
            <w:r>
              <w:rPr>
                <w:rFonts w:hint="eastAsia" w:ascii="Times New Roman" w:hAnsi="Times New Roman" w:cs="Times New Roman"/>
                <w:bCs/>
                <w:color w:val="auto"/>
              </w:rPr>
              <w:t>过100%；</w:t>
            </w:r>
          </w:p>
          <w:p>
            <w:pPr>
              <w:spacing w:line="440" w:lineRule="exact"/>
              <w:jc w:val="left"/>
              <w:rPr>
                <w:rFonts w:ascii="Times New Roman" w:hAnsi="Times New Roman" w:cs="Times New Roman"/>
                <w:bCs/>
                <w:color w:val="auto"/>
              </w:rPr>
            </w:pPr>
            <w:r>
              <w:rPr>
                <w:rFonts w:hint="eastAsia" w:ascii="Times New Roman" w:hAnsi="Times New Roman" w:cs="Times New Roman"/>
                <w:bCs/>
                <w:color w:val="auto"/>
              </w:rPr>
              <w:t>（2）</w:t>
            </w:r>
            <w:r>
              <w:rPr>
                <w:rFonts w:ascii="Times New Roman" w:hAnsi="Times New Roman" w:cs="Times New Roman"/>
                <w:bCs/>
                <w:color w:val="auto"/>
              </w:rPr>
              <w:t>在报价函上填写报价</w:t>
            </w:r>
            <w:r>
              <w:rPr>
                <w:rFonts w:hint="eastAsia" w:ascii="Times New Roman" w:hAnsi="Times New Roman" w:cs="Times New Roman"/>
                <w:bCs/>
                <w:color w:val="auto"/>
              </w:rPr>
              <w:t>比例；</w:t>
            </w:r>
          </w:p>
          <w:p>
            <w:pPr>
              <w:widowControl/>
              <w:spacing w:line="440" w:lineRule="exact"/>
              <w:jc w:val="left"/>
              <w:rPr>
                <w:rFonts w:ascii="Times New Roman" w:hAnsi="Times New Roman" w:cs="Times New Roman"/>
                <w:color w:val="auto"/>
              </w:rPr>
            </w:pPr>
            <w:r>
              <w:rPr>
                <w:rFonts w:hint="eastAsia" w:ascii="Times New Roman" w:hAnsi="Times New Roman" w:cs="Times New Roman"/>
                <w:bCs/>
                <w:color w:val="auto"/>
              </w:rPr>
              <w:t>（3）报价函中的报价比例与</w:t>
            </w:r>
            <w:r>
              <w:rPr>
                <w:rFonts w:hint="eastAsia" w:ascii="Times New Roman" w:hAnsi="Times New Roman" w:cs="Times New Roman"/>
                <w:bCs/>
                <w:color w:val="auto"/>
                <w:lang w:val="en-US" w:eastAsia="zh-CN"/>
              </w:rPr>
              <w:t>汇总表中</w:t>
            </w:r>
            <w:r>
              <w:rPr>
                <w:rFonts w:hint="eastAsia" w:ascii="Times New Roman" w:hAnsi="Times New Roman" w:cs="Times New Roman"/>
                <w:bCs/>
                <w:color w:val="auto"/>
              </w:rPr>
              <w:t>报价比例一致</w:t>
            </w:r>
            <w:r>
              <w:rPr>
                <w:rFonts w:ascii="Times New Roman" w:hAnsi="Times New Roman" w:cs="Times New Roman"/>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0"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393" w:type="dxa"/>
            <w:vMerge w:val="continue"/>
            <w:vAlign w:val="center"/>
          </w:tcPr>
          <w:p>
            <w:pPr>
              <w:widowControl/>
              <w:adjustRightInd w:val="0"/>
              <w:snapToGrid w:val="0"/>
              <w:spacing w:line="360" w:lineRule="atLeast"/>
              <w:jc w:val="center"/>
              <w:rPr>
                <w:rFonts w:ascii="Times New Roman" w:hAnsi="Times New Roman" w:cs="Times New Roman"/>
                <w:color w:val="auto"/>
                <w:kern w:val="0"/>
                <w:szCs w:val="21"/>
              </w:rPr>
            </w:pPr>
          </w:p>
        </w:tc>
        <w:tc>
          <w:tcPr>
            <w:tcW w:w="1880"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其他实质性要求</w:t>
            </w:r>
          </w:p>
        </w:tc>
        <w:tc>
          <w:tcPr>
            <w:tcW w:w="5992" w:type="dxa"/>
            <w:tcMar>
              <w:left w:w="75" w:type="dxa"/>
            </w:tcMar>
            <w:vAlign w:val="center"/>
          </w:tcPr>
          <w:p>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符合询比文件的其他实质性要求和条件</w:t>
            </w:r>
          </w:p>
        </w:tc>
      </w:tr>
    </w:tbl>
    <w:p>
      <w:pPr>
        <w:keepNext/>
        <w:keepLines/>
        <w:spacing w:before="120" w:beforeLines="50" w:after="120" w:afterLines="50"/>
        <w:ind w:firstLine="0" w:firstLineChars="0"/>
        <w:outlineLvl w:val="1"/>
        <w:rPr>
          <w:rFonts w:hint="default" w:ascii="Times New Roman" w:hAnsi="Times New Roman" w:eastAsia="黑体" w:cs="Times New Roman"/>
          <w:color w:val="auto"/>
          <w:sz w:val="29"/>
          <w:szCs w:val="29"/>
          <w:highlight w:val="none"/>
        </w:rPr>
      </w:pPr>
      <w:r>
        <w:rPr>
          <w:rFonts w:ascii="Times New Roman" w:hAnsi="Times New Roman" w:eastAsia="黑体" w:cs="Times New Roman"/>
          <w:color w:val="auto"/>
          <w:sz w:val="29"/>
          <w:szCs w:val="29"/>
        </w:rPr>
        <w:br w:type="page"/>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color w:val="auto"/>
          <w:lang w:eastAsia="zh-CN"/>
        </w:rPr>
      </w:pPr>
      <w:r>
        <w:rPr>
          <w:rFonts w:hint="eastAsia"/>
          <w:color w:val="auto"/>
        </w:rPr>
        <w:t>本次评审采用综合评分法。评审小组对满足询比文件实质性要求的响应文件按照本章</w:t>
      </w:r>
      <w:r>
        <w:rPr>
          <w:rFonts w:hint="eastAsia"/>
          <w:color w:val="auto"/>
          <w:lang w:val="en-US" w:eastAsia="zh-CN"/>
        </w:rPr>
        <w:t>表2</w:t>
      </w:r>
      <w:r>
        <w:rPr>
          <w:rFonts w:hint="eastAsia"/>
          <w:color w:val="auto"/>
        </w:rPr>
        <w:t>的规定的评分标准进行打分</w:t>
      </w:r>
      <w:r>
        <w:rPr>
          <w:rFonts w:hint="eastAsia"/>
          <w:color w:val="auto"/>
          <w:lang w:eastAsia="zh-CN"/>
        </w:rPr>
        <w:t>。</w:t>
      </w:r>
    </w:p>
    <w:p>
      <w:pPr>
        <w:spacing w:line="440" w:lineRule="exact"/>
        <w:ind w:firstLine="420"/>
        <w:rPr>
          <w:rFonts w:hint="eastAsia"/>
          <w:color w:val="auto"/>
          <w:lang w:val="en-US" w:eastAsia="zh-CN"/>
        </w:rPr>
      </w:pPr>
      <w:r>
        <w:rPr>
          <w:rFonts w:hint="eastAsia" w:ascii="Times New Roman" w:hAnsi="Times New Roman" w:cs="Times New Roman"/>
          <w:color w:val="auto"/>
          <w:lang w:val="en-US" w:eastAsia="zh-CN"/>
        </w:rPr>
        <w:t>评审小组对通过资格审查的报价文件，在满足采购文件实质性要求的前提下，以供应商的综合得分由高到低的顺序进行排序，确认排名，综合得分最高者为第一候选人。</w:t>
      </w:r>
      <w:r>
        <w:rPr>
          <w:rFonts w:hint="eastAsia"/>
          <w:color w:val="auto"/>
          <w:lang w:val="en-US" w:eastAsia="zh-CN"/>
        </w:rPr>
        <w:t>若存在有供应商得分相同情况，根据供应商提交响应文件中业绩数量多者进行排序；如业绩数量相同，以提交响应文件时间的先后顺序，确定排名先后。</w:t>
      </w:r>
    </w:p>
    <w:p>
      <w:pPr>
        <w:spacing w:line="440" w:lineRule="exact"/>
        <w:ind w:firstLine="42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招标人在开标后对潜在中标人进行实地查验，不符合评审要求者将取消中标资格。</w:t>
      </w:r>
    </w:p>
    <w:p>
      <w:pPr>
        <w:pStyle w:val="2"/>
        <w:rPr>
          <w:rFonts w:hint="default"/>
          <w:lang w:val="en-US" w:eastAsia="zh-CN"/>
        </w:rPr>
      </w:pPr>
    </w:p>
    <w:p>
      <w:pPr>
        <w:keepNext/>
        <w:keepLines/>
        <w:spacing w:beforeLines="50"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分值构成与评审标准</w:t>
      </w:r>
    </w:p>
    <w:p>
      <w:pPr>
        <w:spacing w:line="440" w:lineRule="exact"/>
        <w:ind w:firstLine="420"/>
        <w:rPr>
          <w:rFonts w:ascii="Times New Roman" w:hAnsi="Times New Roman" w:cs="Times New Roman"/>
          <w:color w:val="auto"/>
        </w:rPr>
      </w:pPr>
      <w:r>
        <w:rPr>
          <w:rFonts w:ascii="Times New Roman" w:hAnsi="Times New Roman" w:cs="Times New Roman"/>
          <w:color w:val="auto"/>
        </w:rPr>
        <w:t>2.2.1分值构成：</w:t>
      </w:r>
    </w:p>
    <w:p>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lang w:val="en-US" w:eastAsia="zh-CN"/>
        </w:rPr>
        <w:t>商务技术分</w:t>
      </w:r>
      <w:r>
        <w:rPr>
          <w:rFonts w:ascii="Times New Roman" w:hAnsi="Times New Roman" w:cs="Times New Roman"/>
          <w:color w:val="auto"/>
        </w:rPr>
        <w:t>：见评审办法；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2</w:t>
      </w:r>
      <w:r>
        <w:rPr>
          <w:rFonts w:ascii="Times New Roman" w:hAnsi="Times New Roman" w:cs="Times New Roman"/>
          <w:color w:val="auto"/>
        </w:rPr>
        <w:t>）</w:t>
      </w:r>
      <w:r>
        <w:rPr>
          <w:rFonts w:hint="eastAsia" w:ascii="Times New Roman" w:hAnsi="Times New Roman" w:cs="Times New Roman"/>
          <w:color w:val="auto"/>
        </w:rPr>
        <w:t>评审价</w:t>
      </w:r>
      <w:r>
        <w:rPr>
          <w:rFonts w:ascii="Times New Roman" w:hAnsi="Times New Roman" w:cs="Times New Roman"/>
          <w:color w:val="auto"/>
        </w:rPr>
        <w:t>：见评审办法。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2.2.2 评审基准价计算</w:t>
      </w:r>
    </w:p>
    <w:p>
      <w:pPr>
        <w:spacing w:line="440" w:lineRule="exact"/>
        <w:ind w:firstLine="420"/>
        <w:rPr>
          <w:rFonts w:ascii="Times New Roman" w:hAnsi="Times New Roman" w:cs="Times New Roman"/>
          <w:color w:val="auto"/>
        </w:rPr>
      </w:pPr>
      <w:r>
        <w:rPr>
          <w:rFonts w:ascii="Times New Roman" w:hAnsi="Times New Roman" w:cs="Times New Roman"/>
          <w:color w:val="auto"/>
        </w:rPr>
        <w:t>评审基准价计算方法：见评审办法。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2.2.3 评审价的偏差率计算</w:t>
      </w:r>
    </w:p>
    <w:p>
      <w:pPr>
        <w:spacing w:line="440" w:lineRule="exact"/>
        <w:ind w:firstLine="420"/>
        <w:rPr>
          <w:rFonts w:ascii="Times New Roman" w:hAnsi="Times New Roman" w:cs="Times New Roman"/>
          <w:color w:val="auto"/>
        </w:rPr>
      </w:pPr>
      <w:r>
        <w:rPr>
          <w:rFonts w:ascii="Times New Roman" w:hAnsi="Times New Roman" w:cs="Times New Roman"/>
          <w:color w:val="auto"/>
        </w:rPr>
        <w:t>评审价的计算公式：见评审办法。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2.2.4评分标准：</w:t>
      </w:r>
    </w:p>
    <w:p>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lang w:val="en-US" w:eastAsia="zh-CN"/>
        </w:rPr>
        <w:t>商务技术</w:t>
      </w:r>
      <w:r>
        <w:rPr>
          <w:rFonts w:ascii="Times New Roman" w:hAnsi="Times New Roman" w:cs="Times New Roman"/>
          <w:color w:val="auto"/>
        </w:rPr>
        <w:t>评分标准：见评审办法；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2</w:t>
      </w:r>
      <w:r>
        <w:rPr>
          <w:rFonts w:ascii="Times New Roman" w:hAnsi="Times New Roman" w:cs="Times New Roman"/>
          <w:color w:val="auto"/>
        </w:rPr>
        <w:t>）</w:t>
      </w:r>
      <w:r>
        <w:rPr>
          <w:rFonts w:hint="eastAsia" w:ascii="Times New Roman" w:hAnsi="Times New Roman" w:cs="Times New Roman"/>
          <w:color w:val="auto"/>
        </w:rPr>
        <w:t>评审价</w:t>
      </w:r>
      <w:r>
        <w:rPr>
          <w:rFonts w:ascii="Times New Roman" w:hAnsi="Times New Roman" w:cs="Times New Roman"/>
          <w:color w:val="auto"/>
        </w:rPr>
        <w:t>评分标准：见评审办法。</w:t>
      </w:r>
    </w:p>
    <w:p>
      <w:pPr>
        <w:keepNext/>
        <w:keepLines/>
        <w:spacing w:beforeLines="50"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pPr>
        <w:spacing w:line="440" w:lineRule="exact"/>
        <w:ind w:firstLine="420"/>
        <w:rPr>
          <w:rFonts w:ascii="Times New Roman" w:hAnsi="Times New Roman" w:cs="Times New Roman"/>
          <w:color w:val="auto"/>
        </w:rPr>
      </w:pPr>
      <w:r>
        <w:rPr>
          <w:rFonts w:ascii="Times New Roman" w:hAnsi="Times New Roman" w:cs="Times New Roman"/>
          <w:color w:val="auto"/>
        </w:rPr>
        <w:t>3.1.1</w:t>
      </w:r>
      <w:r>
        <w:rPr>
          <w:rFonts w:hint="eastAsia" w:ascii="Times New Roman" w:hAnsi="Times New Roman" w:cs="Times New Roman"/>
          <w:color w:val="auto"/>
        </w:rPr>
        <w:t>评审小组</w:t>
      </w:r>
      <w:r>
        <w:rPr>
          <w:rFonts w:ascii="Times New Roman" w:hAnsi="Times New Roman" w:cs="Times New Roman"/>
          <w:color w:val="auto"/>
        </w:rPr>
        <w:t>依据本章</w:t>
      </w:r>
      <w:r>
        <w:rPr>
          <w:rFonts w:hint="eastAsia" w:ascii="Times New Roman" w:hAnsi="Times New Roman" w:cs="Times New Roman"/>
          <w:color w:val="auto"/>
          <w:lang w:val="en-US" w:eastAsia="zh-CN"/>
        </w:rPr>
        <w:t>附表3</w:t>
      </w:r>
      <w:r>
        <w:rPr>
          <w:rFonts w:ascii="Times New Roman" w:hAnsi="Times New Roman" w:cs="Times New Roman"/>
          <w:color w:val="auto"/>
        </w:rPr>
        <w:t>规定的标准对响应文件进行评审。有一项不符合评审标准的，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2 </w:t>
      </w:r>
      <w:r>
        <w:rPr>
          <w:rFonts w:ascii="Times New Roman" w:hAnsi="Times New Roman" w:cs="Times New Roman"/>
          <w:color w:val="auto"/>
        </w:rPr>
        <w:t>响应文件中填报的</w:t>
      </w:r>
      <w:r>
        <w:rPr>
          <w:rFonts w:hint="eastAsia" w:ascii="Times New Roman" w:hAnsi="Times New Roman" w:cs="Times New Roman"/>
          <w:color w:val="auto"/>
          <w:lang w:val="en-US" w:eastAsia="zh-CN"/>
        </w:rPr>
        <w:t>服务</w:t>
      </w:r>
      <w:r>
        <w:rPr>
          <w:rFonts w:ascii="Times New Roman" w:hAnsi="Times New Roman" w:cs="Times New Roman"/>
          <w:color w:val="auto"/>
        </w:rPr>
        <w:t>期、质量标准、安全目标前后不一致时，</w:t>
      </w:r>
      <w:r>
        <w:rPr>
          <w:rFonts w:hint="eastAsia" w:ascii="Times New Roman" w:hAnsi="Times New Roman" w:cs="Times New Roman"/>
          <w:color w:val="auto"/>
        </w:rPr>
        <w:t>按细微偏差处理。</w:t>
      </w:r>
    </w:p>
    <w:p>
      <w:pPr>
        <w:keepNext/>
        <w:keepLines/>
        <w:spacing w:before="120" w:after="120"/>
        <w:outlineLvl w:val="2"/>
        <w:rPr>
          <w:rFonts w:ascii="Times New Roman" w:hAnsi="Times New Roman" w:cs="Times New Roman"/>
          <w:color w:val="auto"/>
        </w:rPr>
      </w:pPr>
      <w:r>
        <w:rPr>
          <w:rFonts w:ascii="Times New Roman" w:hAnsi="Times New Roman" w:eastAsia="黑体" w:cs="Times New Roman"/>
          <w:bCs/>
          <w:color w:val="auto"/>
          <w:sz w:val="24"/>
          <w:szCs w:val="32"/>
        </w:rPr>
        <w:t>3.2 详细评审</w:t>
      </w:r>
    </w:p>
    <w:p>
      <w:pPr>
        <w:spacing w:line="440" w:lineRule="exact"/>
        <w:ind w:firstLine="420"/>
        <w:rPr>
          <w:rFonts w:ascii="Times New Roman" w:hAnsi="Times New Roman" w:cs="Times New Roman"/>
          <w:color w:val="auto"/>
        </w:rPr>
      </w:pPr>
      <w:r>
        <w:rPr>
          <w:rFonts w:ascii="Times New Roman" w:hAnsi="Times New Roman" w:cs="Times New Roman"/>
          <w:color w:val="auto"/>
        </w:rPr>
        <w:t xml:space="preserve">3.2.1 </w:t>
      </w:r>
      <w:r>
        <w:rPr>
          <w:rFonts w:hint="eastAsia" w:ascii="Times New Roman" w:hAnsi="Times New Roman" w:cs="Times New Roman"/>
          <w:color w:val="auto"/>
        </w:rPr>
        <w:t>评审小组</w:t>
      </w:r>
      <w:r>
        <w:rPr>
          <w:rFonts w:ascii="Times New Roman" w:hAnsi="Times New Roman" w:cs="Times New Roman"/>
          <w:color w:val="auto"/>
        </w:rPr>
        <w:t>按本章第2.2款规定的量化因素和分值进行打分，并计算出综合评估得分。</w:t>
      </w:r>
    </w:p>
    <w:p>
      <w:pPr>
        <w:spacing w:line="440" w:lineRule="exact"/>
        <w:ind w:firstLine="420"/>
        <w:rPr>
          <w:rFonts w:ascii="Times New Roman" w:hAnsi="Times New Roman" w:cs="Times New Roman"/>
          <w:color w:val="auto"/>
        </w:rPr>
      </w:pPr>
      <w:r>
        <w:rPr>
          <w:rFonts w:ascii="Times New Roman" w:hAnsi="Times New Roman" w:cs="Times New Roman"/>
          <w:color w:val="auto"/>
        </w:rPr>
        <w:t>（1）按本章第2.2.4规定的评审因素和分值对</w:t>
      </w:r>
      <w:r>
        <w:rPr>
          <w:rFonts w:hint="eastAsia" w:ascii="Times New Roman" w:hAnsi="Times New Roman" w:cs="Times New Roman"/>
          <w:color w:val="auto"/>
        </w:rPr>
        <w:t>业绩</w:t>
      </w:r>
      <w:r>
        <w:rPr>
          <w:rFonts w:ascii="Times New Roman" w:hAnsi="Times New Roman" w:cs="Times New Roman"/>
          <w:color w:val="auto"/>
        </w:rPr>
        <w:t>计算出得分</w:t>
      </w:r>
      <w:r>
        <w:rPr>
          <w:rFonts w:hint="eastAsia" w:ascii="Times New Roman" w:hAnsi="Times New Roman" w:cs="Times New Roman"/>
          <w:color w:val="auto"/>
        </w:rPr>
        <w:t>I</w:t>
      </w:r>
      <w:r>
        <w:rPr>
          <w:rFonts w:ascii="Times New Roman" w:hAnsi="Times New Roman" w:cs="Times New Roman"/>
          <w:color w:val="auto"/>
        </w:rPr>
        <w:t>；</w:t>
      </w:r>
    </w:p>
    <w:p>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3</w:t>
      </w:r>
      <w:r>
        <w:rPr>
          <w:rFonts w:ascii="Times New Roman" w:hAnsi="Times New Roman" w:cs="Times New Roman"/>
          <w:color w:val="auto"/>
        </w:rPr>
        <w:t>）按本章第2.2.4规定的评审因素和分值对</w:t>
      </w:r>
      <w:r>
        <w:rPr>
          <w:rFonts w:hint="eastAsia" w:ascii="Times New Roman" w:hAnsi="Times New Roman" w:cs="Times New Roman"/>
          <w:color w:val="auto"/>
        </w:rPr>
        <w:t>评审价</w:t>
      </w:r>
      <w:r>
        <w:rPr>
          <w:rFonts w:ascii="Times New Roman" w:hAnsi="Times New Roman" w:cs="Times New Roman"/>
          <w:color w:val="auto"/>
        </w:rPr>
        <w:t>计算出得分</w:t>
      </w:r>
      <w:r>
        <w:rPr>
          <w:rFonts w:hint="eastAsia" w:ascii="Times New Roman" w:hAnsi="Times New Roman" w:cs="Times New Roman"/>
          <w:color w:val="auto"/>
        </w:rPr>
        <w:t>II</w:t>
      </w:r>
      <w:r>
        <w:rPr>
          <w:rFonts w:ascii="Times New Roman" w:hAnsi="Times New Roman" w:cs="Times New Roman"/>
          <w:color w:val="auto"/>
        </w:rPr>
        <w:t>。</w:t>
      </w:r>
    </w:p>
    <w:p>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3.2.2 评分分值计算保留小数点后两位，小数点后第三位“四舍五入”。</w:t>
      </w:r>
    </w:p>
    <w:p>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 xml:space="preserve">3.2.3 </w:t>
      </w:r>
      <w:r>
        <w:rPr>
          <w:rFonts w:hint="eastAsia" w:ascii="Times New Roman" w:hAnsi="Times New Roman" w:cs="Times New Roman"/>
          <w:color w:val="auto"/>
        </w:rPr>
        <w:t>评审小组成员对</w:t>
      </w:r>
      <w:r>
        <w:rPr>
          <w:rFonts w:ascii="Times New Roman" w:hAnsi="Times New Roman" w:cs="Times New Roman"/>
          <w:color w:val="auto"/>
        </w:rPr>
        <w:t>供应商</w:t>
      </w:r>
      <w:r>
        <w:rPr>
          <w:rFonts w:hint="eastAsia" w:ascii="Times New Roman" w:hAnsi="Times New Roman" w:cs="Times New Roman"/>
          <w:color w:val="auto"/>
        </w:rPr>
        <w:t>综合评分=I</w:t>
      </w:r>
      <w:r>
        <w:rPr>
          <w:rFonts w:ascii="Times New Roman" w:hAnsi="Times New Roman" w:cs="Times New Roman"/>
          <w:color w:val="auto"/>
        </w:rPr>
        <w:t>+</w:t>
      </w:r>
      <w:r>
        <w:rPr>
          <w:rFonts w:hint="eastAsia" w:ascii="Times New Roman" w:hAnsi="Times New Roman" w:cs="Times New Roman"/>
          <w:color w:val="auto"/>
        </w:rPr>
        <w:t>II，供应商最终得分为各评审小组成员评分的算数平均值</w:t>
      </w:r>
      <w:r>
        <w:rPr>
          <w:rFonts w:ascii="Times New Roman" w:hAnsi="Times New Roman" w:cs="Times New Roman"/>
          <w:color w:val="auto"/>
        </w:rPr>
        <w:t>。</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w:t>
      </w:r>
      <w:r>
        <w:rPr>
          <w:rFonts w:hint="eastAsia" w:ascii="Times New Roman" w:hAnsi="Times New Roman" w:eastAsia="黑体" w:cs="Times New Roman"/>
          <w:bCs/>
          <w:color w:val="auto"/>
          <w:sz w:val="24"/>
          <w:szCs w:val="32"/>
        </w:rPr>
        <w:t>否决响应文件</w:t>
      </w:r>
      <w:r>
        <w:rPr>
          <w:rFonts w:ascii="Times New Roman" w:hAnsi="Times New Roman" w:eastAsia="黑体" w:cs="Times New Roman"/>
          <w:bCs/>
          <w:color w:val="auto"/>
          <w:sz w:val="24"/>
          <w:szCs w:val="32"/>
        </w:rPr>
        <w:t>的其他情形</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应对在评审过程中发现供应商存在串通报价、弄虚作假、行贿等违法行为的，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3.4响应文件的澄清</w:t>
      </w:r>
    </w:p>
    <w:p>
      <w:pPr>
        <w:spacing w:line="440" w:lineRule="exact"/>
        <w:ind w:firstLine="420"/>
        <w:rPr>
          <w:rFonts w:ascii="Times New Roman" w:hAnsi="Times New Roman" w:cs="Times New Roman"/>
          <w:color w:val="auto"/>
        </w:rPr>
      </w:pPr>
      <w:r>
        <w:rPr>
          <w:rFonts w:ascii="Times New Roman" w:hAnsi="Times New Roman" w:cs="Times New Roman"/>
          <w:color w:val="auto"/>
        </w:rPr>
        <w:t>3.4.1 在评审过程中，</w:t>
      </w:r>
      <w:r>
        <w:rPr>
          <w:rFonts w:hint="eastAsia" w:ascii="Times New Roman" w:hAnsi="Times New Roman" w:cs="Times New Roman"/>
          <w:color w:val="auto"/>
        </w:rPr>
        <w:t>评审小组</w:t>
      </w:r>
      <w:r>
        <w:rPr>
          <w:rFonts w:ascii="Times New Roman" w:hAnsi="Times New Roman" w:cs="Times New Roman"/>
          <w:color w:val="auto"/>
        </w:rPr>
        <w:t>可以书面形式要求供应商对响应文件中含义不明确、对同类问题表述不一致或者有明显文字</w:t>
      </w:r>
      <w:r>
        <w:rPr>
          <w:rFonts w:hint="eastAsia" w:ascii="Times New Roman" w:hAnsi="Times New Roman" w:cs="Times New Roman"/>
          <w:color w:val="auto"/>
        </w:rPr>
        <w:t>错误</w:t>
      </w:r>
      <w:r>
        <w:rPr>
          <w:rFonts w:ascii="Times New Roman" w:hAnsi="Times New Roman" w:cs="Times New Roman"/>
          <w:color w:val="auto"/>
        </w:rPr>
        <w:t>的内容做必要的澄清。</w:t>
      </w:r>
      <w:r>
        <w:rPr>
          <w:rFonts w:hint="eastAsia" w:ascii="Times New Roman" w:hAnsi="Times New Roman" w:cs="Times New Roman"/>
          <w:color w:val="auto"/>
        </w:rPr>
        <w:t>评审小组</w:t>
      </w:r>
      <w:r>
        <w:rPr>
          <w:rFonts w:ascii="Times New Roman" w:hAnsi="Times New Roman" w:cs="Times New Roman"/>
          <w:color w:val="auto"/>
        </w:rPr>
        <w:t>不接受供应商主动提出的澄清。</w:t>
      </w:r>
    </w:p>
    <w:p>
      <w:pPr>
        <w:spacing w:line="440" w:lineRule="exact"/>
        <w:ind w:firstLine="420"/>
        <w:rPr>
          <w:rFonts w:ascii="Times New Roman" w:hAnsi="Times New Roman" w:cs="Times New Roman"/>
          <w:strike/>
          <w:color w:val="auto"/>
        </w:rPr>
      </w:pPr>
      <w:r>
        <w:rPr>
          <w:rFonts w:ascii="Times New Roman" w:hAnsi="Times New Roman" w:cs="Times New Roman"/>
          <w:color w:val="auto"/>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评审结果</w:t>
      </w:r>
    </w:p>
    <w:p>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完成评审后，应当向采购人提交评审报告。评审报告应当如实记载以下内容：</w:t>
      </w:r>
    </w:p>
    <w:p>
      <w:pPr>
        <w:spacing w:line="440" w:lineRule="exact"/>
        <w:ind w:firstLine="420"/>
        <w:rPr>
          <w:rFonts w:ascii="Times New Roman" w:hAnsi="Times New Roman" w:cs="Times New Roman"/>
          <w:color w:val="auto"/>
        </w:rPr>
      </w:pPr>
      <w:r>
        <w:rPr>
          <w:rFonts w:ascii="Times New Roman" w:hAnsi="Times New Roman" w:cs="Times New Roman"/>
          <w:color w:val="auto"/>
        </w:rPr>
        <w:t>（一）采购项目基本情况</w:t>
      </w:r>
    </w:p>
    <w:p>
      <w:pPr>
        <w:spacing w:line="440" w:lineRule="exact"/>
        <w:ind w:firstLine="420"/>
        <w:rPr>
          <w:rFonts w:ascii="Times New Roman" w:hAnsi="Times New Roman" w:cs="Times New Roman"/>
          <w:color w:val="auto"/>
        </w:rPr>
      </w:pPr>
      <w:r>
        <w:rPr>
          <w:rFonts w:ascii="Times New Roman" w:hAnsi="Times New Roman" w:cs="Times New Roman"/>
          <w:color w:val="auto"/>
        </w:rPr>
        <w:t>（二）采购过程回顾</w:t>
      </w:r>
    </w:p>
    <w:p>
      <w:pPr>
        <w:spacing w:line="440" w:lineRule="exact"/>
        <w:ind w:firstLine="420"/>
        <w:rPr>
          <w:rFonts w:ascii="Times New Roman" w:hAnsi="Times New Roman" w:cs="Times New Roman"/>
          <w:color w:val="auto"/>
        </w:rPr>
      </w:pPr>
      <w:r>
        <w:rPr>
          <w:rFonts w:ascii="Times New Roman" w:hAnsi="Times New Roman" w:cs="Times New Roman"/>
          <w:color w:val="auto"/>
        </w:rPr>
        <w:t>（三）评审小组成员名单</w:t>
      </w:r>
    </w:p>
    <w:p>
      <w:pPr>
        <w:spacing w:line="440" w:lineRule="exact"/>
        <w:ind w:firstLine="420"/>
        <w:rPr>
          <w:rFonts w:ascii="Times New Roman" w:hAnsi="Times New Roman" w:cs="Times New Roman"/>
          <w:color w:val="auto"/>
        </w:rPr>
      </w:pPr>
      <w:r>
        <w:rPr>
          <w:rFonts w:ascii="Times New Roman" w:hAnsi="Times New Roman" w:cs="Times New Roman"/>
          <w:color w:val="auto"/>
        </w:rPr>
        <w:t>（四）询比评审工作</w:t>
      </w:r>
    </w:p>
    <w:p>
      <w:pPr>
        <w:spacing w:line="440" w:lineRule="exact"/>
        <w:ind w:firstLine="420"/>
        <w:rPr>
          <w:rFonts w:ascii="Times New Roman" w:hAnsi="Times New Roman" w:cs="Times New Roman"/>
          <w:color w:val="auto"/>
        </w:rPr>
      </w:pPr>
      <w:r>
        <w:rPr>
          <w:rFonts w:ascii="Times New Roman" w:hAnsi="Times New Roman" w:cs="Times New Roman"/>
          <w:color w:val="auto"/>
        </w:rPr>
        <w:t>1、评审办法</w:t>
      </w:r>
    </w:p>
    <w:p>
      <w:pPr>
        <w:spacing w:line="440" w:lineRule="exact"/>
        <w:ind w:firstLine="420"/>
        <w:rPr>
          <w:rFonts w:ascii="Times New Roman" w:hAnsi="Times New Roman" w:cs="Times New Roman"/>
          <w:color w:val="auto"/>
        </w:rPr>
      </w:pPr>
      <w:r>
        <w:rPr>
          <w:rFonts w:ascii="Times New Roman" w:hAnsi="Times New Roman" w:cs="Times New Roman"/>
          <w:color w:val="auto"/>
        </w:rPr>
        <w:t>2、初步评审情况（资格审查、形式性审查、响应性审查）</w:t>
      </w:r>
    </w:p>
    <w:p>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详细评审情况（</w:t>
      </w:r>
      <w:r>
        <w:rPr>
          <w:rFonts w:ascii="Times New Roman" w:hAnsi="Times New Roman" w:cs="Times New Roman"/>
          <w:color w:val="auto"/>
        </w:rPr>
        <w:t>供应商的</w:t>
      </w:r>
      <w:r>
        <w:rPr>
          <w:rFonts w:hint="eastAsia" w:ascii="Times New Roman" w:hAnsi="Times New Roman" w:cs="Times New Roman"/>
          <w:color w:val="auto"/>
        </w:rPr>
        <w:t>综合</w:t>
      </w:r>
      <w:r>
        <w:rPr>
          <w:rFonts w:ascii="Times New Roman" w:hAnsi="Times New Roman" w:cs="Times New Roman"/>
          <w:color w:val="auto"/>
        </w:rPr>
        <w:t>评分情况</w:t>
      </w:r>
      <w:r>
        <w:rPr>
          <w:rFonts w:hint="eastAsia" w:ascii="Times New Roman" w:hAnsi="Times New Roman" w:cs="Times New Roman"/>
          <w:color w:val="auto"/>
        </w:rPr>
        <w:t>）</w:t>
      </w:r>
    </w:p>
    <w:p>
      <w:pPr>
        <w:spacing w:line="440" w:lineRule="exact"/>
        <w:ind w:firstLine="420"/>
        <w:rPr>
          <w:rFonts w:ascii="Times New Roman" w:hAnsi="Times New Roman" w:cs="Times New Roman"/>
          <w:color w:val="auto"/>
        </w:rPr>
      </w:pPr>
      <w:r>
        <w:rPr>
          <w:rFonts w:ascii="Times New Roman" w:hAnsi="Times New Roman" w:cs="Times New Roman"/>
          <w:color w:val="auto"/>
        </w:rPr>
        <w:t>4、否决的供应商名单以及否决理由</w:t>
      </w:r>
    </w:p>
    <w:p>
      <w:pPr>
        <w:spacing w:line="440" w:lineRule="exact"/>
        <w:ind w:firstLine="420"/>
        <w:rPr>
          <w:rFonts w:ascii="Times New Roman" w:hAnsi="Times New Roman" w:cs="Times New Roman"/>
          <w:color w:val="auto"/>
        </w:rPr>
      </w:pPr>
      <w:r>
        <w:rPr>
          <w:rFonts w:ascii="Times New Roman" w:hAnsi="Times New Roman" w:cs="Times New Roman"/>
          <w:color w:val="auto"/>
        </w:rPr>
        <w:t>5、推荐候选供应商排序</w:t>
      </w:r>
    </w:p>
    <w:p>
      <w:pPr>
        <w:spacing w:line="440" w:lineRule="exact"/>
        <w:ind w:firstLine="420"/>
        <w:rPr>
          <w:rFonts w:ascii="Times New Roman" w:hAnsi="Times New Roman" w:cs="Times New Roman"/>
          <w:color w:val="auto"/>
        </w:rPr>
      </w:pPr>
      <w:r>
        <w:rPr>
          <w:rFonts w:ascii="Times New Roman" w:hAnsi="Times New Roman" w:cs="Times New Roman"/>
          <w:color w:val="auto"/>
        </w:rPr>
        <w:t>（五）需要说明的其他事项</w:t>
      </w:r>
    </w:p>
    <w:p>
      <w:pPr>
        <w:spacing w:line="440" w:lineRule="exact"/>
        <w:ind w:firstLine="420"/>
        <w:rPr>
          <w:rFonts w:ascii="Times New Roman" w:hAnsi="Times New Roman" w:cs="Times New Roman"/>
          <w:color w:val="auto"/>
        </w:rPr>
      </w:pPr>
      <w:r>
        <w:rPr>
          <w:rFonts w:ascii="Times New Roman" w:hAnsi="Times New Roman" w:cs="Times New Roman"/>
          <w:color w:val="auto"/>
        </w:rPr>
        <w:t>（六）评审附表</w:t>
      </w:r>
    </w:p>
    <w:p>
      <w:pPr>
        <w:spacing w:line="440" w:lineRule="exact"/>
        <w:ind w:firstLine="420"/>
        <w:rPr>
          <w:rFonts w:ascii="Times New Roman" w:hAnsi="Times New Roman" w:cs="Times New Roman"/>
          <w:color w:val="auto"/>
        </w:rPr>
      </w:pPr>
      <w:r>
        <w:rPr>
          <w:rFonts w:ascii="Times New Roman" w:hAnsi="Times New Roman" w:cs="Times New Roman"/>
          <w:color w:val="auto"/>
        </w:rPr>
        <w:t>1、响应文件开启记录表</w:t>
      </w:r>
    </w:p>
    <w:p>
      <w:pPr>
        <w:spacing w:line="440" w:lineRule="exact"/>
        <w:ind w:firstLine="420"/>
        <w:rPr>
          <w:rFonts w:ascii="Times New Roman" w:hAnsi="Times New Roman" w:cs="Times New Roman"/>
          <w:color w:val="auto"/>
        </w:rPr>
      </w:pPr>
      <w:r>
        <w:rPr>
          <w:rFonts w:ascii="Times New Roman" w:hAnsi="Times New Roman" w:cs="Times New Roman"/>
          <w:color w:val="auto"/>
        </w:rPr>
        <w:t>2、评审表格</w:t>
      </w:r>
    </w:p>
    <w:p>
      <w:pPr>
        <w:pStyle w:val="2"/>
        <w:rPr>
          <w:color w:val="auto"/>
        </w:rPr>
        <w:sectPr>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133"/>
    </w:p>
    <w:p>
      <w:pPr>
        <w:keepNext/>
        <w:keepLines/>
        <w:numPr>
          <w:ilvl w:val="0"/>
          <w:numId w:val="0"/>
        </w:numPr>
        <w:spacing w:before="120" w:beforeLines="50" w:after="120" w:afterLines="50"/>
        <w:outlineLvl w:val="1"/>
        <w:rPr>
          <w:rFonts w:hint="default" w:ascii="Times New Roman" w:hAnsi="Times New Roman" w:eastAsia="黑体" w:cs="Times New Roman"/>
          <w:bCs/>
          <w:color w:val="auto"/>
          <w:sz w:val="24"/>
          <w:szCs w:val="32"/>
          <w:highlight w:val="none"/>
        </w:rPr>
      </w:pPr>
      <w:r>
        <w:rPr>
          <w:rFonts w:hint="default" w:ascii="Times New Roman" w:hAnsi="Times New Roman" w:cs="Times New Roman"/>
          <w:color w:val="auto"/>
          <w:sz w:val="28"/>
          <w:highlight w:val="none"/>
        </w:rPr>
        <w:br w:type="page"/>
      </w:r>
    </w:p>
    <w:p>
      <w:pPr>
        <w:pStyle w:val="10"/>
        <w:widowControl w:val="0"/>
        <w:spacing w:beforeAutospacing="0" w:afterAutospacing="0" w:line="560" w:lineRule="exact"/>
        <w:jc w:val="both"/>
        <w:rPr>
          <w:rFonts w:ascii="方正小标宋简体" w:hAnsi="微软雅黑" w:eastAsia="方正小标宋简体" w:cs="微软雅黑"/>
          <w:b/>
          <w:sz w:val="44"/>
          <w:szCs w:val="44"/>
        </w:rPr>
      </w:pPr>
    </w:p>
    <w:p>
      <w:pPr>
        <w:widowControl w:val="0"/>
        <w:spacing w:line="560" w:lineRule="exact"/>
        <w:ind w:firstLine="602" w:firstLineChars="200"/>
        <w:jc w:val="center"/>
        <w:rPr>
          <w:rFonts w:hint="eastAsia" w:ascii="宋体" w:hAnsi="宋体" w:eastAsia="宋体" w:cs="微软雅黑"/>
          <w:b/>
          <w:bCs/>
          <w:sz w:val="30"/>
          <w:szCs w:val="30"/>
        </w:rPr>
      </w:pPr>
      <w:r>
        <w:rPr>
          <w:rFonts w:hint="eastAsia" w:ascii="宋体" w:hAnsi="宋体" w:eastAsia="宋体" w:cs="微软雅黑"/>
          <w:b/>
          <w:bCs/>
          <w:sz w:val="30"/>
          <w:szCs w:val="30"/>
        </w:rPr>
        <w:t>安徽省</w:t>
      </w:r>
      <w:r>
        <w:rPr>
          <w:rFonts w:hint="eastAsia" w:ascii="宋体" w:hAnsi="宋体" w:eastAsia="宋体" w:cs="微软雅黑"/>
          <w:b/>
          <w:bCs/>
          <w:sz w:val="30"/>
          <w:szCs w:val="30"/>
          <w:lang w:val="en-US" w:eastAsia="zh-CN"/>
        </w:rPr>
        <w:t>高速公路试验检测科研中心</w:t>
      </w:r>
      <w:r>
        <w:rPr>
          <w:rFonts w:hint="eastAsia" w:ascii="宋体" w:hAnsi="宋体" w:eastAsia="宋体" w:cs="微软雅黑"/>
          <w:b/>
          <w:bCs/>
          <w:sz w:val="30"/>
          <w:szCs w:val="30"/>
        </w:rPr>
        <w:t>有限公司</w:t>
      </w:r>
    </w:p>
    <w:p>
      <w:pPr>
        <w:widowControl w:val="0"/>
        <w:spacing w:line="560" w:lineRule="exact"/>
        <w:ind w:firstLine="602" w:firstLineChars="200"/>
        <w:jc w:val="center"/>
        <w:rPr>
          <w:rFonts w:hint="default" w:ascii="宋体" w:hAnsi="宋体" w:eastAsia="宋体" w:cs="微软雅黑"/>
          <w:b/>
          <w:bCs/>
          <w:sz w:val="30"/>
          <w:szCs w:val="30"/>
          <w:lang w:val="en-US" w:eastAsia="zh-CN"/>
        </w:rPr>
      </w:pPr>
      <w:r>
        <w:rPr>
          <w:rFonts w:hint="eastAsia" w:ascii="宋体" w:hAnsi="宋体" w:eastAsia="宋体" w:cs="微软雅黑"/>
          <w:b/>
          <w:bCs/>
          <w:sz w:val="30"/>
          <w:szCs w:val="30"/>
          <w:lang w:val="en-US" w:eastAsia="zh-CN"/>
        </w:rPr>
        <w:t>2022-2024年定点图文印制服务项目合同</w:t>
      </w:r>
    </w:p>
    <w:p>
      <w:pPr>
        <w:widowControl w:val="0"/>
        <w:spacing w:line="560" w:lineRule="exact"/>
        <w:ind w:firstLine="420" w:firstLineChars="200"/>
        <w:rPr>
          <w:rFonts w:hint="default" w:ascii="宋体" w:hAnsi="宋体" w:eastAsia="宋体" w:cs="微软雅黑"/>
          <w:u w:val="single"/>
          <w:lang w:val="en-US" w:eastAsia="zh-CN"/>
        </w:rPr>
      </w:pPr>
      <w:r>
        <w:rPr>
          <w:rFonts w:hint="eastAsia" w:ascii="宋体" w:hAnsi="宋体" w:eastAsia="宋体" w:cs="微软雅黑"/>
        </w:rPr>
        <w:t>甲方：</w:t>
      </w:r>
      <w:r>
        <w:rPr>
          <w:rFonts w:hint="eastAsia" w:ascii="宋体" w:hAnsi="宋体" w:eastAsia="宋体" w:cs="微软雅黑"/>
          <w:u w:val="single"/>
          <w:lang w:val="en-US" w:eastAsia="zh-CN"/>
        </w:rPr>
        <w:t>安徽省高速公路试验检测科研中心有限公司</w:t>
      </w:r>
    </w:p>
    <w:p>
      <w:pPr>
        <w:widowControl w:val="0"/>
        <w:spacing w:line="560" w:lineRule="exact"/>
        <w:ind w:firstLine="420" w:firstLineChars="200"/>
        <w:rPr>
          <w:rFonts w:hint="eastAsia" w:ascii="宋体" w:hAnsi="宋体" w:eastAsia="宋体"/>
          <w:u w:val="single"/>
          <w:lang w:val="en-US" w:eastAsia="zh-CN"/>
        </w:rPr>
      </w:pPr>
      <w:r>
        <w:rPr>
          <w:rFonts w:hint="eastAsia" w:ascii="宋体" w:hAnsi="宋体" w:eastAsia="宋体"/>
        </w:rPr>
        <w:t>地址：</w:t>
      </w:r>
      <w:r>
        <w:rPr>
          <w:rFonts w:hint="eastAsia" w:ascii="宋体" w:hAnsi="宋体" w:eastAsia="宋体"/>
          <w:u w:val="single"/>
          <w:lang w:val="en-US" w:eastAsia="zh-CN"/>
        </w:rPr>
        <w:t>合肥市金寨南路18号</w:t>
      </w:r>
    </w:p>
    <w:p>
      <w:pPr>
        <w:widowControl w:val="0"/>
        <w:spacing w:line="560" w:lineRule="exact"/>
        <w:ind w:firstLine="420" w:firstLineChars="200"/>
        <w:rPr>
          <w:rFonts w:hint="eastAsia" w:ascii="宋体" w:hAnsi="宋体" w:eastAsia="宋体"/>
          <w:u w:val="single"/>
          <w:lang w:val="en-US" w:eastAsia="zh-CN"/>
        </w:rPr>
      </w:pPr>
      <w:r>
        <w:rPr>
          <w:rFonts w:hint="eastAsia" w:ascii="宋体" w:hAnsi="宋体" w:eastAsia="宋体"/>
        </w:rPr>
        <w:t>电话：</w:t>
      </w:r>
      <w:r>
        <w:rPr>
          <w:rFonts w:hint="eastAsia" w:ascii="宋体" w:hAnsi="宋体" w:eastAsia="宋体"/>
          <w:u w:val="single"/>
        </w:rPr>
        <w:t>0551-6</w:t>
      </w:r>
      <w:r>
        <w:rPr>
          <w:rFonts w:hint="eastAsia" w:ascii="宋体" w:hAnsi="宋体" w:eastAsia="宋体"/>
          <w:u w:val="single"/>
          <w:lang w:val="en-US" w:eastAsia="zh-CN"/>
        </w:rPr>
        <w:t>3812900</w:t>
      </w:r>
    </w:p>
    <w:p>
      <w:pPr>
        <w:pStyle w:val="10"/>
        <w:widowControl w:val="0"/>
        <w:spacing w:beforeAutospacing="0" w:afterAutospacing="0" w:line="560" w:lineRule="exact"/>
        <w:ind w:firstLine="420" w:firstLineChars="200"/>
        <w:rPr>
          <w:rFonts w:hint="default" w:ascii="宋体" w:hAnsi="宋体" w:cs="宋体" w:eastAsiaTheme="minorEastAsia"/>
          <w:szCs w:val="21"/>
          <w:u w:val="single"/>
          <w:lang w:val="en-US" w:eastAsia="zh-CN"/>
        </w:rPr>
      </w:pPr>
      <w:r>
        <w:rPr>
          <w:rFonts w:hint="eastAsia" w:ascii="宋体" w:hAnsi="宋体" w:eastAsia="宋体" w:cs="微软雅黑"/>
        </w:rPr>
        <w:t>乙方：</w:t>
      </w:r>
      <w:r>
        <w:rPr>
          <w:rFonts w:hint="eastAsia" w:ascii="宋体" w:hAnsi="宋体" w:cs="宋体"/>
          <w:szCs w:val="21"/>
          <w:u w:val="single"/>
          <w:lang w:val="en-US" w:eastAsia="zh-CN"/>
        </w:rPr>
        <w:t xml:space="preserve">                             </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rPr>
        <w:t>电话：</w:t>
      </w:r>
      <w:r>
        <w:rPr>
          <w:rFonts w:hint="eastAsia" w:ascii="宋体" w:hAnsi="宋体" w:cs="宋体"/>
          <w:szCs w:val="21"/>
          <w:u w:val="single"/>
          <w:lang w:val="en-US" w:eastAsia="zh-CN"/>
        </w:rPr>
        <w:t xml:space="preserve">                             </w:t>
      </w:r>
    </w:p>
    <w:p>
      <w:pPr>
        <w:widowControl w:val="0"/>
        <w:spacing w:line="560" w:lineRule="exact"/>
        <w:ind w:firstLine="420" w:firstLineChars="200"/>
        <w:rPr>
          <w:rFonts w:ascii="宋体" w:hAnsi="宋体" w:eastAsia="宋体"/>
        </w:rPr>
      </w:pPr>
      <w:r>
        <w:rPr>
          <w:rFonts w:hint="eastAsia" w:ascii="宋体" w:hAnsi="宋体" w:eastAsia="宋体"/>
        </w:rPr>
        <w:t>地址：</w:t>
      </w:r>
      <w:r>
        <w:rPr>
          <w:rFonts w:hint="eastAsia" w:ascii="宋体" w:hAnsi="宋体" w:cs="宋体"/>
          <w:szCs w:val="21"/>
          <w:u w:val="single"/>
          <w:lang w:val="en-US" w:eastAsia="zh-CN"/>
        </w:rPr>
        <w:t xml:space="preserve">                             </w:t>
      </w:r>
    </w:p>
    <w:p>
      <w:pPr>
        <w:widowControl w:val="0"/>
        <w:spacing w:line="560" w:lineRule="exact"/>
        <w:ind w:firstLine="420" w:firstLineChars="200"/>
        <w:rPr>
          <w:rFonts w:ascii="宋体" w:hAnsi="宋体" w:eastAsia="宋体"/>
        </w:rPr>
      </w:pPr>
      <w:r>
        <w:rPr>
          <w:rFonts w:hint="eastAsia" w:ascii="宋体" w:hAnsi="宋体" w:eastAsia="宋体" w:cs="微软雅黑"/>
        </w:rPr>
        <w:t>依据</w:t>
      </w:r>
      <w:r>
        <w:rPr>
          <w:rFonts w:ascii="宋体" w:hAnsi="宋体" w:eastAsia="宋体" w:cs="微软雅黑"/>
        </w:rPr>
        <w:t>《</w:t>
      </w:r>
      <w:r>
        <w:rPr>
          <w:rFonts w:hint="eastAsia" w:ascii="宋体" w:hAnsi="宋体" w:eastAsia="宋体" w:cs="微软雅黑"/>
        </w:rPr>
        <w:t>中华人民共和国民法典</w:t>
      </w:r>
      <w:r>
        <w:rPr>
          <w:rFonts w:ascii="宋体" w:hAnsi="宋体" w:eastAsia="宋体" w:cs="微软雅黑"/>
        </w:rPr>
        <w:t>》</w:t>
      </w:r>
      <w:r>
        <w:rPr>
          <w:rFonts w:hint="eastAsia" w:ascii="宋体" w:hAnsi="宋体" w:eastAsia="宋体" w:cs="微软雅黑"/>
        </w:rPr>
        <w:t>和有关法律法规的规定，</w:t>
      </w:r>
      <w:r>
        <w:rPr>
          <w:rFonts w:hint="eastAsia" w:ascii="宋体" w:hAnsi="宋体" w:eastAsia="宋体"/>
        </w:rPr>
        <w:t>为明确甲乙双方的权利和义务，经双方协商一致，签订以下合同条款。</w:t>
      </w:r>
    </w:p>
    <w:p>
      <w:pPr>
        <w:pStyle w:val="10"/>
        <w:widowControl w:val="0"/>
        <w:spacing w:beforeAutospacing="0" w:afterAutospacing="0" w:line="560" w:lineRule="exact"/>
        <w:rPr>
          <w:rFonts w:ascii="宋体" w:hAnsi="宋体" w:eastAsia="宋体" w:cs="微软雅黑"/>
        </w:rPr>
      </w:pPr>
      <w:r>
        <w:rPr>
          <w:rStyle w:val="15"/>
          <w:rFonts w:hint="eastAsia" w:ascii="宋体" w:hAnsi="宋体" w:eastAsia="宋体" w:cs="微软雅黑"/>
        </w:rPr>
        <w:t>一、合作事项</w:t>
      </w:r>
    </w:p>
    <w:p>
      <w:pPr>
        <w:pStyle w:val="10"/>
        <w:widowControl w:val="0"/>
        <w:spacing w:beforeAutospacing="0" w:afterAutospacing="0" w:line="560" w:lineRule="exact"/>
        <w:ind w:firstLine="420" w:firstLineChars="200"/>
        <w:rPr>
          <w:rFonts w:hint="default" w:ascii="宋体" w:hAnsi="宋体" w:eastAsia="宋体" w:cs="微软雅黑"/>
          <w:lang w:val="en-US" w:eastAsia="zh-CN"/>
        </w:rPr>
      </w:pPr>
      <w:r>
        <w:rPr>
          <w:rFonts w:hint="eastAsia" w:ascii="宋体" w:hAnsi="宋体" w:eastAsia="宋体" w:cs="微软雅黑"/>
        </w:rPr>
        <w:t>甲方委托乙方提供图文印</w:t>
      </w:r>
      <w:r>
        <w:rPr>
          <w:rFonts w:hint="eastAsia" w:ascii="宋体" w:hAnsi="宋体" w:eastAsia="宋体" w:cs="微软雅黑"/>
          <w:lang w:val="en-US" w:eastAsia="zh-CN"/>
        </w:rPr>
        <w:t>制</w:t>
      </w:r>
      <w:r>
        <w:rPr>
          <w:rFonts w:hint="eastAsia" w:ascii="宋体" w:hAnsi="宋体" w:eastAsia="宋体" w:cs="微软雅黑"/>
        </w:rPr>
        <w:t>服务，包括</w:t>
      </w:r>
      <w:r>
        <w:rPr>
          <w:rFonts w:hint="eastAsia" w:ascii="宋体" w:hAnsi="宋体" w:eastAsia="宋体" w:cs="微软雅黑"/>
          <w:lang w:val="en-US" w:eastAsia="zh-CN"/>
        </w:rPr>
        <w:t>各类</w:t>
      </w:r>
      <w:r>
        <w:rPr>
          <w:rFonts w:hint="eastAsia"/>
          <w:u w:val="none"/>
          <w:lang w:val="en-US" w:eastAsia="zh-CN"/>
        </w:rPr>
        <w:t>图文印制、装订、扫描等</w:t>
      </w:r>
      <w:r>
        <w:rPr>
          <w:rFonts w:hint="eastAsia" w:ascii="宋体" w:hAnsi="宋体" w:eastAsia="宋体" w:cs="微软雅黑"/>
        </w:rPr>
        <w:t>。</w:t>
      </w:r>
      <w:r>
        <w:rPr>
          <w:rFonts w:hint="eastAsia" w:ascii="宋体" w:hAnsi="宋体" w:eastAsia="宋体" w:cs="微软雅黑"/>
          <w:lang w:val="en-US" w:eastAsia="zh-CN"/>
        </w:rPr>
        <w:t>乙方在本合同签订后当日向甲方转账交付本项目履约保证金人民币贰万元。</w:t>
      </w:r>
    </w:p>
    <w:p>
      <w:pPr>
        <w:widowControl w:val="0"/>
        <w:spacing w:line="560" w:lineRule="exact"/>
        <w:rPr>
          <w:rFonts w:ascii="宋体" w:hAnsi="宋体" w:eastAsia="宋体"/>
          <w:b/>
        </w:rPr>
      </w:pPr>
      <w:r>
        <w:rPr>
          <w:rFonts w:hint="eastAsia" w:ascii="宋体" w:hAnsi="宋体" w:eastAsia="宋体"/>
          <w:b/>
        </w:rPr>
        <w:t>二、合作期限</w:t>
      </w:r>
    </w:p>
    <w:p>
      <w:pPr>
        <w:widowControl w:val="0"/>
        <w:spacing w:line="560" w:lineRule="exact"/>
        <w:ind w:firstLine="420" w:firstLineChars="200"/>
        <w:rPr>
          <w:rFonts w:ascii="宋体" w:hAnsi="宋体" w:eastAsia="宋体"/>
          <w:u w:val="single"/>
        </w:rPr>
      </w:pPr>
      <w:r>
        <w:rPr>
          <w:rFonts w:hint="eastAsia" w:ascii="宋体" w:hAnsi="宋体" w:eastAsia="宋体"/>
        </w:rPr>
        <w:t>本合同执行期限为二年，自</w:t>
      </w:r>
      <w:r>
        <w:rPr>
          <w:rFonts w:hint="eastAsia" w:ascii="宋体" w:hAnsi="宋体" w:eastAsia="宋体"/>
          <w:u w:val="single"/>
          <w:lang w:val="en-US" w:eastAsia="zh-CN"/>
        </w:rPr>
        <w:t xml:space="preserve">   </w:t>
      </w:r>
      <w:r>
        <w:rPr>
          <w:rFonts w:hint="eastAsia" w:ascii="宋体" w:hAnsi="宋体" w:eastAsia="宋体"/>
        </w:rPr>
        <w:t>年</w:t>
      </w:r>
      <w:r>
        <w:rPr>
          <w:rFonts w:hint="eastAsia" w:ascii="宋体" w:hAnsi="宋体" w:eastAsia="宋体"/>
          <w:u w:val="single"/>
          <w:lang w:val="en-US" w:eastAsia="zh-CN"/>
        </w:rPr>
        <w:t xml:space="preserve">  </w:t>
      </w:r>
      <w:r>
        <w:rPr>
          <w:rFonts w:hint="eastAsia" w:ascii="宋体" w:hAnsi="宋体" w:eastAsia="宋体"/>
        </w:rPr>
        <w:t>月</w:t>
      </w:r>
      <w:r>
        <w:rPr>
          <w:rFonts w:hint="eastAsia" w:ascii="宋体" w:hAnsi="宋体" w:eastAsia="宋体"/>
          <w:u w:val="single"/>
          <w:lang w:val="en-US" w:eastAsia="zh-CN"/>
        </w:rPr>
        <w:t xml:space="preserve">   </w:t>
      </w:r>
      <w:r>
        <w:rPr>
          <w:rFonts w:hint="eastAsia" w:ascii="宋体" w:hAnsi="宋体" w:eastAsia="宋体"/>
        </w:rPr>
        <w:t>日起至</w:t>
      </w:r>
      <w:r>
        <w:rPr>
          <w:rFonts w:hint="eastAsia" w:ascii="宋体" w:hAnsi="宋体" w:eastAsia="宋体"/>
          <w:u w:val="single"/>
          <w:lang w:val="en-US" w:eastAsia="zh-CN"/>
        </w:rPr>
        <w:t xml:space="preserve">    </w:t>
      </w:r>
      <w:r>
        <w:rPr>
          <w:rFonts w:hint="eastAsia" w:ascii="宋体" w:hAnsi="宋体" w:eastAsia="宋体"/>
        </w:rPr>
        <w:t>年</w:t>
      </w:r>
      <w:r>
        <w:rPr>
          <w:rFonts w:hint="eastAsia" w:ascii="宋体" w:hAnsi="宋体" w:eastAsia="宋体"/>
          <w:u w:val="single"/>
          <w:lang w:val="en-US" w:eastAsia="zh-CN"/>
        </w:rPr>
        <w:t xml:space="preserve">  </w:t>
      </w:r>
      <w:r>
        <w:rPr>
          <w:rFonts w:hint="eastAsia" w:ascii="宋体" w:hAnsi="宋体" w:eastAsia="宋体"/>
        </w:rPr>
        <w:t>月</w:t>
      </w:r>
      <w:r>
        <w:rPr>
          <w:rFonts w:hint="eastAsia" w:ascii="宋体" w:hAnsi="宋体" w:eastAsia="宋体"/>
          <w:u w:val="single"/>
          <w:lang w:val="en-US" w:eastAsia="zh-CN"/>
        </w:rPr>
        <w:t xml:space="preserve">  </w:t>
      </w:r>
      <w:r>
        <w:rPr>
          <w:rFonts w:hint="eastAsia" w:ascii="宋体" w:hAnsi="宋体" w:eastAsia="宋体"/>
        </w:rPr>
        <w:t>日止。</w:t>
      </w:r>
    </w:p>
    <w:p>
      <w:pPr>
        <w:pStyle w:val="10"/>
        <w:widowControl w:val="0"/>
        <w:spacing w:beforeAutospacing="0" w:afterAutospacing="0" w:line="560" w:lineRule="exact"/>
        <w:rPr>
          <w:rFonts w:ascii="宋体" w:hAnsi="宋体" w:eastAsia="宋体" w:cs="微软雅黑"/>
        </w:rPr>
      </w:pPr>
      <w:r>
        <w:rPr>
          <w:rStyle w:val="15"/>
          <w:rFonts w:hint="eastAsia" w:ascii="宋体" w:hAnsi="宋体" w:eastAsia="宋体" w:cs="微软雅黑"/>
        </w:rPr>
        <w:t>三、双方责任</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1、甲方负责设计方案、提供纸质或电子资料，乙方</w:t>
      </w:r>
      <w:r>
        <w:rPr>
          <w:rFonts w:hint="eastAsia" w:ascii="宋体" w:hAnsi="宋体" w:eastAsia="宋体" w:cs="微软雅黑"/>
          <w:lang w:val="en-US" w:eastAsia="zh-CN"/>
        </w:rPr>
        <w:t>根据甲方要求</w:t>
      </w:r>
      <w:r>
        <w:rPr>
          <w:rFonts w:hint="eastAsia" w:ascii="宋体" w:hAnsi="宋体" w:eastAsia="宋体" w:cs="微软雅黑"/>
        </w:rPr>
        <w:t>负责按时按质按量</w:t>
      </w:r>
      <w:r>
        <w:rPr>
          <w:rFonts w:hint="eastAsia" w:ascii="宋体" w:hAnsi="宋体" w:eastAsia="宋体" w:cs="微软雅黑"/>
          <w:lang w:val="en-US" w:eastAsia="zh-CN"/>
        </w:rPr>
        <w:t>完成并交付</w:t>
      </w:r>
      <w:r>
        <w:rPr>
          <w:rFonts w:hint="eastAsia" w:ascii="宋体" w:hAnsi="宋体" w:eastAsia="宋体" w:cs="微软雅黑"/>
        </w:rPr>
        <w:t>。</w:t>
      </w:r>
    </w:p>
    <w:p>
      <w:pPr>
        <w:pStyle w:val="10"/>
        <w:widowControl w:val="0"/>
        <w:spacing w:beforeAutospacing="0" w:afterAutospacing="0" w:line="560" w:lineRule="exact"/>
        <w:ind w:firstLine="420" w:firstLineChars="200"/>
        <w:rPr>
          <w:rFonts w:hint="default" w:ascii="宋体" w:hAnsi="宋体" w:eastAsia="宋体" w:cs="微软雅黑"/>
          <w:color w:val="auto"/>
          <w:u w:val="single"/>
          <w:lang w:val="en-US" w:eastAsia="zh-CN"/>
        </w:rPr>
      </w:pPr>
      <w:r>
        <w:rPr>
          <w:rFonts w:hint="eastAsia" w:ascii="宋体" w:hAnsi="宋体" w:eastAsia="宋体" w:cs="微软雅黑"/>
        </w:rPr>
        <w:t>2、甲方向乙方提供加工资料时，</w:t>
      </w:r>
      <w:r>
        <w:rPr>
          <w:rFonts w:hint="eastAsia" w:ascii="宋体" w:hAnsi="宋体" w:eastAsia="宋体" w:cs="微软雅黑"/>
          <w:lang w:val="en-US" w:eastAsia="zh-CN"/>
        </w:rPr>
        <w:t>乙方应在2小时内交付</w:t>
      </w:r>
      <w:r>
        <w:rPr>
          <w:rFonts w:hint="eastAsia" w:ascii="宋体" w:hAnsi="宋体" w:eastAsia="宋体" w:cs="微软雅黑"/>
        </w:rPr>
        <w:t>成品</w:t>
      </w:r>
      <w:r>
        <w:rPr>
          <w:rFonts w:hint="eastAsia" w:ascii="宋体" w:hAnsi="宋体" w:eastAsia="宋体" w:cs="微软雅黑"/>
          <w:lang w:eastAsia="zh-CN"/>
        </w:rPr>
        <w:t>（</w:t>
      </w:r>
      <w:r>
        <w:rPr>
          <w:rFonts w:hint="eastAsia" w:ascii="宋体" w:hAnsi="宋体" w:eastAsia="宋体" w:cs="微软雅黑"/>
          <w:lang w:val="en-US" w:eastAsia="zh-CN"/>
        </w:rPr>
        <w:t>特殊约定除外</w:t>
      </w:r>
      <w:r>
        <w:rPr>
          <w:rFonts w:hint="eastAsia" w:ascii="宋体" w:hAnsi="宋体" w:eastAsia="宋体" w:cs="微软雅黑"/>
          <w:lang w:eastAsia="zh-CN"/>
        </w:rPr>
        <w:t>）</w:t>
      </w:r>
      <w:r>
        <w:rPr>
          <w:rFonts w:hint="eastAsia" w:ascii="宋体" w:hAnsi="宋体" w:eastAsia="宋体" w:cs="微软雅黑"/>
        </w:rPr>
        <w:t>，若因乙方原因致使甲方承接的印制事宜不能按时间完成</w:t>
      </w:r>
      <w:r>
        <w:rPr>
          <w:rFonts w:hint="eastAsia" w:ascii="宋体" w:hAnsi="宋体" w:eastAsia="宋体" w:cs="微软雅黑"/>
          <w:lang w:val="en-US" w:eastAsia="zh-CN"/>
        </w:rPr>
        <w:t>并交付</w:t>
      </w:r>
      <w:r>
        <w:rPr>
          <w:rFonts w:hint="eastAsia" w:ascii="宋体" w:hAnsi="宋体" w:eastAsia="宋体" w:cs="微软雅黑"/>
        </w:rPr>
        <w:t>，由此给甲方造成的所有损失则由乙方承担，</w:t>
      </w:r>
      <w:r>
        <w:rPr>
          <w:rFonts w:hint="eastAsia" w:ascii="宋体" w:hAnsi="宋体" w:eastAsia="宋体" w:cs="微软雅黑"/>
          <w:color w:val="auto"/>
        </w:rPr>
        <w:t>且甲方有权要求乙方另行支付本合同项下</w:t>
      </w:r>
      <w:r>
        <w:rPr>
          <w:rFonts w:hint="eastAsia" w:ascii="宋体" w:hAnsi="宋体" w:eastAsia="宋体" w:cs="微软雅黑"/>
          <w:color w:val="auto"/>
          <w:lang w:val="en-US" w:eastAsia="zh-CN"/>
        </w:rPr>
        <w:t>当季度结算</w:t>
      </w:r>
      <w:r>
        <w:rPr>
          <w:rFonts w:hint="eastAsia" w:ascii="宋体" w:hAnsi="宋体" w:eastAsia="宋体" w:cs="微软雅黑"/>
          <w:color w:val="auto"/>
        </w:rPr>
        <w:t>费用的30%作为违约金。</w:t>
      </w:r>
      <w:r>
        <w:rPr>
          <w:rFonts w:hint="eastAsia" w:ascii="宋体" w:hAnsi="宋体" w:eastAsia="宋体" w:cs="微软雅黑"/>
          <w:color w:val="auto"/>
          <w:lang w:val="en-US" w:eastAsia="zh-CN"/>
        </w:rPr>
        <w:t>由于乙方原因不能按时完成并交付达到2次的，甲方有权解除合同。</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3、乙方接到甲方的加工材料后，按照甲方要求进行制作，如未按照甲方要求制作造成成品或者半成品错误，乙方将自行承担所有加工费用；甲方应保证原始材料的准确性，如因原始材料不准确造成成品或者半成品资料错误，甲方承担所有加工费用。</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4、乙方</w:t>
      </w:r>
      <w:r>
        <w:rPr>
          <w:rFonts w:hint="eastAsia" w:ascii="宋体" w:hAnsi="宋体" w:eastAsia="宋体" w:cs="微软雅黑"/>
          <w:lang w:val="en-US" w:eastAsia="zh-CN"/>
        </w:rPr>
        <w:t>必须</w:t>
      </w:r>
      <w:r>
        <w:rPr>
          <w:rFonts w:hint="eastAsia" w:ascii="宋体" w:hAnsi="宋体" w:eastAsia="宋体" w:cs="微软雅黑"/>
        </w:rPr>
        <w:t>向甲方提供24小时服务工作，保证甲方的资料按时按质按量完成；若服务时间在非正常工作时间（22:00-08:00）或法定节假日内，甲方应预先通知乙方，以便乙方提前安排工作人员。</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5、乙方接受甲方的检查、监督，严格履行服务承诺，做到诚实、守信。加强内部管理，提高印</w:t>
      </w:r>
      <w:r>
        <w:rPr>
          <w:rFonts w:hint="eastAsia" w:ascii="宋体" w:hAnsi="宋体" w:eastAsia="宋体" w:cs="微软雅黑"/>
          <w:lang w:val="en-US" w:eastAsia="zh-CN"/>
        </w:rPr>
        <w:t>制</w:t>
      </w:r>
      <w:r>
        <w:rPr>
          <w:rFonts w:hint="eastAsia" w:ascii="宋体" w:hAnsi="宋体" w:eastAsia="宋体" w:cs="微软雅黑"/>
        </w:rPr>
        <w:t>质量，按照</w:t>
      </w:r>
      <w:r>
        <w:rPr>
          <w:rFonts w:hint="eastAsia" w:ascii="宋体" w:hAnsi="宋体" w:eastAsia="宋体" w:cs="微软雅黑"/>
          <w:lang w:val="en-US" w:eastAsia="zh-CN"/>
        </w:rPr>
        <w:t>本</w:t>
      </w:r>
      <w:r>
        <w:rPr>
          <w:rFonts w:hint="eastAsia" w:ascii="宋体" w:hAnsi="宋体" w:eastAsia="宋体" w:cs="微软雅黑"/>
        </w:rPr>
        <w:t>合同的有关规定开展</w:t>
      </w:r>
      <w:r>
        <w:rPr>
          <w:rFonts w:hint="eastAsia" w:ascii="宋体" w:hAnsi="宋体" w:eastAsia="宋体" w:cs="微软雅黑"/>
          <w:lang w:val="en-US" w:eastAsia="zh-CN"/>
        </w:rPr>
        <w:t>印制</w:t>
      </w:r>
      <w:r>
        <w:rPr>
          <w:rFonts w:hint="eastAsia" w:ascii="宋体" w:hAnsi="宋体" w:eastAsia="宋体" w:cs="微软雅黑"/>
        </w:rPr>
        <w:t>业务，保证不发生质量问题。</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6、对于甲方交付印</w:t>
      </w:r>
      <w:r>
        <w:rPr>
          <w:rFonts w:hint="eastAsia" w:ascii="宋体" w:hAnsi="宋体" w:eastAsia="宋体" w:cs="微软雅黑"/>
          <w:lang w:val="en-US" w:eastAsia="zh-CN"/>
        </w:rPr>
        <w:t>制</w:t>
      </w:r>
      <w:r>
        <w:rPr>
          <w:rFonts w:hint="eastAsia" w:ascii="宋体" w:hAnsi="宋体" w:eastAsia="宋体" w:cs="微软雅黑"/>
        </w:rPr>
        <w:t>使用的材料，乙方应该妥善保管，并承担管理不善的责任。本合同所涉及文件，其财产权或有关权属归甲方所有，乙方完成并经甲方验收合格后，应将该有关文件，一并返还甲方，不得私自留存。</w:t>
      </w:r>
    </w:p>
    <w:p>
      <w:pPr>
        <w:pStyle w:val="10"/>
        <w:widowControl w:val="0"/>
        <w:spacing w:beforeAutospacing="0" w:afterAutospacing="0" w:line="560" w:lineRule="exact"/>
        <w:ind w:firstLine="420" w:firstLineChars="200"/>
        <w:rPr>
          <w:rFonts w:ascii="宋体" w:hAnsi="宋体" w:eastAsia="宋体" w:cs="微软雅黑"/>
          <w:color w:val="auto"/>
        </w:rPr>
      </w:pPr>
      <w:r>
        <w:rPr>
          <w:rFonts w:hint="eastAsia" w:ascii="宋体" w:hAnsi="宋体" w:eastAsia="宋体" w:cs="微软雅黑"/>
        </w:rPr>
        <w:t>7、乙方对甲方所委托的</w:t>
      </w:r>
      <w:r>
        <w:rPr>
          <w:rFonts w:hint="eastAsia" w:ascii="宋体" w:hAnsi="宋体" w:eastAsia="宋体" w:cs="微软雅黑"/>
          <w:lang w:eastAsia="zh-CN"/>
        </w:rPr>
        <w:t>印制</w:t>
      </w:r>
      <w:r>
        <w:rPr>
          <w:rFonts w:hint="eastAsia" w:ascii="宋体" w:hAnsi="宋体" w:eastAsia="宋体" w:cs="微软雅黑"/>
        </w:rPr>
        <w:t>内容，应负保密义务，非经甲方书面同意，不得私自利用或对外发表或揭露。</w:t>
      </w:r>
      <w:r>
        <w:rPr>
          <w:rFonts w:hint="eastAsia" w:ascii="宋体" w:hAnsi="宋体" w:eastAsia="宋体" w:cs="微软雅黑"/>
          <w:lang w:eastAsia="zh-CN"/>
        </w:rPr>
        <w:t>印制</w:t>
      </w:r>
      <w:r>
        <w:rPr>
          <w:rFonts w:hint="eastAsia" w:ascii="宋体" w:hAnsi="宋体" w:eastAsia="宋体" w:cs="微软雅黑"/>
        </w:rPr>
        <w:t>完成后，对所有工序中有可能泄密的各种材料要及时销毁，并对储存在电脑里的文件进行永久删除。因乙方造成甲方资料泄露所产生的相关法律责任和经济损失，将全部由乙方承担，</w:t>
      </w:r>
      <w:r>
        <w:rPr>
          <w:rFonts w:hint="eastAsia" w:ascii="宋体" w:hAnsi="宋体" w:eastAsia="宋体" w:cs="微软雅黑"/>
          <w:color w:val="auto"/>
        </w:rPr>
        <w:t>甲方有权</w:t>
      </w:r>
      <w:r>
        <w:rPr>
          <w:rFonts w:hint="eastAsia" w:ascii="宋体" w:hAnsi="宋体" w:eastAsia="宋体" w:cs="微软雅黑"/>
          <w:color w:val="auto"/>
          <w:lang w:val="en-US" w:eastAsia="zh-CN"/>
        </w:rPr>
        <w:t>解除合同并</w:t>
      </w:r>
      <w:r>
        <w:rPr>
          <w:rFonts w:hint="eastAsia" w:ascii="宋体" w:hAnsi="宋体" w:eastAsia="宋体" w:cs="微软雅黑"/>
          <w:color w:val="auto"/>
        </w:rPr>
        <w:t>要求乙方另行支付本合同项下</w:t>
      </w:r>
      <w:r>
        <w:rPr>
          <w:rFonts w:hint="eastAsia" w:ascii="宋体" w:hAnsi="宋体" w:eastAsia="宋体" w:cs="微软雅黑"/>
          <w:color w:val="auto"/>
          <w:lang w:val="en-US" w:eastAsia="zh-CN"/>
        </w:rPr>
        <w:t>当季度</w:t>
      </w:r>
      <w:r>
        <w:rPr>
          <w:rFonts w:hint="eastAsia" w:ascii="宋体" w:hAnsi="宋体" w:eastAsia="宋体" w:cs="微软雅黑"/>
          <w:color w:val="auto"/>
        </w:rPr>
        <w:t>应付费用的30%作为违约金</w:t>
      </w:r>
      <w:r>
        <w:rPr>
          <w:rFonts w:hint="eastAsia" w:ascii="宋体" w:hAnsi="宋体" w:eastAsia="宋体" w:cs="微软雅黑"/>
          <w:color w:val="auto"/>
          <w:lang w:eastAsia="zh-CN"/>
        </w:rPr>
        <w:t>，</w:t>
      </w:r>
      <w:r>
        <w:rPr>
          <w:rFonts w:hint="eastAsia" w:ascii="宋体" w:hAnsi="宋体" w:eastAsia="宋体" w:cs="微软雅黑"/>
          <w:color w:val="auto"/>
        </w:rPr>
        <w:t>且甲方已付</w:t>
      </w:r>
      <w:r>
        <w:rPr>
          <w:rFonts w:hint="eastAsia" w:ascii="宋体" w:hAnsi="宋体" w:eastAsia="宋体" w:cs="微软雅黑"/>
          <w:color w:val="auto"/>
          <w:lang w:eastAsia="zh-CN"/>
        </w:rPr>
        <w:t>印制</w:t>
      </w:r>
      <w:r>
        <w:rPr>
          <w:rFonts w:hint="eastAsia" w:ascii="宋体" w:hAnsi="宋体" w:eastAsia="宋体" w:cs="微软雅黑"/>
          <w:color w:val="auto"/>
        </w:rPr>
        <w:t>费乙方需退还，未付费用甲方无需再支付。</w:t>
      </w:r>
    </w:p>
    <w:p>
      <w:pPr>
        <w:pStyle w:val="10"/>
        <w:widowControl w:val="0"/>
        <w:spacing w:beforeAutospacing="0" w:afterAutospacing="0" w:line="560" w:lineRule="exact"/>
        <w:ind w:firstLine="422" w:firstLineChars="200"/>
        <w:rPr>
          <w:rFonts w:ascii="宋体" w:hAnsi="宋体" w:eastAsia="宋体" w:cs="微软雅黑"/>
        </w:rPr>
      </w:pPr>
      <w:r>
        <w:rPr>
          <w:rStyle w:val="15"/>
          <w:rFonts w:hint="eastAsia" w:ascii="宋体" w:hAnsi="宋体" w:eastAsia="宋体" w:cs="微软雅黑"/>
        </w:rPr>
        <w:t>四、付款方式及期限：</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1、乙方按照提</w:t>
      </w:r>
      <w:r>
        <w:rPr>
          <w:rFonts w:hint="eastAsia" w:ascii="宋体" w:hAnsi="宋体" w:eastAsia="宋体" w:cs="微软雅黑"/>
          <w:lang w:val="en-US" w:eastAsia="zh-CN"/>
        </w:rPr>
        <w:t>中标</w:t>
      </w:r>
      <w:r>
        <w:rPr>
          <w:rFonts w:hint="eastAsia" w:ascii="宋体" w:hAnsi="宋体" w:eastAsia="宋体" w:cs="微软雅黑"/>
        </w:rPr>
        <w:t>报价单</w:t>
      </w:r>
      <w:r>
        <w:rPr>
          <w:rFonts w:hint="eastAsia" w:ascii="宋体" w:hAnsi="宋体" w:eastAsia="宋体" w:cs="微软雅黑"/>
          <w:lang w:val="en-US" w:eastAsia="zh-CN"/>
        </w:rPr>
        <w:t>价格如实</w:t>
      </w:r>
      <w:r>
        <w:rPr>
          <w:rFonts w:hint="eastAsia" w:ascii="宋体" w:hAnsi="宋体" w:eastAsia="宋体" w:cs="微软雅黑"/>
        </w:rPr>
        <w:t>进行结算。甲方付款前乙方应先向甲方出具合法有效的增值税专用发票，否则，甲方可迟延支付且不承担迟延支付违约金。</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2、甲方付款方式为</w:t>
      </w:r>
      <w:r>
        <w:rPr>
          <w:rFonts w:hint="eastAsia" w:ascii="宋体" w:hAnsi="宋体" w:eastAsia="宋体" w:cs="微软雅黑"/>
          <w:u w:val="single"/>
        </w:rPr>
        <w:t>按季度</w:t>
      </w:r>
      <w:r>
        <w:rPr>
          <w:rFonts w:hint="eastAsia" w:ascii="宋体" w:hAnsi="宋体" w:eastAsia="宋体" w:cs="微软雅黑"/>
        </w:rPr>
        <w:t>结算。乙方按季度为甲方开具应收账款结算清单，经甲方确认无误后，开具</w:t>
      </w:r>
      <w:r>
        <w:rPr>
          <w:rFonts w:hint="eastAsia" w:ascii="宋体" w:hAnsi="宋体" w:eastAsia="宋体" w:cs="微软雅黑"/>
          <w:u w:val="single"/>
        </w:rPr>
        <w:t>增值税专用发票</w:t>
      </w:r>
      <w:r>
        <w:rPr>
          <w:rFonts w:hint="eastAsia" w:ascii="宋体" w:hAnsi="宋体" w:eastAsia="宋体" w:cs="微软雅黑"/>
          <w:u w:val="none"/>
          <w:lang w:val="en-US" w:eastAsia="zh-CN"/>
        </w:rPr>
        <w:t>提供给甲方</w:t>
      </w:r>
      <w:r>
        <w:rPr>
          <w:rFonts w:hint="eastAsia" w:ascii="宋体" w:hAnsi="宋体" w:eastAsia="宋体" w:cs="微软雅黑"/>
        </w:rPr>
        <w:t>。</w:t>
      </w:r>
    </w:p>
    <w:p>
      <w:pPr>
        <w:pStyle w:val="10"/>
        <w:widowControl w:val="0"/>
        <w:spacing w:beforeAutospacing="0" w:afterAutospacing="0" w:line="560" w:lineRule="exact"/>
        <w:ind w:firstLine="420" w:firstLineChars="200"/>
        <w:rPr>
          <w:rFonts w:ascii="宋体" w:hAnsi="宋体" w:eastAsia="宋体" w:cs="微软雅黑"/>
          <w:u w:val="single"/>
        </w:rPr>
      </w:pPr>
      <w:r>
        <w:rPr>
          <w:rFonts w:hint="eastAsia" w:ascii="宋体" w:hAnsi="宋体" w:eastAsia="宋体" w:cs="微软雅黑"/>
        </w:rPr>
        <w:t>3、甲方自收到乙方出具的合法有效的增值税专用发票后</w:t>
      </w:r>
      <w:r>
        <w:rPr>
          <w:rFonts w:hint="eastAsia" w:ascii="宋体" w:hAnsi="宋体" w:eastAsia="宋体" w:cs="微软雅黑"/>
          <w:u w:val="single"/>
        </w:rPr>
        <w:t>15个工作日内</w:t>
      </w:r>
      <w:r>
        <w:rPr>
          <w:rFonts w:hint="eastAsia" w:ascii="宋体" w:hAnsi="宋体" w:eastAsia="宋体" w:cs="微软雅黑"/>
        </w:rPr>
        <w:t>将结算款转至乙方账户。甲方在合同规定的结算期限内无故未能结清所欠乙方的应收账款，需每日支付乙方应收账款金额万分之三的违约金，违约金从结算期限外次日开始按天计算，直至结清款项为止。</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4、乙方转账信息：</w:t>
      </w:r>
    </w:p>
    <w:p>
      <w:pPr>
        <w:pStyle w:val="10"/>
        <w:widowControl w:val="0"/>
        <w:spacing w:beforeAutospacing="0" w:afterAutospacing="0" w:line="560" w:lineRule="exact"/>
        <w:ind w:firstLine="420" w:firstLineChars="200"/>
        <w:rPr>
          <w:rFonts w:hint="default" w:ascii="宋体" w:hAnsi="宋体" w:eastAsia="宋体" w:cs="微软雅黑"/>
          <w:lang w:val="en-US" w:eastAsia="zh-CN"/>
        </w:rPr>
      </w:pPr>
      <w:r>
        <w:rPr>
          <w:rFonts w:hint="eastAsia" w:ascii="宋体" w:hAnsi="宋体" w:eastAsia="宋体" w:cs="微软雅黑"/>
        </w:rPr>
        <w:t>开户行：</w:t>
      </w:r>
      <w:r>
        <w:rPr>
          <w:rFonts w:hint="eastAsia" w:ascii="宋体" w:hAnsi="宋体" w:eastAsia="宋体" w:cs="微软雅黑"/>
          <w:u w:val="single"/>
          <w:lang w:val="en-US" w:eastAsia="zh-CN"/>
        </w:rPr>
        <w:t xml:space="preserve">              </w:t>
      </w:r>
    </w:p>
    <w:p>
      <w:pPr>
        <w:pStyle w:val="10"/>
        <w:widowControl w:val="0"/>
        <w:spacing w:beforeAutospacing="0" w:afterAutospacing="0" w:line="560" w:lineRule="exact"/>
        <w:ind w:firstLine="420" w:firstLineChars="200"/>
        <w:rPr>
          <w:rFonts w:hint="eastAsia" w:ascii="宋体" w:hAnsi="宋体" w:eastAsia="宋体" w:cs="微软雅黑"/>
          <w:u w:val="single"/>
          <w:lang w:val="en-US" w:eastAsia="zh-CN"/>
        </w:rPr>
      </w:pPr>
      <w:r>
        <w:rPr>
          <w:rFonts w:hint="eastAsia" w:ascii="宋体" w:hAnsi="宋体" w:eastAsia="宋体" w:cs="微软雅黑"/>
        </w:rPr>
        <w:t>开户账号：</w:t>
      </w:r>
      <w:r>
        <w:rPr>
          <w:rFonts w:hint="eastAsia" w:ascii="宋体" w:hAnsi="宋体" w:eastAsia="宋体" w:cs="微软雅黑"/>
          <w:u w:val="single"/>
          <w:lang w:val="en-US" w:eastAsia="zh-CN"/>
        </w:rPr>
        <w:t xml:space="preserve">             </w:t>
      </w:r>
    </w:p>
    <w:p>
      <w:pPr>
        <w:pStyle w:val="10"/>
        <w:widowControl w:val="0"/>
        <w:spacing w:beforeAutospacing="0" w:afterAutospacing="0" w:line="560" w:lineRule="exact"/>
        <w:ind w:firstLine="420" w:firstLineChars="200"/>
        <w:rPr>
          <w:rFonts w:hint="default" w:ascii="宋体" w:hAnsi="宋体" w:eastAsia="宋体" w:cs="微软雅黑"/>
          <w:u w:val="single"/>
          <w:lang w:val="en-US" w:eastAsia="zh-CN"/>
        </w:rPr>
      </w:pPr>
      <w:r>
        <w:rPr>
          <w:rFonts w:hint="eastAsia" w:ascii="宋体" w:hAnsi="宋体" w:eastAsia="宋体" w:cs="微软雅黑"/>
        </w:rPr>
        <w:t>开户行地址：</w:t>
      </w:r>
      <w:r>
        <w:rPr>
          <w:rFonts w:hint="eastAsia" w:ascii="宋体" w:hAnsi="宋体" w:eastAsia="宋体" w:cs="微软雅黑"/>
          <w:u w:val="single"/>
          <w:lang w:val="en-US" w:eastAsia="zh-CN"/>
        </w:rPr>
        <w:t xml:space="preserve">              </w:t>
      </w:r>
    </w:p>
    <w:p>
      <w:pPr>
        <w:pStyle w:val="10"/>
        <w:widowControl w:val="0"/>
        <w:spacing w:beforeAutospacing="0" w:afterAutospacing="0" w:line="560" w:lineRule="exact"/>
        <w:rPr>
          <w:rFonts w:ascii="宋体" w:hAnsi="宋体" w:eastAsia="宋体" w:cs="微软雅黑"/>
        </w:rPr>
      </w:pPr>
      <w:r>
        <w:rPr>
          <w:rStyle w:val="15"/>
          <w:rFonts w:hint="eastAsia" w:ascii="宋体" w:hAnsi="宋体" w:eastAsia="宋体" w:cs="微软雅黑"/>
        </w:rPr>
        <w:t>五、违约责任</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1、除本合同约定情况外，任何一方擅自终止或解除本合同，</w:t>
      </w:r>
      <w:r>
        <w:rPr>
          <w:rFonts w:hint="eastAsia" w:ascii="宋体" w:hAnsi="宋体" w:eastAsia="宋体" w:cs="微软雅黑"/>
          <w:color w:val="auto"/>
        </w:rPr>
        <w:t>则守约方有权要求违约方支付本合同</w:t>
      </w:r>
      <w:r>
        <w:rPr>
          <w:rFonts w:hint="eastAsia" w:ascii="宋体" w:hAnsi="宋体" w:eastAsia="宋体" w:cs="微软雅黑"/>
          <w:color w:val="auto"/>
          <w:lang w:val="en-US" w:eastAsia="zh-CN"/>
        </w:rPr>
        <w:t>期内已结算</w:t>
      </w:r>
      <w:r>
        <w:rPr>
          <w:rFonts w:hint="eastAsia" w:ascii="宋体" w:hAnsi="宋体" w:eastAsia="宋体" w:cs="微软雅黑"/>
          <w:color w:val="auto"/>
        </w:rPr>
        <w:t>费用的30%作为违约金</w:t>
      </w:r>
      <w:r>
        <w:rPr>
          <w:rFonts w:hint="eastAsia" w:ascii="宋体" w:hAnsi="宋体" w:eastAsia="宋体" w:cs="微软雅黑"/>
          <w:color w:val="auto"/>
          <w:lang w:eastAsia="zh-CN"/>
        </w:rPr>
        <w:t>（</w:t>
      </w:r>
      <w:r>
        <w:rPr>
          <w:rFonts w:hint="eastAsia" w:ascii="宋体" w:hAnsi="宋体" w:eastAsia="宋体" w:cs="微软雅黑"/>
          <w:color w:val="auto"/>
          <w:lang w:val="en-US" w:eastAsia="zh-CN"/>
        </w:rPr>
        <w:t>如乙方</w:t>
      </w:r>
      <w:r>
        <w:rPr>
          <w:rFonts w:hint="eastAsia" w:ascii="宋体" w:hAnsi="宋体" w:eastAsia="宋体" w:cs="微软雅黑"/>
        </w:rPr>
        <w:t>擅自终止或解除本合同</w:t>
      </w:r>
      <w:r>
        <w:rPr>
          <w:rFonts w:hint="eastAsia" w:ascii="宋体" w:hAnsi="宋体" w:eastAsia="宋体" w:cs="微软雅黑"/>
          <w:lang w:eastAsia="zh-CN"/>
        </w:rPr>
        <w:t>，</w:t>
      </w:r>
      <w:r>
        <w:rPr>
          <w:rFonts w:hint="eastAsia" w:ascii="宋体" w:hAnsi="宋体" w:eastAsia="宋体" w:cs="微软雅黑"/>
          <w:lang w:val="en-US" w:eastAsia="zh-CN"/>
        </w:rPr>
        <w:t>甲方有权同时扣除履约保证金</w:t>
      </w:r>
      <w:r>
        <w:rPr>
          <w:rFonts w:hint="eastAsia" w:ascii="宋体" w:hAnsi="宋体" w:eastAsia="宋体" w:cs="微软雅黑"/>
          <w:color w:val="auto"/>
          <w:lang w:eastAsia="zh-CN"/>
        </w:rPr>
        <w:t>）</w:t>
      </w:r>
      <w:r>
        <w:rPr>
          <w:rFonts w:hint="eastAsia" w:ascii="宋体" w:hAnsi="宋体" w:eastAsia="宋体" w:cs="微软雅黑"/>
          <w:color w:val="auto"/>
          <w:lang w:val="en-US" w:eastAsia="zh-CN"/>
        </w:rPr>
        <w:t>,并</w:t>
      </w:r>
      <w:r>
        <w:rPr>
          <w:rFonts w:hint="eastAsia" w:ascii="宋体" w:hAnsi="宋体" w:eastAsia="宋体" w:cs="微软雅黑"/>
          <w:color w:val="auto"/>
        </w:rPr>
        <w:t>赔偿因终止或解除本合同而使守约方遭</w:t>
      </w:r>
      <w:r>
        <w:rPr>
          <w:rFonts w:hint="eastAsia" w:ascii="宋体" w:hAnsi="宋体" w:eastAsia="宋体" w:cs="微软雅黑"/>
        </w:rPr>
        <w:t>受的损失，该损失包括守约方所遭受的直接经济损失、因之向第三方承担的赔偿义务以及向国家司法或行政机关缴纳罚款、其它可期待利益损失以及为减少损失而支付的所有合理费用(包括合理的律师费用)。</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2、乙方交付的</w:t>
      </w:r>
      <w:r>
        <w:rPr>
          <w:rFonts w:hint="eastAsia" w:ascii="宋体" w:hAnsi="宋体" w:eastAsia="宋体" w:cs="微软雅黑"/>
          <w:lang w:eastAsia="zh-CN"/>
        </w:rPr>
        <w:t>印制</w:t>
      </w:r>
      <w:r>
        <w:rPr>
          <w:rFonts w:hint="eastAsia" w:ascii="宋体" w:hAnsi="宋体" w:eastAsia="宋体" w:cs="微软雅黑"/>
        </w:rPr>
        <w:t>品质量、数量、规格不符合合同约定及乙方留存</w:t>
      </w:r>
      <w:r>
        <w:rPr>
          <w:rFonts w:hint="eastAsia" w:ascii="宋体" w:hAnsi="宋体" w:eastAsia="宋体" w:cs="微软雅黑"/>
          <w:lang w:eastAsia="zh-CN"/>
        </w:rPr>
        <w:t>印制</w:t>
      </w:r>
      <w:r>
        <w:rPr>
          <w:rFonts w:hint="eastAsia" w:ascii="宋体" w:hAnsi="宋体" w:eastAsia="宋体" w:cs="微软雅黑"/>
        </w:rPr>
        <w:t>品、样品，不销毁</w:t>
      </w:r>
      <w:r>
        <w:rPr>
          <w:rFonts w:hint="eastAsia" w:ascii="宋体" w:hAnsi="宋体" w:eastAsia="宋体" w:cs="微软雅黑"/>
          <w:lang w:eastAsia="zh-CN"/>
        </w:rPr>
        <w:t>印制</w:t>
      </w:r>
      <w:r>
        <w:rPr>
          <w:rFonts w:hint="eastAsia" w:ascii="宋体" w:hAnsi="宋体" w:eastAsia="宋体" w:cs="微软雅黑"/>
        </w:rPr>
        <w:t>残次品等未按合同约定履行义务的</w:t>
      </w:r>
      <w:r>
        <w:rPr>
          <w:rFonts w:hint="eastAsia" w:ascii="宋体" w:hAnsi="宋体" w:eastAsia="宋体" w:cs="微软雅黑"/>
          <w:color w:val="auto"/>
        </w:rPr>
        <w:t>，且甲方有权</w:t>
      </w:r>
      <w:r>
        <w:rPr>
          <w:rFonts w:hint="eastAsia" w:ascii="宋体" w:hAnsi="宋体" w:eastAsia="宋体" w:cs="微软雅黑"/>
          <w:color w:val="auto"/>
          <w:lang w:val="en-US" w:eastAsia="zh-CN"/>
        </w:rPr>
        <w:t>并</w:t>
      </w:r>
      <w:r>
        <w:rPr>
          <w:rFonts w:hint="eastAsia" w:ascii="宋体" w:hAnsi="宋体" w:eastAsia="宋体" w:cs="微软雅黑"/>
          <w:color w:val="auto"/>
        </w:rPr>
        <w:t>要求乙方另行支付本合同项下</w:t>
      </w:r>
      <w:r>
        <w:rPr>
          <w:rFonts w:hint="eastAsia" w:ascii="宋体" w:hAnsi="宋体" w:eastAsia="宋体" w:cs="微软雅黑"/>
          <w:color w:val="auto"/>
          <w:lang w:val="en-US" w:eastAsia="zh-CN"/>
        </w:rPr>
        <w:t>当季度</w:t>
      </w:r>
      <w:r>
        <w:rPr>
          <w:rFonts w:hint="eastAsia" w:ascii="宋体" w:hAnsi="宋体" w:eastAsia="宋体" w:cs="微软雅黑"/>
          <w:color w:val="auto"/>
        </w:rPr>
        <w:t>应付</w:t>
      </w:r>
      <w:r>
        <w:rPr>
          <w:rFonts w:hint="eastAsia" w:ascii="宋体" w:hAnsi="宋体" w:eastAsia="宋体" w:cs="微软雅黑"/>
          <w:color w:val="auto"/>
          <w:lang w:eastAsia="zh-CN"/>
        </w:rPr>
        <w:t>印制</w:t>
      </w:r>
      <w:r>
        <w:rPr>
          <w:rFonts w:hint="eastAsia" w:ascii="宋体" w:hAnsi="宋体" w:eastAsia="宋体" w:cs="微软雅黑"/>
          <w:color w:val="auto"/>
        </w:rPr>
        <w:t>费用的30%作为违约金。</w:t>
      </w:r>
      <w:r>
        <w:rPr>
          <w:rFonts w:hint="eastAsia" w:ascii="宋体" w:hAnsi="宋体" w:eastAsia="宋体" w:cs="微软雅黑"/>
          <w:color w:val="auto"/>
          <w:lang w:val="en-US" w:eastAsia="zh-CN"/>
        </w:rPr>
        <w:t>乙方发生上述行为2次的，甲方有权解除合同</w:t>
      </w:r>
      <w:r>
        <w:rPr>
          <w:rFonts w:hint="eastAsia" w:ascii="宋体" w:hAnsi="宋体" w:eastAsia="宋体" w:cs="微软雅黑"/>
          <w:color w:val="auto"/>
        </w:rPr>
        <w:t>，且甲方已付</w:t>
      </w:r>
      <w:r>
        <w:rPr>
          <w:rFonts w:hint="eastAsia" w:ascii="宋体" w:hAnsi="宋体" w:eastAsia="宋体" w:cs="微软雅黑"/>
          <w:color w:val="auto"/>
          <w:lang w:eastAsia="zh-CN"/>
        </w:rPr>
        <w:t>印制</w:t>
      </w:r>
      <w:r>
        <w:rPr>
          <w:rFonts w:hint="eastAsia" w:ascii="宋体" w:hAnsi="宋体" w:eastAsia="宋体" w:cs="微软雅黑"/>
          <w:color w:val="auto"/>
        </w:rPr>
        <w:t>费乙</w:t>
      </w:r>
      <w:r>
        <w:rPr>
          <w:rFonts w:hint="eastAsia" w:ascii="宋体" w:hAnsi="宋体" w:eastAsia="宋体" w:cs="微软雅黑"/>
        </w:rPr>
        <w:t>方需退还，未付费用甲方无需再支付。</w:t>
      </w:r>
    </w:p>
    <w:p>
      <w:pPr>
        <w:widowControl w:val="0"/>
        <w:spacing w:line="560" w:lineRule="exact"/>
        <w:rPr>
          <w:rFonts w:ascii="宋体" w:hAnsi="宋体" w:eastAsia="宋体" w:cs="Tahoma"/>
          <w:b/>
        </w:rPr>
      </w:pPr>
      <w:r>
        <w:rPr>
          <w:rFonts w:hint="eastAsia" w:ascii="宋体" w:hAnsi="宋体" w:eastAsia="宋体" w:cs="Tahoma"/>
          <w:b/>
        </w:rPr>
        <w:t>六、争议解决方式</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Tahoma"/>
        </w:rPr>
        <w:t>本合同在履行中发生争议，双方可协商解决。若协商不成时，任何一方可</w:t>
      </w:r>
      <w:r>
        <w:rPr>
          <w:rFonts w:hint="eastAsia" w:ascii="宋体" w:hAnsi="宋体" w:eastAsia="宋体" w:cs="微软雅黑"/>
        </w:rPr>
        <w:t>向甲方所在地的人民法院起诉。</w:t>
      </w:r>
    </w:p>
    <w:p>
      <w:pPr>
        <w:widowControl w:val="0"/>
        <w:spacing w:line="560" w:lineRule="exact"/>
        <w:textAlignment w:val="baseline"/>
        <w:rPr>
          <w:rFonts w:ascii="宋体" w:hAnsi="宋体" w:eastAsia="宋体" w:cs="Tahoma"/>
        </w:rPr>
      </w:pPr>
      <w:r>
        <w:rPr>
          <w:rFonts w:hint="eastAsia" w:ascii="宋体" w:hAnsi="宋体" w:eastAsia="宋体" w:cs="Tahoma"/>
          <w:b/>
        </w:rPr>
        <w:t>七、</w:t>
      </w:r>
      <w:r>
        <w:rPr>
          <w:rFonts w:hint="eastAsia" w:ascii="宋体" w:hAnsi="宋体" w:eastAsia="宋体" w:cs="Tahoma"/>
        </w:rPr>
        <w:t>下列文件应视为构成合同文件的组成部分：</w:t>
      </w:r>
    </w:p>
    <w:p>
      <w:pPr>
        <w:widowControl w:val="0"/>
        <w:spacing w:line="560" w:lineRule="exact"/>
        <w:ind w:firstLine="420" w:firstLineChars="200"/>
        <w:textAlignment w:val="baseline"/>
        <w:rPr>
          <w:rFonts w:ascii="宋体" w:hAnsi="宋体" w:eastAsia="宋体" w:cs="Tahoma"/>
        </w:rPr>
      </w:pPr>
      <w:r>
        <w:rPr>
          <w:rFonts w:hint="eastAsia" w:ascii="宋体" w:hAnsi="宋体" w:eastAsia="宋体" w:cs="Tahoma"/>
        </w:rPr>
        <w:t>(1)本合同及合同附件；</w:t>
      </w:r>
    </w:p>
    <w:p>
      <w:pPr>
        <w:widowControl w:val="0"/>
        <w:spacing w:line="560" w:lineRule="exact"/>
        <w:ind w:firstLine="420" w:firstLineChars="200"/>
        <w:textAlignment w:val="baseline"/>
        <w:rPr>
          <w:rFonts w:ascii="宋体" w:hAnsi="宋体" w:eastAsia="宋体" w:cs="Tahoma"/>
        </w:rPr>
      </w:pPr>
      <w:r>
        <w:rPr>
          <w:rFonts w:hint="eastAsia" w:ascii="宋体" w:hAnsi="宋体" w:eastAsia="宋体" w:cs="Tahoma"/>
        </w:rPr>
        <w:t>(2)询比响应文件及其附录。</w:t>
      </w:r>
    </w:p>
    <w:p>
      <w:pPr>
        <w:widowControl w:val="0"/>
        <w:spacing w:line="560" w:lineRule="exact"/>
        <w:textAlignment w:val="baseline"/>
        <w:rPr>
          <w:rFonts w:ascii="宋体" w:hAnsi="宋体" w:eastAsia="宋体" w:cs="Tahoma"/>
        </w:rPr>
      </w:pPr>
      <w:r>
        <w:rPr>
          <w:rFonts w:hint="eastAsia" w:ascii="宋体" w:hAnsi="宋体" w:eastAsia="宋体" w:cs="微软雅黑"/>
          <w:b/>
        </w:rPr>
        <w:t>八、</w:t>
      </w:r>
      <w:r>
        <w:rPr>
          <w:rFonts w:hint="eastAsia" w:ascii="宋体" w:hAnsi="宋体" w:eastAsia="宋体" w:cs="微软雅黑"/>
        </w:rPr>
        <w:t>本合同一式两份，双方各持一份，自甲、乙双方签字盖章之日起生效。</w:t>
      </w:r>
      <w:r>
        <w:rPr>
          <w:rFonts w:hint="eastAsia" w:ascii="宋体" w:hAnsi="宋体" w:eastAsia="宋体" w:cs="Tahoma"/>
        </w:rPr>
        <w:t>附件与本合同均具有法律效力。</w:t>
      </w:r>
    </w:p>
    <w:p>
      <w:pPr>
        <w:widowControl w:val="0"/>
        <w:spacing w:line="560" w:lineRule="exact"/>
        <w:textAlignment w:val="baseline"/>
        <w:rPr>
          <w:rFonts w:ascii="宋体" w:hAnsi="宋体" w:eastAsia="宋体" w:cs="Tahoma"/>
        </w:rPr>
      </w:pPr>
      <w:r>
        <w:rPr>
          <w:rFonts w:hint="eastAsia" w:ascii="宋体" w:hAnsi="宋体" w:eastAsia="宋体" w:cs="Tahoma"/>
          <w:b/>
        </w:rPr>
        <w:t>九</w:t>
      </w:r>
      <w:r>
        <w:rPr>
          <w:rFonts w:hint="eastAsia" w:ascii="宋体" w:hAnsi="宋体" w:eastAsia="宋体" w:cs="Tahoma"/>
        </w:rPr>
        <w:t>、本合同项下的任何文件往来、通讯和通知均应以书面形式按本合同首页记载的地址、电传号或其他联系方法送达对方。如本合同任何一方联系方式发生变化，应在三日内通知对方。一方未及时通知对方的，协议另一方按未通知前的联系方法送达文件、通讯和通知，一切后果由未通知方承担。任何文件、通讯和通知只要按照上述地址发送，一经发送即应视已送达。</w:t>
      </w:r>
    </w:p>
    <w:p>
      <w:pPr>
        <w:pStyle w:val="10"/>
        <w:widowControl w:val="0"/>
        <w:spacing w:beforeAutospacing="0" w:afterAutospacing="0" w:line="560" w:lineRule="exact"/>
        <w:ind w:firstLine="420" w:firstLineChars="200"/>
        <w:rPr>
          <w:rFonts w:ascii="宋体" w:hAnsi="宋体" w:eastAsia="宋体" w:cs="微软雅黑"/>
        </w:rPr>
      </w:pPr>
      <w:r>
        <w:rPr>
          <w:rFonts w:hint="eastAsia" w:ascii="宋体" w:hAnsi="宋体" w:eastAsia="宋体" w:cs="微软雅黑"/>
        </w:rPr>
        <w:t>附件一：</w:t>
      </w:r>
      <w:r>
        <w:rPr>
          <w:rFonts w:hint="eastAsia" w:ascii="宋体" w:hAnsi="宋体" w:eastAsia="宋体" w:cs="微软雅黑"/>
          <w:lang w:val="en-US" w:eastAsia="zh-CN"/>
        </w:rPr>
        <w:t>合同价格执行</w:t>
      </w:r>
      <w:r>
        <w:rPr>
          <w:rFonts w:hint="eastAsia" w:ascii="宋体" w:hAnsi="宋体" w:eastAsia="宋体" w:cs="微软雅黑"/>
        </w:rPr>
        <w:t>清单</w:t>
      </w:r>
    </w:p>
    <w:p>
      <w:pPr>
        <w:pStyle w:val="10"/>
        <w:widowControl w:val="0"/>
        <w:spacing w:beforeAutospacing="0" w:afterAutospacing="0" w:line="560" w:lineRule="exact"/>
        <w:ind w:firstLine="420" w:firstLineChars="200"/>
        <w:rPr>
          <w:rFonts w:hint="eastAsia" w:ascii="宋体" w:hAnsi="宋体" w:eastAsia="宋体" w:cs="微软雅黑"/>
        </w:rPr>
      </w:pPr>
    </w:p>
    <w:p>
      <w:pPr>
        <w:pStyle w:val="10"/>
        <w:widowControl w:val="0"/>
        <w:spacing w:beforeAutospacing="0" w:afterAutospacing="0" w:line="560" w:lineRule="exact"/>
        <w:ind w:firstLine="420" w:firstLineChars="200"/>
        <w:rPr>
          <w:rFonts w:ascii="宋体" w:hAnsi="宋体" w:eastAsia="宋体" w:cs="微软雅黑"/>
        </w:rPr>
      </w:pPr>
    </w:p>
    <w:p>
      <w:pPr>
        <w:widowControl w:val="0"/>
        <w:spacing w:line="560" w:lineRule="exact"/>
        <w:rPr>
          <w:rFonts w:ascii="宋体" w:hAnsi="宋体" w:eastAsia="宋体" w:cs="微软雅黑"/>
        </w:rPr>
      </w:pPr>
      <w:r>
        <w:rPr>
          <w:rFonts w:hint="eastAsia" w:ascii="宋体" w:hAnsi="宋体" w:eastAsia="宋体"/>
        </w:rPr>
        <w:t>甲方（盖章）：                     乙方（盖章）：</w:t>
      </w:r>
    </w:p>
    <w:p>
      <w:pPr>
        <w:widowControl w:val="0"/>
        <w:spacing w:line="560" w:lineRule="exact"/>
        <w:rPr>
          <w:rFonts w:ascii="宋体" w:hAnsi="宋体" w:eastAsia="宋体"/>
        </w:rPr>
      </w:pPr>
      <w:r>
        <w:rPr>
          <w:rFonts w:hint="eastAsia" w:ascii="宋体" w:hAnsi="宋体" w:eastAsia="宋体"/>
        </w:rPr>
        <w:t>法人签字：                         法人/授权委托人签字：</w:t>
      </w:r>
    </w:p>
    <w:p>
      <w:pPr>
        <w:widowControl w:val="0"/>
        <w:spacing w:line="560" w:lineRule="exact"/>
        <w:rPr>
          <w:rFonts w:ascii="宋体" w:hAnsi="宋体" w:eastAsia="宋体"/>
        </w:rPr>
      </w:pPr>
      <w:r>
        <w:rPr>
          <w:rFonts w:hint="eastAsia" w:ascii="宋体" w:hAnsi="宋体" w:eastAsia="宋体"/>
        </w:rPr>
        <w:t>日期：                             日期：</w:t>
      </w:r>
    </w:p>
    <w:p>
      <w:pPr>
        <w:widowControl w:val="0"/>
        <w:spacing w:line="560" w:lineRule="exact"/>
        <w:rPr>
          <w:rFonts w:ascii="宋体" w:hAnsi="宋体" w:eastAsia="宋体"/>
        </w:rPr>
      </w:pPr>
    </w:p>
    <w:p>
      <w:pPr>
        <w:widowControl w:val="0"/>
        <w:spacing w:line="560" w:lineRule="exact"/>
        <w:rPr>
          <w:rFonts w:ascii="宋体" w:hAnsi="宋体" w:eastAsia="宋体"/>
        </w:rPr>
      </w:pPr>
    </w:p>
    <w:p>
      <w:pPr>
        <w:pStyle w:val="2"/>
        <w:rPr>
          <w:rFonts w:hint="default" w:ascii="Times New Roman" w:hAnsi="Times New Roman" w:cs="Times New Roman"/>
          <w:color w:val="auto"/>
          <w:highlight w:val="none"/>
          <w:lang w:val="en-US" w:eastAsia="zh-CN"/>
        </w:rPr>
      </w:pPr>
    </w:p>
    <w:p/>
    <w:p/>
    <w:p/>
    <w:p>
      <w:pPr>
        <w:pStyle w:val="2"/>
        <w:jc w:val="center"/>
        <w:outlineLvl w:val="1"/>
        <w:rPr>
          <w:rFonts w:hint="eastAsia" w:ascii="仿宋_GB2312" w:hAnsi="仿宋_GB2312" w:eastAsia="仿宋_GB2312" w:cs="仿宋_GB2312"/>
          <w:b/>
          <w:color w:val="auto"/>
          <w:sz w:val="32"/>
          <w:szCs w:val="32"/>
        </w:rPr>
      </w:pPr>
      <w:bookmarkStart w:id="134" w:name="_Toc17834_WPSOffice_Level1"/>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hint="eastAsia" w:ascii="仿宋_GB2312" w:hAnsi="仿宋_GB2312" w:eastAsia="仿宋_GB2312" w:cs="仿宋_GB2312"/>
          <w:b/>
          <w:color w:val="auto"/>
          <w:sz w:val="32"/>
          <w:szCs w:val="32"/>
        </w:rPr>
      </w:pPr>
    </w:p>
    <w:p>
      <w:pPr>
        <w:pStyle w:val="2"/>
        <w:jc w:val="center"/>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二、安全</w:t>
      </w:r>
      <w:r>
        <w:rPr>
          <w:rFonts w:hint="eastAsia" w:ascii="仿宋_GB2312" w:hAnsi="仿宋_GB2312" w:eastAsia="仿宋_GB2312" w:cs="仿宋_GB2312"/>
          <w:b/>
          <w:color w:val="auto"/>
          <w:sz w:val="32"/>
          <w:szCs w:val="32"/>
          <w:lang w:val="en-US" w:eastAsia="zh-CN"/>
        </w:rPr>
        <w:t>生产</w:t>
      </w:r>
      <w:r>
        <w:rPr>
          <w:rFonts w:hint="eastAsia" w:ascii="仿宋_GB2312" w:hAnsi="仿宋_GB2312" w:eastAsia="仿宋_GB2312" w:cs="仿宋_GB2312"/>
          <w:b/>
          <w:color w:val="auto"/>
          <w:sz w:val="32"/>
          <w:szCs w:val="32"/>
        </w:rPr>
        <w:t>合同</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为在合同的实施过程中创造安全、高效的</w:t>
      </w:r>
      <w:r>
        <w:rPr>
          <w:rFonts w:hint="eastAsia" w:ascii="Times New Roman" w:hAnsi="Times New Roman" w:cs="Times New Roman"/>
          <w:color w:val="auto"/>
          <w:lang w:val="en-US" w:eastAsia="zh-CN"/>
        </w:rPr>
        <w:t>工作</w:t>
      </w:r>
      <w:r>
        <w:rPr>
          <w:rFonts w:ascii="Times New Roman" w:hAnsi="Times New Roman" w:cs="Times New Roman"/>
          <w:color w:val="auto"/>
        </w:rPr>
        <w:t>环境，切实搞好本项目的安全管理工作， 安徽省高速公路试验检测科研中心有限公司 (以下简称“甲方”)与 以下</w:t>
      </w:r>
      <w:r>
        <w:rPr>
          <w:rFonts w:hint="eastAsia" w:ascii="Times New Roman" w:hAnsi="Times New Roman" w:cs="Times New Roman"/>
          <w:color w:val="auto"/>
          <w:u w:val="single"/>
          <w:lang w:val="en-US" w:eastAsia="zh-CN"/>
        </w:rPr>
        <w:t xml:space="preserve">                  </w:t>
      </w:r>
      <w:r>
        <w:rPr>
          <w:rFonts w:ascii="Times New Roman" w:hAnsi="Times New Roman" w:cs="Times New Roman"/>
          <w:color w:val="auto"/>
        </w:rPr>
        <w:t>简称“乙方”)特此签订安全</w:t>
      </w:r>
      <w:r>
        <w:rPr>
          <w:rFonts w:hint="eastAsia" w:ascii="Times New Roman" w:hAnsi="Times New Roman" w:cs="Times New Roman"/>
          <w:color w:val="auto"/>
          <w:lang w:val="en-US" w:eastAsia="zh-CN"/>
        </w:rPr>
        <w:t>维修</w:t>
      </w:r>
      <w:r>
        <w:rPr>
          <w:rFonts w:ascii="Times New Roman" w:hAnsi="Times New Roman" w:cs="Times New Roman"/>
          <w:color w:val="auto"/>
        </w:rPr>
        <w:t>合同：</w:t>
      </w:r>
    </w:p>
    <w:p>
      <w:pPr>
        <w:spacing w:line="440" w:lineRule="exact"/>
        <w:ind w:firstLine="420"/>
        <w:jc w:val="left"/>
        <w:outlineLvl w:val="2"/>
        <w:rPr>
          <w:rFonts w:ascii="Times New Roman" w:hAnsi="Times New Roman" w:cs="Times New Roman"/>
          <w:color w:val="auto"/>
        </w:rPr>
      </w:pPr>
      <w:r>
        <w:rPr>
          <w:rFonts w:ascii="Times New Roman" w:hAnsi="Times New Roman" w:cs="Times New Roman"/>
          <w:color w:val="auto"/>
        </w:rPr>
        <w:t>第一条 甲方责任</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（一）严格遵守国家有关安全生产的法律法规，认真执行技术服务合同中的有关安全要求。</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（二）按照“安全第一、预防为主、综合治理”的原则对安全生产工作进行监督及管理。</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（三）负责建立健全本项目各项安全生产的管理机构和安全生产管理制度。</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（四）按照本</w:t>
      </w:r>
      <w:r>
        <w:rPr>
          <w:rFonts w:hint="eastAsia" w:ascii="Times New Roman" w:hAnsi="Times New Roman" w:cs="Times New Roman"/>
          <w:color w:val="auto"/>
          <w:lang w:val="en-US" w:eastAsia="zh-CN"/>
        </w:rPr>
        <w:t>采购</w:t>
      </w:r>
      <w:r>
        <w:rPr>
          <w:rFonts w:ascii="Times New Roman" w:hAnsi="Times New Roman" w:cs="Times New Roman"/>
          <w:color w:val="auto"/>
        </w:rPr>
        <w:t>项目特点，组织制定本</w:t>
      </w:r>
      <w:r>
        <w:rPr>
          <w:rFonts w:hint="eastAsia" w:ascii="Times New Roman" w:hAnsi="Times New Roman" w:cs="Times New Roman"/>
          <w:color w:val="auto"/>
          <w:lang w:val="en-US" w:eastAsia="zh-CN"/>
        </w:rPr>
        <w:t>合同</w:t>
      </w:r>
      <w:r>
        <w:rPr>
          <w:rFonts w:ascii="Times New Roman" w:hAnsi="Times New Roman" w:cs="Times New Roman"/>
          <w:color w:val="auto"/>
        </w:rPr>
        <w:t>实施中的安全事故应急救援预案；组织对乙方技术服务现场安全生产检查，监督乙方及时处理发现的各种安全隐患。</w:t>
      </w:r>
    </w:p>
    <w:p>
      <w:pPr>
        <w:spacing w:line="440" w:lineRule="exact"/>
        <w:ind w:firstLine="420"/>
        <w:jc w:val="left"/>
        <w:outlineLvl w:val="2"/>
        <w:rPr>
          <w:rFonts w:ascii="Times New Roman" w:hAnsi="Times New Roman" w:cs="Times New Roman"/>
          <w:color w:val="auto"/>
        </w:rPr>
      </w:pPr>
      <w:r>
        <w:rPr>
          <w:rFonts w:ascii="Times New Roman" w:hAnsi="Times New Roman" w:cs="Times New Roman"/>
          <w:color w:val="auto"/>
        </w:rPr>
        <w:t>第二条 乙方职责</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（一）乙方应坚持“安全第一、预防为主、综合治理”原则，严格遵守国家及行业有关安全生产管理的法律法规、规程等规定，认真执行合同中的有关安全要求。</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（二）乙方应加强</w:t>
      </w:r>
      <w:r>
        <w:rPr>
          <w:rFonts w:hint="eastAsia" w:ascii="Times New Roman" w:hAnsi="Times New Roman" w:cs="Times New Roman"/>
          <w:color w:val="auto"/>
          <w:lang w:val="en-US" w:eastAsia="zh-CN"/>
        </w:rPr>
        <w:t>工作人员</w:t>
      </w:r>
      <w:r>
        <w:rPr>
          <w:rFonts w:ascii="Times New Roman" w:hAnsi="Times New Roman" w:cs="Times New Roman"/>
          <w:color w:val="auto"/>
        </w:rPr>
        <w:t>的安全生产宣传教育工作，增强全员安全生产意识，有组织、有计划地按照甲方要求开展安全</w:t>
      </w:r>
      <w:r>
        <w:rPr>
          <w:rFonts w:hint="eastAsia" w:ascii="Times New Roman" w:hAnsi="Times New Roman" w:cs="Times New Roman"/>
          <w:color w:val="auto"/>
          <w:lang w:val="en-US" w:eastAsia="zh-CN"/>
        </w:rPr>
        <w:t>维修保养</w:t>
      </w:r>
      <w:r>
        <w:rPr>
          <w:rFonts w:ascii="Times New Roman" w:hAnsi="Times New Roman" w:cs="Times New Roman"/>
          <w:color w:val="auto"/>
        </w:rPr>
        <w:t>活动。</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（三）乙方所有</w:t>
      </w:r>
      <w:r>
        <w:rPr>
          <w:rFonts w:hint="eastAsia" w:ascii="Times New Roman" w:hAnsi="Times New Roman" w:cs="Times New Roman"/>
          <w:color w:val="auto"/>
          <w:lang w:val="en-US" w:eastAsia="zh-CN"/>
        </w:rPr>
        <w:t>技术人员</w:t>
      </w:r>
      <w:r>
        <w:rPr>
          <w:rFonts w:ascii="Times New Roman" w:hAnsi="Times New Roman" w:cs="Times New Roman"/>
          <w:color w:val="auto"/>
        </w:rPr>
        <w:t>，必须熟悉和遵守本条款的各项规定，做到生产与安全工作同时计划、布置、检查、总结和评比。</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（四）乙方应建立健全</w:t>
      </w:r>
      <w:r>
        <w:rPr>
          <w:rFonts w:hint="eastAsia" w:ascii="Times New Roman" w:hAnsi="Times New Roman" w:cs="Times New Roman"/>
          <w:color w:val="auto"/>
          <w:lang w:val="en-US" w:eastAsia="zh-CN"/>
        </w:rPr>
        <w:t>服务人员</w:t>
      </w:r>
      <w:r>
        <w:rPr>
          <w:rFonts w:ascii="Times New Roman" w:hAnsi="Times New Roman" w:cs="Times New Roman"/>
          <w:color w:val="auto"/>
        </w:rPr>
        <w:t>的安全生产管理系统和安全生产责任制。</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（五）乙方</w:t>
      </w:r>
      <w:r>
        <w:rPr>
          <w:rFonts w:hint="eastAsia" w:ascii="Times New Roman" w:hAnsi="Times New Roman" w:cs="Times New Roman"/>
          <w:color w:val="auto"/>
          <w:lang w:val="en-US" w:eastAsia="zh-CN"/>
        </w:rPr>
        <w:t>负责</w:t>
      </w:r>
      <w:r>
        <w:rPr>
          <w:rFonts w:ascii="Times New Roman" w:hAnsi="Times New Roman" w:cs="Times New Roman"/>
          <w:color w:val="auto"/>
        </w:rPr>
        <w:t>人是安全生产的第一责任人</w:t>
      </w:r>
      <w:r>
        <w:rPr>
          <w:rFonts w:hint="eastAsia" w:ascii="Times New Roman" w:hAnsi="Times New Roman" w:cs="Times New Roman"/>
          <w:color w:val="auto"/>
          <w:lang w:eastAsia="zh-CN"/>
        </w:rPr>
        <w:t>，</w:t>
      </w:r>
      <w:r>
        <w:rPr>
          <w:rFonts w:ascii="Times New Roman" w:hAnsi="Times New Roman" w:cs="Times New Roman"/>
          <w:color w:val="auto"/>
        </w:rPr>
        <w:t>负责所有员工的安全及预防事故的发生。并采取保护性措施防止事故发生。</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（六）乙方在任何时候都应采取各种合理的预防措施，防止其员工发生违法、违禁、暴力或妨碍治安的行为。</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（七）乙方</w:t>
      </w:r>
      <w:r>
        <w:rPr>
          <w:rFonts w:hint="eastAsia" w:ascii="Times New Roman" w:hAnsi="Times New Roman" w:cs="Times New Roman"/>
          <w:color w:val="auto"/>
          <w:lang w:val="en-US" w:eastAsia="zh-CN"/>
        </w:rPr>
        <w:t>技术人员</w:t>
      </w:r>
      <w:r>
        <w:rPr>
          <w:rFonts w:ascii="Times New Roman" w:hAnsi="Times New Roman" w:cs="Times New Roman"/>
          <w:color w:val="auto"/>
        </w:rPr>
        <w:t>须接受安全技术教育和培训，熟知和遵守</w:t>
      </w:r>
      <w:r>
        <w:rPr>
          <w:rFonts w:hint="eastAsia" w:ascii="Times New Roman" w:hAnsi="Times New Roman" w:cs="Times New Roman"/>
          <w:color w:val="auto"/>
          <w:lang w:val="en-US" w:eastAsia="zh-CN"/>
        </w:rPr>
        <w:t>维修保养</w:t>
      </w:r>
      <w:r>
        <w:rPr>
          <w:rFonts w:ascii="Times New Roman" w:hAnsi="Times New Roman" w:cs="Times New Roman"/>
          <w:color w:val="auto"/>
        </w:rPr>
        <w:t>的各项安全技术操作规程，定期进行安全技术考核，合格者方准上岗操作。</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（八）</w:t>
      </w:r>
      <w:r>
        <w:rPr>
          <w:rFonts w:hint="eastAsia" w:ascii="Times New Roman" w:hAnsi="Times New Roman" w:cs="Times New Roman"/>
          <w:color w:val="auto"/>
          <w:lang w:val="en-US" w:eastAsia="zh-CN"/>
        </w:rPr>
        <w:t>特种设备</w:t>
      </w:r>
      <w:r>
        <w:rPr>
          <w:rFonts w:ascii="Times New Roman" w:hAnsi="Times New Roman" w:cs="Times New Roman"/>
          <w:color w:val="auto"/>
        </w:rPr>
        <w:t>操作人员上岗，必须按规定穿戴防护用品。乙方现场负责人和安全检查员应随时检查劳动防护用品</w:t>
      </w:r>
      <w:r>
        <w:rPr>
          <w:rFonts w:hint="eastAsia" w:ascii="Times New Roman" w:hAnsi="Times New Roman" w:cs="Times New Roman"/>
          <w:color w:val="auto"/>
          <w:lang w:val="en-US" w:eastAsia="zh-CN"/>
        </w:rPr>
        <w:t>及安全用品</w:t>
      </w:r>
      <w:r>
        <w:rPr>
          <w:rFonts w:ascii="Times New Roman" w:hAnsi="Times New Roman" w:cs="Times New Roman"/>
          <w:color w:val="auto"/>
        </w:rPr>
        <w:t>的穿戴情况，不按规定穿戴防护用品的人员不得上岗。</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（九）乙方配置的所有机具设备和</w:t>
      </w:r>
      <w:r>
        <w:rPr>
          <w:rFonts w:hint="eastAsia" w:ascii="Times New Roman" w:hAnsi="Times New Roman" w:cs="Times New Roman"/>
          <w:color w:val="auto"/>
          <w:lang w:val="en-US" w:eastAsia="zh-CN"/>
        </w:rPr>
        <w:t>交通工具</w:t>
      </w:r>
      <w:r>
        <w:rPr>
          <w:rFonts w:ascii="Times New Roman" w:hAnsi="Times New Roman" w:cs="Times New Roman"/>
          <w:color w:val="auto"/>
        </w:rPr>
        <w:t>均应定期检查，并有</w:t>
      </w:r>
      <w:r>
        <w:rPr>
          <w:rFonts w:hint="eastAsia" w:ascii="Times New Roman" w:hAnsi="Times New Roman" w:cs="Times New Roman"/>
          <w:color w:val="auto"/>
          <w:lang w:val="en-US" w:eastAsia="zh-CN"/>
        </w:rPr>
        <w:t>技术人员及相关负责人</w:t>
      </w:r>
      <w:r>
        <w:rPr>
          <w:rFonts w:ascii="Times New Roman" w:hAnsi="Times New Roman" w:cs="Times New Roman"/>
          <w:color w:val="auto"/>
        </w:rPr>
        <w:t>的签字记录，保证其经常处于完好状态；不合格的机具、设备和劳动保护用品严禁使用。</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（十）</w:t>
      </w:r>
      <w:r>
        <w:rPr>
          <w:rFonts w:hint="eastAsia" w:ascii="Times New Roman" w:hAnsi="Times New Roman" w:cs="Times New Roman"/>
          <w:color w:val="auto"/>
          <w:lang w:val="en-US" w:eastAsia="zh-CN"/>
        </w:rPr>
        <w:t>服务期间</w:t>
      </w:r>
      <w:r>
        <w:rPr>
          <w:rFonts w:ascii="Times New Roman" w:hAnsi="Times New Roman" w:cs="Times New Roman"/>
          <w:color w:val="auto"/>
        </w:rPr>
        <w:t>采用新技术、新工艺、新设备、新材料时，必须</w:t>
      </w:r>
      <w:r>
        <w:rPr>
          <w:rFonts w:hint="eastAsia" w:ascii="Times New Roman" w:hAnsi="Times New Roman" w:cs="Times New Roman"/>
          <w:color w:val="auto"/>
          <w:lang w:val="en-US" w:eastAsia="zh-CN"/>
        </w:rPr>
        <w:t>经</w:t>
      </w:r>
      <w:r>
        <w:rPr>
          <w:rFonts w:ascii="Times New Roman" w:hAnsi="Times New Roman" w:cs="Times New Roman"/>
          <w:color w:val="auto"/>
        </w:rPr>
        <w:t>甲方</w:t>
      </w:r>
      <w:r>
        <w:rPr>
          <w:rFonts w:hint="eastAsia" w:ascii="Times New Roman" w:hAnsi="Times New Roman" w:cs="Times New Roman"/>
          <w:color w:val="auto"/>
          <w:lang w:val="en-US" w:eastAsia="zh-CN"/>
        </w:rPr>
        <w:t>同意方可</w:t>
      </w:r>
      <w:r>
        <w:rPr>
          <w:rFonts w:ascii="Times New Roman" w:hAnsi="Times New Roman" w:cs="Times New Roman"/>
          <w:color w:val="auto"/>
        </w:rPr>
        <w:t>措施。</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（十一）乙方承担</w:t>
      </w:r>
      <w:r>
        <w:rPr>
          <w:rFonts w:hint="eastAsia" w:ascii="Times New Roman" w:hAnsi="Times New Roman" w:cs="Times New Roman"/>
          <w:color w:val="auto"/>
          <w:lang w:val="en-US" w:eastAsia="zh-CN"/>
        </w:rPr>
        <w:t>乙方所有人员</w:t>
      </w:r>
      <w:r>
        <w:rPr>
          <w:rFonts w:ascii="Times New Roman" w:hAnsi="Times New Roman" w:cs="Times New Roman"/>
          <w:color w:val="auto"/>
        </w:rPr>
        <w:t>的安全责任，</w:t>
      </w:r>
      <w:r>
        <w:rPr>
          <w:rFonts w:hint="eastAsia" w:ascii="Times New Roman" w:hAnsi="Times New Roman" w:cs="Times New Roman"/>
          <w:color w:val="auto"/>
          <w:lang w:val="en-US" w:eastAsia="zh-CN"/>
        </w:rPr>
        <w:t>服务</w:t>
      </w:r>
      <w:r>
        <w:rPr>
          <w:rFonts w:ascii="Times New Roman" w:hAnsi="Times New Roman" w:cs="Times New Roman"/>
          <w:color w:val="auto"/>
        </w:rPr>
        <w:t>过程中如发生安全事故，由此造成任何的人身伤亡、罚款、索赔、损失补偿、诉讼费用及其他一切责任均由乙方承担。</w:t>
      </w:r>
    </w:p>
    <w:p>
      <w:pPr>
        <w:spacing w:line="440" w:lineRule="exact"/>
        <w:ind w:firstLine="420"/>
        <w:jc w:val="left"/>
        <w:outlineLvl w:val="2"/>
        <w:rPr>
          <w:rFonts w:ascii="Times New Roman" w:hAnsi="Times New Roman" w:cs="Times New Roman"/>
          <w:color w:val="auto"/>
        </w:rPr>
      </w:pPr>
      <w:r>
        <w:rPr>
          <w:rFonts w:ascii="Times New Roman" w:hAnsi="Times New Roman" w:cs="Times New Roman"/>
          <w:color w:val="auto"/>
        </w:rPr>
        <w:t>第三条 违约责任</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（一）乙方</w:t>
      </w:r>
      <w:r>
        <w:rPr>
          <w:rFonts w:hint="eastAsia" w:ascii="Times New Roman" w:hAnsi="Times New Roman" w:cs="Times New Roman"/>
          <w:color w:val="auto"/>
          <w:lang w:val="en-US" w:eastAsia="zh-CN"/>
        </w:rPr>
        <w:t>技术人员</w:t>
      </w:r>
      <w:r>
        <w:rPr>
          <w:rFonts w:ascii="Times New Roman" w:hAnsi="Times New Roman" w:cs="Times New Roman"/>
          <w:color w:val="auto"/>
        </w:rPr>
        <w:t>具体实施和完成本合同工程的过程中，应采取足够的安全预防措施，以保证</w:t>
      </w:r>
      <w:r>
        <w:rPr>
          <w:rFonts w:hint="eastAsia" w:ascii="Times New Roman" w:hAnsi="Times New Roman" w:cs="Times New Roman"/>
          <w:color w:val="auto"/>
          <w:lang w:val="en-US" w:eastAsia="zh-CN"/>
        </w:rPr>
        <w:t>设备操作安全及涉及本项目服务的交通安全</w:t>
      </w:r>
      <w:r>
        <w:rPr>
          <w:rFonts w:ascii="Times New Roman" w:hAnsi="Times New Roman" w:cs="Times New Roman"/>
          <w:color w:val="auto"/>
        </w:rPr>
        <w:t>。如发生安全事故导致索赔、诉讼以及其他经济损失，应由乙方承担一切责任和费用。</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（二）如因乙方导致的安全事故对甲方名誉、财产造成损失的，甲方将有权解除合同并依法追究责任。</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（三）甲方有权在工作开展过程中查验</w:t>
      </w:r>
      <w:r>
        <w:rPr>
          <w:rFonts w:hint="eastAsia" w:ascii="Times New Roman" w:hAnsi="Times New Roman" w:cs="Times New Roman"/>
          <w:color w:val="auto"/>
          <w:lang w:val="en-US" w:eastAsia="zh-CN"/>
        </w:rPr>
        <w:t>维修</w:t>
      </w:r>
      <w:r>
        <w:rPr>
          <w:rFonts w:ascii="Times New Roman" w:hAnsi="Times New Roman" w:cs="Times New Roman"/>
          <w:color w:val="auto"/>
        </w:rPr>
        <w:t>设备、</w:t>
      </w:r>
      <w:r>
        <w:rPr>
          <w:rFonts w:hint="eastAsia" w:ascii="Times New Roman" w:hAnsi="Times New Roman" w:cs="Times New Roman"/>
          <w:color w:val="auto"/>
          <w:lang w:val="en-US" w:eastAsia="zh-CN"/>
        </w:rPr>
        <w:t>人员证件、维修材料</w:t>
      </w:r>
      <w:r>
        <w:rPr>
          <w:rFonts w:ascii="Times New Roman" w:hAnsi="Times New Roman" w:cs="Times New Roman"/>
          <w:color w:val="auto"/>
        </w:rPr>
        <w:t>，如因乙方原因出现安全事故，乙方未能及时处理，甲方有权使用乙方</w:t>
      </w:r>
      <w:r>
        <w:rPr>
          <w:rFonts w:hint="eastAsia" w:ascii="Times New Roman" w:hAnsi="Times New Roman" w:cs="Times New Roman"/>
          <w:color w:val="auto"/>
          <w:lang w:val="en-US" w:eastAsia="zh-CN"/>
        </w:rPr>
        <w:t>合同款</w:t>
      </w:r>
      <w:r>
        <w:rPr>
          <w:rFonts w:ascii="Times New Roman" w:hAnsi="Times New Roman" w:cs="Times New Roman"/>
          <w:color w:val="auto"/>
        </w:rPr>
        <w:t>优先执行相关合理赔偿，乙方必须服从。</w:t>
      </w: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（四）甲方在检查过程中发现安全隐患，乙方未能及时整改的或屡改屡犯的，视情节轻重甲方有权对乙方处以人民币5000-50000元罚款。</w:t>
      </w:r>
    </w:p>
    <w:p>
      <w:pPr>
        <w:spacing w:line="440" w:lineRule="exact"/>
        <w:ind w:firstLine="420"/>
        <w:jc w:val="left"/>
        <w:rPr>
          <w:rFonts w:ascii="Times New Roman" w:hAnsi="Times New Roman" w:cs="Times New Roman"/>
          <w:color w:val="auto"/>
        </w:rPr>
      </w:pP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 xml:space="preserve">甲方:                              乙方： </w:t>
      </w:r>
    </w:p>
    <w:p>
      <w:pPr>
        <w:spacing w:line="440" w:lineRule="exact"/>
        <w:ind w:firstLine="420"/>
        <w:jc w:val="left"/>
        <w:rPr>
          <w:rFonts w:ascii="Times New Roman" w:hAnsi="Times New Roman" w:cs="Times New Roman"/>
          <w:color w:val="auto"/>
        </w:rPr>
      </w:pP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法定代表人                         法定代表人</w:t>
      </w:r>
    </w:p>
    <w:p>
      <w:pPr>
        <w:spacing w:line="440" w:lineRule="exact"/>
        <w:ind w:firstLine="420"/>
        <w:jc w:val="left"/>
        <w:rPr>
          <w:rFonts w:ascii="Times New Roman" w:hAnsi="Times New Roman" w:cs="Times New Roman"/>
          <w:color w:val="auto"/>
        </w:rPr>
      </w:pPr>
    </w:p>
    <w:p>
      <w:pPr>
        <w:spacing w:line="440" w:lineRule="exact"/>
        <w:ind w:firstLine="420"/>
        <w:jc w:val="left"/>
        <w:rPr>
          <w:rFonts w:ascii="Times New Roman" w:hAnsi="Times New Roman" w:cs="Times New Roman"/>
          <w:color w:val="auto"/>
        </w:rPr>
      </w:pPr>
      <w:r>
        <w:rPr>
          <w:rFonts w:ascii="Times New Roman" w:hAnsi="Times New Roman" w:cs="Times New Roman"/>
          <w:color w:val="auto"/>
        </w:rPr>
        <w:t xml:space="preserve">或其委托代理人： 　            　  或其委托代理人：                              </w:t>
      </w:r>
    </w:p>
    <w:p>
      <w:pPr>
        <w:spacing w:line="440" w:lineRule="exact"/>
        <w:ind w:firstLine="420"/>
        <w:jc w:val="left"/>
        <w:rPr>
          <w:rFonts w:ascii="Times New Roman" w:hAnsi="Times New Roman" w:cs="Times New Roman"/>
          <w:color w:val="auto"/>
        </w:rPr>
      </w:pPr>
    </w:p>
    <w:p>
      <w:pPr>
        <w:spacing w:line="440" w:lineRule="exact"/>
        <w:ind w:firstLine="420"/>
        <w:jc w:val="left"/>
        <w:rPr>
          <w:rFonts w:ascii="Times New Roman" w:hAnsi="Times New Roman" w:cs="Times New Roman"/>
          <w:color w:val="auto"/>
        </w:rPr>
        <w:sectPr>
          <w:pgSz w:w="11906" w:h="16838"/>
          <w:pgMar w:top="1440" w:right="1786" w:bottom="1440" w:left="1300"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cs="Times New Roman"/>
          <w:color w:val="auto"/>
        </w:rPr>
        <w:t xml:space="preserve">签约时间： 　年   月  日　         签约时间： 　年   月  </w:t>
      </w:r>
    </w:p>
    <w:p>
      <w:pPr>
        <w:snapToGrid w:val="0"/>
        <w:spacing w:line="520" w:lineRule="exact"/>
        <w:jc w:val="center"/>
        <w:outlineLvl w:val="1"/>
        <w:rPr>
          <w:rStyle w:val="15"/>
          <w:rFonts w:ascii="仿宋_GB2312" w:hAnsi="仿宋_GB2312" w:eastAsia="仿宋_GB2312" w:cs="仿宋_GB2312"/>
          <w:color w:val="auto"/>
          <w:sz w:val="36"/>
          <w:szCs w:val="36"/>
          <w:shd w:val="clear" w:color="auto" w:fill="FFFFFF"/>
          <w:lang w:eastAsia="zh-CN"/>
        </w:rPr>
      </w:pPr>
      <w:r>
        <w:rPr>
          <w:rFonts w:hint="eastAsia" w:ascii="仿宋_GB2312" w:hAnsi="仿宋_GB2312" w:eastAsia="仿宋_GB2312" w:cs="仿宋_GB2312"/>
          <w:b/>
          <w:color w:val="auto"/>
          <w:sz w:val="32"/>
          <w:szCs w:val="32"/>
        </w:rPr>
        <w:t>三、廉政合同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rPr>
      </w:pP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为抓好物资设备等采购供应中的党风廉政建设，规范、约束采供双方行为，确保双方工作人员廉洁从业，_______（项目名称）的采购人</w:t>
      </w:r>
      <w:r>
        <w:rPr>
          <w:rFonts w:hint="default" w:ascii="Times New Roman" w:hAnsi="Times New Roman" w:cs="Times New Roman"/>
          <w:color w:val="auto"/>
          <w:u w:val="single"/>
          <w:lang w:val="en-US" w:eastAsia="zh-CN"/>
        </w:rPr>
        <w:t xml:space="preserve">        </w:t>
      </w:r>
      <w:r>
        <w:rPr>
          <w:rFonts w:hint="eastAsia"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（采购人名称，以下简称甲方）与该项目的</w:t>
      </w:r>
      <w:r>
        <w:rPr>
          <w:rFonts w:hint="eastAsia" w:ascii="Times New Roman" w:hAnsi="Times New Roman" w:cs="Times New Roman"/>
          <w:color w:val="auto"/>
          <w:lang w:val="en-US" w:eastAsia="zh-CN"/>
        </w:rPr>
        <w:t>服务</w:t>
      </w:r>
      <w:r>
        <w:rPr>
          <w:rFonts w:hint="default" w:ascii="Times New Roman" w:hAnsi="Times New Roman" w:cs="Times New Roman"/>
          <w:color w:val="auto"/>
          <w:lang w:val="en-US" w:eastAsia="zh-CN"/>
        </w:rPr>
        <w:t>商</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服务</w:t>
      </w:r>
      <w:r>
        <w:rPr>
          <w:rFonts w:hint="default" w:ascii="Times New Roman" w:hAnsi="Times New Roman" w:cs="Times New Roman"/>
          <w:color w:val="auto"/>
          <w:lang w:val="en-US" w:eastAsia="zh-CN"/>
        </w:rPr>
        <w:t>商名称，以下简称乙方），特订立如下合同。</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甲乙双方的权利和义务</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rPr>
        <w:t>严格遵守党</w:t>
      </w:r>
      <w:r>
        <w:rPr>
          <w:rFonts w:hint="default" w:ascii="Times New Roman" w:hAnsi="Times New Roman" w:cs="Times New Roman"/>
          <w:color w:val="auto"/>
          <w:lang w:val="en-US" w:eastAsia="zh-CN"/>
        </w:rPr>
        <w:t>的政策</w:t>
      </w:r>
      <w:r>
        <w:rPr>
          <w:rFonts w:hint="default" w:ascii="Times New Roman" w:hAnsi="Times New Roman" w:cs="Times New Roman"/>
          <w:color w:val="auto"/>
        </w:rPr>
        <w:t>和国家有关法律</w:t>
      </w:r>
      <w:r>
        <w:rPr>
          <w:rFonts w:hint="default" w:ascii="Times New Roman" w:hAnsi="Times New Roman" w:cs="Times New Roman"/>
          <w:color w:val="auto"/>
          <w:lang w:val="en-US" w:eastAsia="zh-CN"/>
        </w:rPr>
        <w:t>法规的</w:t>
      </w:r>
      <w:r>
        <w:rPr>
          <w:rFonts w:hint="default" w:ascii="Times New Roman" w:hAnsi="Times New Roman" w:cs="Times New Roman"/>
          <w:color w:val="auto"/>
        </w:rPr>
        <w:t>有关规定。</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严格执行</w:t>
      </w:r>
      <w:r>
        <w:rPr>
          <w:rFonts w:hint="default" w:ascii="Times New Roman" w:hAnsi="Times New Roman" w:cs="Times New Roman"/>
          <w:color w:val="auto"/>
          <w:u w:val="single"/>
        </w:rPr>
        <w:t xml:space="preserve">     </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u w:val="single"/>
        </w:rPr>
        <w:t xml:space="preserve"> </w:t>
      </w:r>
      <w:r>
        <w:rPr>
          <w:rFonts w:hint="default" w:ascii="Times New Roman" w:hAnsi="Times New Roman" w:cs="Times New Roman"/>
          <w:color w:val="auto"/>
          <w:lang w:eastAsia="zh-CN"/>
        </w:rPr>
        <w:t>（</w:t>
      </w:r>
      <w:r>
        <w:rPr>
          <w:rFonts w:hint="default" w:ascii="Times New Roman" w:hAnsi="Times New Roman" w:cs="Times New Roman"/>
          <w:color w:val="auto"/>
        </w:rPr>
        <w:t>合同文件</w:t>
      </w:r>
      <w:r>
        <w:rPr>
          <w:rFonts w:hint="default" w:ascii="Times New Roman" w:hAnsi="Times New Roman" w:cs="Times New Roman"/>
          <w:color w:val="auto"/>
          <w:lang w:val="en-US" w:eastAsia="zh-CN"/>
        </w:rPr>
        <w:t>名称</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合同文件</w:t>
      </w:r>
      <w:r>
        <w:rPr>
          <w:rFonts w:hint="default" w:ascii="Times New Roman" w:hAnsi="Times New Roman" w:cs="Times New Roman"/>
          <w:color w:val="auto"/>
        </w:rPr>
        <w:t>，自觉按合同办事。</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双方的业务活动坚持公开、公正、诚信、透明的原则</w:t>
      </w:r>
      <w:r>
        <w:rPr>
          <w:rFonts w:hint="default" w:ascii="Times New Roman" w:hAnsi="Times New Roman" w:cs="Times New Roman"/>
          <w:color w:val="auto"/>
          <w:lang w:eastAsia="zh-CN"/>
        </w:rPr>
        <w:t>（</w:t>
      </w:r>
      <w:r>
        <w:rPr>
          <w:rFonts w:hint="default" w:ascii="Times New Roman" w:hAnsi="Times New Roman" w:cs="Times New Roman"/>
          <w:color w:val="auto"/>
        </w:rPr>
        <w:t>法律认定的商业秘密和合同文件另有规定除外</w:t>
      </w:r>
      <w:r>
        <w:rPr>
          <w:rFonts w:hint="default" w:ascii="Times New Roman" w:hAnsi="Times New Roman" w:cs="Times New Roman"/>
          <w:color w:val="auto"/>
          <w:lang w:eastAsia="zh-CN"/>
        </w:rPr>
        <w:t>）</w:t>
      </w:r>
      <w:r>
        <w:rPr>
          <w:rFonts w:hint="default" w:ascii="Times New Roman" w:hAnsi="Times New Roman" w:cs="Times New Roman"/>
          <w:color w:val="auto"/>
        </w:rPr>
        <w:t>，不得损害国家和集体利益。</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w:t>
      </w:r>
      <w:r>
        <w:rPr>
          <w:rFonts w:hint="default" w:ascii="Times New Roman" w:hAnsi="Times New Roman" w:cs="Times New Roman"/>
          <w:color w:val="auto"/>
        </w:rPr>
        <w:t>建立健全廉政制度，开展廉政教育和廉洁文化建设</w:t>
      </w:r>
      <w:r>
        <w:rPr>
          <w:rFonts w:hint="default" w:ascii="Times New Roman" w:hAnsi="Times New Roman" w:cs="Times New Roman"/>
          <w:color w:val="auto"/>
          <w:lang w:eastAsia="zh-CN"/>
        </w:rPr>
        <w:t>，</w:t>
      </w:r>
      <w:r>
        <w:rPr>
          <w:rFonts w:hint="default" w:ascii="Times New Roman" w:hAnsi="Times New Roman" w:cs="Times New Roman"/>
          <w:color w:val="auto"/>
        </w:rPr>
        <w:t>公布举报电话，监督并认真查处</w:t>
      </w:r>
      <w:r>
        <w:rPr>
          <w:rFonts w:hint="default" w:ascii="Times New Roman" w:hAnsi="Times New Roman" w:cs="Times New Roman"/>
          <w:color w:val="auto"/>
          <w:lang w:val="en-US" w:eastAsia="zh-CN"/>
        </w:rPr>
        <w:t>违规</w:t>
      </w:r>
      <w:r>
        <w:rPr>
          <w:rFonts w:hint="default" w:ascii="Times New Roman" w:hAnsi="Times New Roman" w:cs="Times New Roman"/>
          <w:color w:val="auto"/>
        </w:rPr>
        <w:t>违纪违法行为。</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5</w:t>
      </w:r>
      <w:r>
        <w:rPr>
          <w:rFonts w:hint="default" w:ascii="Times New Roman" w:hAnsi="Times New Roman" w:cs="Times New Roman"/>
          <w:color w:val="auto"/>
          <w:lang w:eastAsia="zh-CN"/>
        </w:rPr>
        <w:t>）</w:t>
      </w:r>
      <w:r>
        <w:rPr>
          <w:rFonts w:hint="default" w:ascii="Times New Roman" w:hAnsi="Times New Roman" w:cs="Times New Roman"/>
          <w:color w:val="auto"/>
        </w:rPr>
        <w:t>发现对方在业务活动中有违反廉政规定的行为，有及时提醒对方纠正的权利和义务。</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6</w:t>
      </w:r>
      <w:r>
        <w:rPr>
          <w:rFonts w:hint="default" w:ascii="Times New Roman" w:hAnsi="Times New Roman" w:cs="Times New Roman"/>
          <w:color w:val="auto"/>
          <w:lang w:eastAsia="zh-CN"/>
        </w:rPr>
        <w:t>）</w:t>
      </w:r>
      <w:r>
        <w:rPr>
          <w:rFonts w:hint="default" w:ascii="Times New Roman" w:hAnsi="Times New Roman" w:cs="Times New Roman"/>
          <w:color w:val="auto"/>
        </w:rPr>
        <w:t>发现对方严重违反本合同义务条款的行为，有向有关部门举报、建议给予处理并要求告知处理结果的权利。</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2.甲方的义务</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（1）甲方及其工作人员不得利用职务之便索要或接受乙方的礼品、礼金、消费卡和有价证券、股权、其他金融产品等财物。</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（2）甲方及其工作人员不得在利用职务之便为乙方谋取利益之前或之后，约定在其离职后收受乙方财物，并在离职后收受。</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（3）甲方及其工作人员不得在乙方报销应由甲方或个人支付的费用等。</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（4）甲方及其工作人员不得要求或者接受乙方可能影响公正执行公务的宴请以及旅游、健身、娱乐等活动安排，不得要求和接受乙方提供的交通工具、通讯工具、高档办公用品等。</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（6）甲方及其工作人员不得要求乙方购买合同规定外的材料和设备。    </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（7）甲方及其工作人员不得有其他可能影响廉洁从业的行为。</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3.乙方义务</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（1）乙方及其工作人员不得以任何形式向甲方及其工作人员行贿或馈赠礼品、礼金、消费卡和有价证券、股权、其他金融产品等财物，以及回扣、好处费、感谢费等。</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乙方及其工作人员不得与甲方及其工作人员约定，甲方及其工作人员</w:t>
      </w:r>
      <w:r>
        <w:rPr>
          <w:rFonts w:hint="default" w:ascii="Times New Roman" w:hAnsi="Times New Roman" w:cs="Times New Roman"/>
          <w:color w:val="auto"/>
          <w:lang w:eastAsia="zh-CN"/>
        </w:rPr>
        <w:t>利用职务之便为乙方谋取利益，</w:t>
      </w:r>
      <w:r>
        <w:rPr>
          <w:rFonts w:hint="default" w:ascii="Times New Roman" w:hAnsi="Times New Roman" w:cs="Times New Roman"/>
          <w:color w:val="auto"/>
          <w:lang w:val="en-US" w:eastAsia="zh-CN"/>
        </w:rPr>
        <w:t>乙方</w:t>
      </w:r>
      <w:r>
        <w:rPr>
          <w:rFonts w:hint="default" w:ascii="Times New Roman" w:hAnsi="Times New Roman" w:cs="Times New Roman"/>
          <w:color w:val="auto"/>
          <w:lang w:eastAsia="zh-CN"/>
        </w:rPr>
        <w:t>在其离职后</w:t>
      </w:r>
      <w:r>
        <w:rPr>
          <w:rFonts w:hint="default" w:ascii="Times New Roman" w:hAnsi="Times New Roman" w:cs="Times New Roman"/>
          <w:color w:val="auto"/>
          <w:lang w:val="en-US" w:eastAsia="zh-CN"/>
        </w:rPr>
        <w:t>给予</w:t>
      </w:r>
      <w:r>
        <w:rPr>
          <w:rFonts w:hint="default" w:ascii="Times New Roman" w:hAnsi="Times New Roman" w:cs="Times New Roman"/>
          <w:color w:val="auto"/>
          <w:lang w:eastAsia="zh-CN"/>
        </w:rPr>
        <w:t>财物。</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（3）乙方不得以任何名义为甲方及其工作人员报销由甲方单位或个人支付的任何费用。</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（4）乙方及其工作人员不得以任何理由邀请甲方工作人员参与可能影响公正执行公务的宴请以及旅游、健身、娱乐等活动。不得为甲方单位和个人购置或提供通讯工具、交通工具和高档办公用品等。</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（5）乙方及其工作人员不得为甲方工作人员住房装修、婚丧嫁娶、出国出境、旅游等提供方便；不得为甲方工作人员的特定关系人以安排工作为名，使其不实际工作却获取薪酬。</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w:t>
      </w:r>
      <w:r>
        <w:rPr>
          <w:rFonts w:hint="eastAsia" w:ascii="Times New Roman" w:hAnsi="Times New Roman" w:cs="Times New Roman"/>
          <w:color w:val="auto"/>
          <w:lang w:val="en-US" w:eastAsia="zh-CN"/>
        </w:rPr>
        <w:t>乙</w:t>
      </w:r>
      <w:r>
        <w:rPr>
          <w:rFonts w:hint="default" w:ascii="Times New Roman" w:hAnsi="Times New Roman" w:cs="Times New Roman"/>
          <w:color w:val="auto"/>
          <w:lang w:val="en-US" w:eastAsia="zh-CN"/>
        </w:rPr>
        <w:t>方及其工作人员不得有其他可能影响廉洁从业的行为。</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4.违约责任</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（1）甲方及其工作人员违反本合同第1、2条，按管理权限，依据有关规定给予党纪政务处分和组织处理；涉嫌犯罪的，移交司法机关追究刑事责任；给乙方单位造成经济损失的，应予以赔偿。</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（2）乙方及其工作人员违反本合同第1、3条，按管理权限，依据有关规定，给予相关处理；给甲方单位造成经济损失的，应予以赔偿。</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5.本合同有效期为甲乙双方签署之日起至该</w:t>
      </w:r>
      <w:r>
        <w:rPr>
          <w:rFonts w:hint="eastAsia" w:ascii="Times New Roman" w:hAnsi="Times New Roman" w:cs="Times New Roman"/>
          <w:color w:val="auto"/>
          <w:lang w:val="en-US" w:eastAsia="zh-CN"/>
        </w:rPr>
        <w:t>服务</w:t>
      </w:r>
      <w:r>
        <w:rPr>
          <w:rFonts w:hint="default" w:ascii="Times New Roman" w:hAnsi="Times New Roman" w:cs="Times New Roman"/>
          <w:color w:val="auto"/>
          <w:lang w:val="en-US" w:eastAsia="zh-CN"/>
        </w:rPr>
        <w:t>合同履行完毕后止。</w:t>
      </w:r>
    </w:p>
    <w:p>
      <w:pPr>
        <w:spacing w:line="440" w:lineRule="exact"/>
        <w:ind w:firstLine="42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6.本合同作为</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（合同文件名称）的附件，与</w:t>
      </w:r>
      <w:r>
        <w:rPr>
          <w:rFonts w:hint="eastAsia" w:ascii="Times New Roman" w:hAnsi="Times New Roman" w:cs="Times New Roman"/>
          <w:color w:val="auto"/>
          <w:lang w:val="en-US" w:eastAsia="zh-CN"/>
        </w:rPr>
        <w:t>采购</w:t>
      </w:r>
      <w:r>
        <w:rPr>
          <w:rFonts w:hint="default" w:ascii="Times New Roman" w:hAnsi="Times New Roman" w:cs="Times New Roman"/>
          <w:color w:val="auto"/>
          <w:lang w:val="en-US" w:eastAsia="zh-CN"/>
        </w:rPr>
        <w:t>合同具有同等的法律效力，经合同双方签署立即生效。</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lang w:val="en-US" w:eastAsia="zh-CN"/>
        </w:rPr>
        <w:t>7.本合同一式</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份，由甲、乙双方各执</w:t>
      </w:r>
      <w:r>
        <w:rPr>
          <w:rFonts w:hint="default" w:ascii="Times New Roman" w:hAnsi="Times New Roman" w:cs="Times New Roman"/>
          <w:color w:val="auto"/>
          <w:u w:val="single"/>
          <w:lang w:val="en-US" w:eastAsia="zh-CN"/>
        </w:rPr>
        <w:t xml:space="preserve">    </w:t>
      </w:r>
      <w:r>
        <w:rPr>
          <w:rFonts w:hint="default" w:ascii="Times New Roman" w:hAnsi="Times New Roman" w:cs="Times New Roman"/>
          <w:color w:val="auto"/>
          <w:lang w:val="en-US" w:eastAsia="zh-CN"/>
        </w:rPr>
        <w:t>份，送交双方监督单位各    份。</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rPr>
        <w:t>甲方单位：（盖章）              乙方单位：（盖章）</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rPr>
        <w:t>法定代表人：                    法定代表人：</w:t>
      </w:r>
    </w:p>
    <w:p>
      <w:pPr>
        <w:spacing w:line="440" w:lineRule="exact"/>
        <w:ind w:firstLine="420"/>
        <w:jc w:val="left"/>
        <w:rPr>
          <w:rFonts w:hint="default" w:ascii="Times New Roman" w:hAnsi="Times New Roman" w:cs="Times New Roman"/>
          <w:color w:val="auto"/>
        </w:rPr>
      </w:pPr>
      <w:r>
        <w:rPr>
          <w:rFonts w:hint="default" w:ascii="Times New Roman" w:hAnsi="Times New Roman" w:cs="Times New Roman"/>
          <w:color w:val="auto"/>
        </w:rPr>
        <w:t xml:space="preserve">或其授权的代理人：              或其授权的代理人：          </w:t>
      </w:r>
    </w:p>
    <w:p>
      <w:pPr>
        <w:spacing w:line="440" w:lineRule="exact"/>
        <w:ind w:firstLine="420"/>
        <w:jc w:val="left"/>
        <w:rPr>
          <w:rFonts w:ascii="Times New Roman" w:hAnsi="Times New Roman" w:cs="Times New Roman"/>
          <w:color w:val="auto"/>
        </w:rPr>
      </w:pPr>
      <w:r>
        <w:rPr>
          <w:rFonts w:hint="default" w:ascii="Times New Roman" w:hAnsi="Times New Roman" w:cs="Times New Roman"/>
          <w:color w:val="auto"/>
        </w:rPr>
        <w:t>年   月   日                    年   月   日</w:t>
      </w:r>
    </w:p>
    <w:p>
      <w:pPr>
        <w:spacing w:line="440" w:lineRule="exact"/>
        <w:rPr>
          <w:rFonts w:ascii="Times New Roman" w:hAnsi="Times New Roman" w:cs="Times New Roman"/>
          <w:color w:val="auto"/>
          <w:sz w:val="18"/>
          <w:szCs w:val="21"/>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ind w:left="402"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采购清单</w:t>
      </w:r>
      <w:bookmarkEnd w:id="134"/>
    </w:p>
    <w:p/>
    <w:p/>
    <w:p/>
    <w:p/>
    <w:p/>
    <w:p/>
    <w:p/>
    <w:p/>
    <w:p/>
    <w:p/>
    <w:p/>
    <w:p/>
    <w:p/>
    <w:p/>
    <w:p/>
    <w:p/>
    <w:p/>
    <w:p/>
    <w:p/>
    <w:p/>
    <w:p/>
    <w:p/>
    <w:p/>
    <w:p/>
    <w:p/>
    <w:tbl>
      <w:tblPr>
        <w:tblStyle w:val="12"/>
        <w:tblpPr w:leftFromText="180" w:rightFromText="180" w:vertAnchor="text" w:horzAnchor="page" w:tblpX="1520" w:tblpY="141"/>
        <w:tblOverlap w:val="never"/>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878"/>
        <w:gridCol w:w="1977"/>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 w:type="dxa"/>
            <w:noWrap/>
            <w:vAlign w:val="center"/>
          </w:tcPr>
          <w:p>
            <w:pPr>
              <w:widowControl/>
              <w:jc w:val="center"/>
              <w:rPr>
                <w:rFonts w:ascii="宋体" w:hAnsi="宋体" w:cs="宋体"/>
                <w:b/>
                <w:bCs/>
                <w:color w:val="000000"/>
                <w:kern w:val="0"/>
                <w:sz w:val="22"/>
                <w:szCs w:val="22"/>
              </w:rPr>
            </w:pPr>
            <w:bookmarkStart w:id="135" w:name="_Toc27766_WPSOffice_Level1"/>
            <w:r>
              <w:rPr>
                <w:rFonts w:hint="eastAsia" w:ascii="宋体" w:hAnsi="宋体" w:cs="宋体"/>
                <w:b/>
                <w:bCs/>
                <w:color w:val="000000"/>
                <w:kern w:val="0"/>
                <w:sz w:val="22"/>
                <w:szCs w:val="22"/>
              </w:rPr>
              <w:t>一</w:t>
            </w:r>
          </w:p>
        </w:tc>
        <w:tc>
          <w:tcPr>
            <w:tcW w:w="287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文件打印、扫描、装订</w:t>
            </w:r>
          </w:p>
        </w:tc>
        <w:tc>
          <w:tcPr>
            <w:tcW w:w="1977"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06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restart"/>
            <w:noWrap/>
            <w:vAlign w:val="center"/>
          </w:tcPr>
          <w:p>
            <w:pPr>
              <w:widowControl/>
              <w:jc w:val="center"/>
              <w:rPr>
                <w:rFonts w:hint="eastAsia" w:eastAsia="宋体"/>
                <w:lang w:val="en-US" w:eastAsia="zh-CN"/>
              </w:rPr>
            </w:pPr>
            <w:r>
              <w:rPr>
                <w:rFonts w:hint="eastAsia"/>
                <w:lang w:val="en-US" w:eastAsia="zh-CN"/>
              </w:rPr>
              <w:t>1</w:t>
            </w:r>
          </w:p>
        </w:tc>
        <w:tc>
          <w:tcPr>
            <w:tcW w:w="2878" w:type="dxa"/>
            <w:vMerge w:val="restart"/>
            <w:noWrap/>
            <w:vAlign w:val="center"/>
          </w:tcPr>
          <w:p>
            <w:pPr>
              <w:widowControl/>
              <w:jc w:val="left"/>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黑白生产打印</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70克</w:t>
            </w:r>
            <w:r>
              <w:rPr>
                <w:rFonts w:hint="eastAsia" w:ascii="宋体" w:hAnsi="宋体" w:cs="宋体"/>
                <w:color w:val="000000"/>
                <w:kern w:val="0"/>
                <w:sz w:val="22"/>
                <w:szCs w:val="22"/>
                <w:lang w:val="en-US" w:eastAsia="zh-CN"/>
              </w:rPr>
              <w:t>进口纸、排版修版</w:t>
            </w:r>
            <w:r>
              <w:rPr>
                <w:rFonts w:hint="eastAsia" w:ascii="宋体" w:hAnsi="宋体" w:cs="宋体"/>
                <w:color w:val="000000"/>
                <w:kern w:val="0"/>
                <w:sz w:val="22"/>
                <w:szCs w:val="22"/>
                <w:lang w:eastAsia="zh-CN"/>
              </w:rPr>
              <w:t>）</w:t>
            </w:r>
          </w:p>
        </w:tc>
        <w:tc>
          <w:tcPr>
            <w:tcW w:w="1977"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eastAsia="宋体"/>
                <w:lang w:val="en-US" w:eastAsia="zh-CN"/>
              </w:rPr>
            </w:pPr>
          </w:p>
        </w:tc>
        <w:tc>
          <w:tcPr>
            <w:tcW w:w="2878" w:type="dxa"/>
            <w:vMerge w:val="continue"/>
            <w:noWrap/>
            <w:vAlign w:val="center"/>
          </w:tcPr>
          <w:p>
            <w:pPr>
              <w:widowControl/>
              <w:jc w:val="left"/>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ascii="宋体" w:hAnsi="宋体" w:eastAsia="宋体" w:cs="宋体"/>
                <w:color w:val="000000"/>
                <w:kern w:val="0"/>
                <w:sz w:val="22"/>
                <w:szCs w:val="22"/>
                <w:lang w:val="en-US" w:eastAsia="zh-CN"/>
              </w:rPr>
            </w:pPr>
          </w:p>
        </w:tc>
        <w:tc>
          <w:tcPr>
            <w:tcW w:w="2878" w:type="dxa"/>
            <w:vMerge w:val="restart"/>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b/>
                <w:bCs/>
                <w:color w:val="000000"/>
                <w:kern w:val="0"/>
                <w:sz w:val="22"/>
                <w:szCs w:val="22"/>
                <w:lang w:val="en-US" w:eastAsia="zh-CN"/>
              </w:rPr>
              <w:t>黑白生产复印</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70克</w:t>
            </w:r>
            <w:r>
              <w:rPr>
                <w:rFonts w:hint="eastAsia" w:ascii="宋体" w:hAnsi="宋体" w:cs="宋体"/>
                <w:color w:val="000000"/>
                <w:kern w:val="0"/>
                <w:sz w:val="22"/>
                <w:szCs w:val="22"/>
                <w:lang w:val="en-US" w:eastAsia="zh-CN"/>
              </w:rPr>
              <w:t>进口纸</w:t>
            </w:r>
            <w:r>
              <w:rPr>
                <w:rFonts w:hint="eastAsia" w:ascii="宋体" w:hAnsi="宋体" w:cs="宋体"/>
                <w:color w:val="000000"/>
                <w:kern w:val="0"/>
                <w:sz w:val="22"/>
                <w:szCs w:val="22"/>
                <w:lang w:eastAsia="zh-CN"/>
              </w:rPr>
              <w:t>）</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ascii="宋体" w:hAnsi="宋体" w:eastAsia="宋体" w:cs="宋体"/>
                <w:color w:val="000000"/>
                <w:kern w:val="0"/>
                <w:sz w:val="22"/>
                <w:szCs w:val="22"/>
                <w:lang w:val="en-US" w:eastAsia="zh-CN"/>
              </w:rPr>
            </w:pPr>
          </w:p>
        </w:tc>
        <w:tc>
          <w:tcPr>
            <w:tcW w:w="2878" w:type="dxa"/>
            <w:vMerge w:val="continue"/>
            <w:noWrap/>
            <w:vAlign w:val="center"/>
          </w:tcPr>
          <w:p>
            <w:pPr>
              <w:widowControl/>
              <w:jc w:val="left"/>
              <w:rPr>
                <w:rFonts w:hint="eastAsia" w:ascii="宋体" w:hAnsi="宋体" w:cs="宋体"/>
                <w:color w:val="000000"/>
                <w:kern w:val="0"/>
                <w:sz w:val="22"/>
                <w:szCs w:val="22"/>
                <w:lang w:val="en-US"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eastAsia" w:ascii="宋体" w:hAnsi="宋体" w:eastAsia="宋体" w:cs="宋体"/>
                <w:color w:val="000000"/>
                <w:kern w:val="0"/>
                <w:sz w:val="22"/>
                <w:szCs w:val="22"/>
                <w:lang w:val="en-US" w:eastAsia="zh-CN"/>
              </w:rPr>
            </w:pPr>
          </w:p>
        </w:tc>
        <w:tc>
          <w:tcPr>
            <w:tcW w:w="2878" w:type="dxa"/>
            <w:vMerge w:val="restart"/>
            <w:noWrap/>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b/>
                <w:bCs/>
                <w:color w:val="000000"/>
                <w:kern w:val="0"/>
                <w:sz w:val="22"/>
                <w:szCs w:val="22"/>
                <w:lang w:val="en-US" w:eastAsia="zh-CN"/>
              </w:rPr>
              <w:t>彩色生产打印</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rPr>
              <w:t>70克</w:t>
            </w:r>
            <w:r>
              <w:rPr>
                <w:rFonts w:hint="eastAsia" w:ascii="宋体" w:hAnsi="宋体" w:cs="宋体"/>
                <w:color w:val="000000"/>
                <w:kern w:val="0"/>
                <w:sz w:val="22"/>
                <w:szCs w:val="22"/>
                <w:lang w:val="en-US" w:eastAsia="zh-CN"/>
              </w:rPr>
              <w:t>进口纸、排版修版</w:t>
            </w:r>
            <w:r>
              <w:rPr>
                <w:rFonts w:hint="eastAsia" w:ascii="宋体" w:hAnsi="宋体" w:cs="宋体"/>
                <w:color w:val="000000"/>
                <w:kern w:val="0"/>
                <w:sz w:val="22"/>
                <w:szCs w:val="22"/>
                <w:lang w:eastAsia="zh-CN"/>
              </w:rPr>
              <w:t>）</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default" w:ascii="宋体" w:hAnsi="宋体" w:eastAsia="宋体" w:cs="宋体"/>
                <w:color w:val="000000"/>
                <w:kern w:val="0"/>
                <w:sz w:val="22"/>
                <w:szCs w:val="22"/>
                <w:lang w:val="en-US" w:eastAsia="zh-CN"/>
              </w:rPr>
            </w:pPr>
          </w:p>
        </w:tc>
        <w:tc>
          <w:tcPr>
            <w:tcW w:w="2878" w:type="dxa"/>
            <w:vMerge w:val="continue"/>
            <w:noWrap/>
            <w:vAlign w:val="center"/>
          </w:tcPr>
          <w:p>
            <w:pPr>
              <w:widowControl/>
              <w:jc w:val="left"/>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restart"/>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878" w:type="dxa"/>
            <w:vMerge w:val="restart"/>
            <w:noWrap/>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扫描（高清及调整）</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hint="default" w:ascii="宋体" w:hAnsi="宋体" w:eastAsia="宋体" w:cs="宋体"/>
                <w:color w:val="000000"/>
                <w:kern w:val="0"/>
                <w:sz w:val="22"/>
                <w:szCs w:val="22"/>
                <w:lang w:val="en-US" w:eastAsia="zh-CN"/>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面</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restart"/>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2878" w:type="dxa"/>
            <w:vMerge w:val="restart"/>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胶装</w:t>
            </w:r>
            <w:r>
              <w:rPr>
                <w:rFonts w:hint="eastAsia" w:ascii="宋体" w:hAnsi="宋体" w:cs="宋体"/>
                <w:color w:val="000000"/>
                <w:kern w:val="0"/>
                <w:sz w:val="22"/>
                <w:szCs w:val="22"/>
                <w:lang w:val="en-US" w:eastAsia="zh-CN"/>
              </w:rPr>
              <w:t>（平纹封面纸、200克铜板纸黑白单面打印）</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restart"/>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b/>
                <w:bCs/>
                <w:color w:val="000000"/>
                <w:kern w:val="0"/>
                <w:sz w:val="22"/>
                <w:szCs w:val="22"/>
                <w:lang w:val="en-US" w:eastAsia="zh-CN"/>
              </w:rPr>
              <w:t>胶装</w:t>
            </w:r>
            <w:r>
              <w:rPr>
                <w:rFonts w:hint="eastAsia" w:ascii="宋体" w:hAnsi="宋体" w:cs="宋体"/>
                <w:color w:val="000000"/>
                <w:kern w:val="0"/>
                <w:sz w:val="22"/>
                <w:szCs w:val="22"/>
                <w:lang w:val="en-US" w:eastAsia="zh-CN"/>
              </w:rPr>
              <w:t>（平纹封面纸、200克铜板纸双面黑白打印）</w:t>
            </w:r>
          </w:p>
        </w:tc>
        <w:tc>
          <w:tcPr>
            <w:tcW w:w="1977" w:type="dxa"/>
            <w:noWrap/>
            <w:vAlign w:val="center"/>
          </w:tcPr>
          <w:p>
            <w:pPr>
              <w:widowControl/>
              <w:jc w:val="center"/>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cs="宋体"/>
                <w:b w:val="0"/>
                <w:bCs w:val="0"/>
                <w:color w:val="000000"/>
                <w:kern w:val="0"/>
                <w:sz w:val="22"/>
                <w:szCs w:val="22"/>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restart"/>
            <w:noWrap/>
            <w:vAlign w:val="center"/>
          </w:tcPr>
          <w:p>
            <w:pPr>
              <w:widowControl/>
              <w:jc w:val="left"/>
              <w:rPr>
                <w:rFonts w:hint="eastAsia" w:ascii="宋体" w:hAnsi="宋体" w:cs="宋体"/>
                <w:color w:val="000000"/>
                <w:kern w:val="0"/>
                <w:sz w:val="22"/>
                <w:szCs w:val="22"/>
                <w:lang w:eastAsia="zh-CN"/>
              </w:rPr>
            </w:pPr>
            <w:r>
              <w:rPr>
                <w:rFonts w:hint="eastAsia" w:ascii="宋体" w:hAnsi="宋体" w:cs="宋体"/>
                <w:b/>
                <w:bCs/>
                <w:color w:val="000000"/>
                <w:kern w:val="0"/>
                <w:sz w:val="22"/>
                <w:szCs w:val="22"/>
                <w:lang w:val="en-US" w:eastAsia="zh-CN"/>
              </w:rPr>
              <w:t>彩装</w:t>
            </w:r>
            <w:r>
              <w:rPr>
                <w:rFonts w:hint="eastAsia" w:ascii="宋体" w:hAnsi="宋体" w:cs="宋体"/>
                <w:color w:val="000000"/>
                <w:kern w:val="0"/>
                <w:sz w:val="22"/>
                <w:szCs w:val="22"/>
                <w:lang w:val="en-US" w:eastAsia="zh-CN"/>
              </w:rPr>
              <w:t>（平纹封面纸、200克铜板打印）</w:t>
            </w: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eastAsia="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vMerge w:val="continue"/>
            <w:noWrap/>
            <w:vAlign w:val="center"/>
          </w:tcPr>
          <w:p>
            <w:pPr>
              <w:widowControl/>
              <w:jc w:val="center"/>
              <w:rPr>
                <w:rFonts w:ascii="宋体" w:hAnsi="宋体" w:cs="宋体"/>
                <w:color w:val="000000"/>
                <w:kern w:val="0"/>
                <w:sz w:val="22"/>
                <w:szCs w:val="22"/>
              </w:rPr>
            </w:pPr>
          </w:p>
        </w:tc>
        <w:tc>
          <w:tcPr>
            <w:tcW w:w="2878" w:type="dxa"/>
            <w:vMerge w:val="continue"/>
            <w:noWrap/>
            <w:vAlign w:val="center"/>
          </w:tcPr>
          <w:p>
            <w:pPr>
              <w:widowControl/>
              <w:jc w:val="center"/>
              <w:rPr>
                <w:rFonts w:hint="eastAsia" w:ascii="宋体" w:hAnsi="宋体" w:cs="宋体"/>
                <w:color w:val="000000"/>
                <w:kern w:val="0"/>
                <w:sz w:val="22"/>
                <w:szCs w:val="22"/>
                <w:lang w:eastAsia="zh-CN"/>
              </w:rPr>
            </w:pPr>
          </w:p>
        </w:tc>
        <w:tc>
          <w:tcPr>
            <w:tcW w:w="1977"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lang w:val="en-US" w:eastAsia="zh-CN"/>
              </w:rPr>
              <w:t>本</w:t>
            </w:r>
          </w:p>
        </w:tc>
        <w:tc>
          <w:tcPr>
            <w:tcW w:w="3068" w:type="dxa"/>
            <w:noWrap/>
            <w:vAlign w:val="center"/>
          </w:tcPr>
          <w:p>
            <w:pPr>
              <w:widowControl/>
              <w:jc w:val="center"/>
              <w:rPr>
                <w:rFonts w:hint="eastAsia" w:ascii="宋体" w:hAnsi="宋体" w:cs="宋体"/>
                <w:b w:val="0"/>
                <w:bCs w:val="0"/>
                <w:color w:val="000000"/>
                <w:kern w:val="0"/>
                <w:sz w:val="22"/>
                <w:szCs w:val="22"/>
                <w:lang w:val="en-US" w:eastAsia="zh-CN" w:bidi="ar-SA"/>
              </w:rPr>
            </w:pPr>
            <w:r>
              <w:rPr>
                <w:rFonts w:hint="eastAsia" w:ascii="宋体" w:hAnsi="宋体" w:cs="宋体"/>
                <w:b w:val="0"/>
                <w:bCs w:val="0"/>
                <w:color w:val="000000"/>
                <w:kern w:val="0"/>
                <w:sz w:val="22"/>
                <w:szCs w:val="22"/>
              </w:rPr>
              <w:t>A</w:t>
            </w:r>
            <w:r>
              <w:rPr>
                <w:rFonts w:hint="eastAsia" w:ascii="宋体" w:hAnsi="宋体" w:cs="宋体"/>
                <w:b w:val="0"/>
                <w:bCs w:val="0"/>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4</w:t>
            </w:r>
          </w:p>
        </w:tc>
        <w:tc>
          <w:tcPr>
            <w:tcW w:w="2878" w:type="dxa"/>
            <w:noWrap/>
            <w:vAlign w:val="center"/>
          </w:tcPr>
          <w:p>
            <w:pPr>
              <w:widowControl/>
              <w:jc w:val="left"/>
              <w:rPr>
                <w:rFonts w:hint="eastAsia" w:ascii="宋体" w:hAnsi="宋体" w:cs="宋体"/>
                <w:color w:val="000000"/>
                <w:kern w:val="0"/>
                <w:sz w:val="22"/>
                <w:szCs w:val="22"/>
              </w:rPr>
            </w:pPr>
            <w:r>
              <w:rPr>
                <w:rFonts w:hint="eastAsia" w:ascii="宋体" w:hAnsi="宋体" w:cs="宋体"/>
                <w:b/>
                <w:bCs/>
                <w:color w:val="000000"/>
                <w:kern w:val="0"/>
                <w:sz w:val="22"/>
                <w:szCs w:val="22"/>
              </w:rPr>
              <w:t>刻盘</w:t>
            </w:r>
          </w:p>
        </w:tc>
        <w:tc>
          <w:tcPr>
            <w:tcW w:w="1977"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张</w:t>
            </w:r>
          </w:p>
        </w:tc>
        <w:tc>
          <w:tcPr>
            <w:tcW w:w="3068" w:type="dxa"/>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w:t>
            </w:r>
          </w:p>
        </w:tc>
        <w:tc>
          <w:tcPr>
            <w:tcW w:w="287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排版部分</w:t>
            </w:r>
          </w:p>
        </w:tc>
        <w:tc>
          <w:tcPr>
            <w:tcW w:w="1977"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3068"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2878"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彩印排版（根据电子图文资料排版）</w:t>
            </w:r>
          </w:p>
        </w:tc>
        <w:tc>
          <w:tcPr>
            <w:tcW w:w="1977"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页</w:t>
            </w:r>
          </w:p>
        </w:tc>
        <w:tc>
          <w:tcPr>
            <w:tcW w:w="3068"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p>
        </w:tc>
        <w:tc>
          <w:tcPr>
            <w:tcW w:w="2878"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黑白排版（按照要求对文件整理排版）</w:t>
            </w:r>
          </w:p>
        </w:tc>
        <w:tc>
          <w:tcPr>
            <w:tcW w:w="1977"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页</w:t>
            </w:r>
          </w:p>
        </w:tc>
        <w:tc>
          <w:tcPr>
            <w:tcW w:w="3068"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dxa"/>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c>
          <w:tcPr>
            <w:tcW w:w="2878"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录入文字稿（500字/页、按照要求对文件编辑、修改）</w:t>
            </w:r>
          </w:p>
        </w:tc>
        <w:tc>
          <w:tcPr>
            <w:tcW w:w="1977"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页</w:t>
            </w:r>
          </w:p>
        </w:tc>
        <w:tc>
          <w:tcPr>
            <w:tcW w:w="3068" w:type="dxa"/>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A4</w:t>
            </w:r>
          </w:p>
        </w:tc>
      </w:tr>
    </w:tbl>
    <w:p>
      <w:pPr>
        <w:rPr>
          <w:rFonts w:ascii="Times New Roman" w:hAnsi="Times New Roman" w:cs="Times New Roman"/>
          <w:color w:val="auto"/>
          <w:sz w:val="24"/>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第六章 </w:t>
      </w:r>
      <w:r>
        <w:rPr>
          <w:rFonts w:hint="default" w:ascii="Times New Roman" w:hAnsi="Times New Roman" w:eastAsia="宋体" w:cs="Times New Roman"/>
          <w:color w:val="auto"/>
          <w:highlight w:val="none"/>
          <w:lang w:val="en-US" w:eastAsia="zh-CN"/>
        </w:rPr>
        <w:t>响应文件格式</w:t>
      </w: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center"/>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both"/>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both"/>
        <w:rPr>
          <w:rFonts w:hint="eastAsia" w:ascii="Times New Roman" w:hAnsi="Times New Roman" w:eastAsia="宋体" w:cs="Times New Roman"/>
          <w:color w:val="auto"/>
          <w:highlight w:val="none"/>
          <w:lang w:val="en-US" w:eastAsia="zh-CN"/>
        </w:rPr>
      </w:pPr>
    </w:p>
    <w:p>
      <w:pPr>
        <w:pStyle w:val="4"/>
        <w:numPr>
          <w:ilvl w:val="0"/>
          <w:numId w:val="0"/>
        </w:numPr>
        <w:spacing w:before="240" w:after="240"/>
        <w:jc w:val="both"/>
        <w:rPr>
          <w:rFonts w:hint="eastAsia" w:ascii="Times New Roman" w:hAnsi="Times New Roman" w:eastAsia="宋体" w:cs="Times New Roman"/>
          <w:color w:val="auto"/>
          <w:highlight w:val="none"/>
          <w:lang w:val="en-US" w:eastAsia="zh-CN"/>
        </w:rPr>
      </w:pPr>
    </w:p>
    <w:bookmarkEnd w:id="135"/>
    <w:p>
      <w:pPr>
        <w:pStyle w:val="4"/>
        <w:numPr>
          <w:ilvl w:val="0"/>
          <w:numId w:val="0"/>
        </w:numPr>
        <w:spacing w:before="240" w:after="240"/>
        <w:jc w:val="both"/>
        <w:rPr>
          <w:rFonts w:hint="default" w:ascii="Times New Roman" w:hAnsi="Times New Roman" w:eastAsia="宋体" w:cs="Times New Roman"/>
          <w:color w:val="auto"/>
          <w:highlight w:val="none"/>
        </w:rPr>
      </w:pPr>
    </w:p>
    <w:p/>
    <w:p/>
    <w:p/>
    <w:p/>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 xml:space="preserve"> </w:t>
      </w: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hint="default" w:ascii="Times New Roman" w:hAnsi="Times New Roman" w:eastAsia="黑体" w:cs="Times New Roman"/>
          <w:color w:val="auto"/>
          <w:sz w:val="21"/>
          <w:szCs w:val="21"/>
          <w:highlight w:val="none"/>
        </w:rPr>
      </w:pPr>
    </w:p>
    <w:p>
      <w:pPr>
        <w:spacing w:line="440" w:lineRule="exact"/>
        <w:ind w:firstLine="5880" w:firstLineChars="2800"/>
        <w:jc w:val="both"/>
        <w:outlineLvl w:val="0"/>
        <w:rPr>
          <w:rFonts w:ascii="Times New Roman" w:hAnsi="Times New Roman" w:eastAsia="黑体" w:cs="Times New Roman"/>
          <w:color w:val="auto"/>
          <w:sz w:val="36"/>
          <w:szCs w:val="36"/>
        </w:rPr>
      </w:pPr>
      <w:r>
        <w:rPr>
          <w:rFonts w:hint="default" w:ascii="Times New Roman" w:hAnsi="Times New Roman" w:eastAsia="黑体" w:cs="Times New Roman"/>
          <w:color w:val="auto"/>
          <w:sz w:val="21"/>
          <w:szCs w:val="21"/>
          <w:highlight w:val="none"/>
          <w:lang w:val="en-US" w:eastAsia="zh-CN"/>
        </w:rPr>
        <w:t xml:space="preserve"> </w:t>
      </w:r>
      <w:bookmarkStart w:id="136" w:name="_Toc21974_WPSOffice_Level2"/>
      <w:bookmarkStart w:id="137" w:name="_Toc22351_WPSOffice_Level2"/>
      <w:r>
        <w:rPr>
          <w:rFonts w:hint="eastAsia" w:ascii="Times New Roman" w:hAnsi="Times New Roman" w:eastAsia="黑体" w:cs="Times New Roman"/>
          <w:color w:val="auto"/>
          <w:sz w:val="36"/>
          <w:szCs w:val="36"/>
        </w:rPr>
        <w:t>正本/副本</w:t>
      </w:r>
    </w:p>
    <w:p>
      <w:pPr>
        <w:spacing w:line="440" w:lineRule="exact"/>
        <w:jc w:val="center"/>
        <w:outlineLvl w:val="0"/>
        <w:rPr>
          <w:rFonts w:hint="eastAsia" w:ascii="Times New Roman" w:hAnsi="Times New Roman" w:eastAsia="黑体" w:cs="Times New Roman"/>
          <w:color w:val="auto"/>
          <w:sz w:val="36"/>
          <w:szCs w:val="36"/>
          <w:lang w:val="en-US" w:eastAsia="zh-CN"/>
        </w:rPr>
      </w:pPr>
    </w:p>
    <w:p>
      <w:pPr>
        <w:jc w:val="center"/>
        <w:outlineLvl w:val="0"/>
        <w:rPr>
          <w:rFonts w:hint="default" w:ascii="Times New Roman" w:hAnsi="Times New Roman" w:eastAsia="黑体" w:cs="Times New Roman"/>
          <w:color w:val="auto"/>
          <w:sz w:val="50"/>
          <w:szCs w:val="50"/>
          <w:lang w:val="en-US" w:eastAsia="zh-CN"/>
        </w:rPr>
      </w:pPr>
      <w:r>
        <w:rPr>
          <w:rFonts w:hint="eastAsia" w:ascii="Times New Roman" w:hAnsi="Times New Roman" w:eastAsia="黑体" w:cs="Times New Roman"/>
          <w:color w:val="auto"/>
          <w:sz w:val="50"/>
          <w:szCs w:val="50"/>
          <w:lang w:val="en-US" w:eastAsia="zh-CN"/>
        </w:rPr>
        <w:t>2022-2024年定点图文印制服务项目</w:t>
      </w:r>
    </w:p>
    <w:p>
      <w:pPr>
        <w:spacing w:line="440" w:lineRule="exact"/>
        <w:jc w:val="right"/>
        <w:outlineLvl w:val="0"/>
        <w:rPr>
          <w:rFonts w:hint="eastAsia" w:ascii="Times New Roman" w:hAnsi="Times New Roman" w:eastAsia="黑体" w:cs="Times New Roman"/>
          <w:color w:val="auto"/>
          <w:sz w:val="36"/>
          <w:szCs w:val="36"/>
        </w:rPr>
      </w:pPr>
    </w:p>
    <w:p>
      <w:pPr>
        <w:spacing w:line="440" w:lineRule="exact"/>
        <w:rPr>
          <w:rFonts w:ascii="Times New Roman" w:hAnsi="Times New Roman" w:eastAsia="黑体" w:cs="Times New Roman"/>
          <w:color w:val="auto"/>
          <w:sz w:val="40"/>
          <w:szCs w:val="40"/>
        </w:rPr>
      </w:pPr>
    </w:p>
    <w:p>
      <w:pPr>
        <w:jc w:val="center"/>
        <w:outlineLvl w:val="0"/>
        <w:rPr>
          <w:rFonts w:ascii="Times New Roman" w:hAnsi="Times New Roman" w:eastAsia="黑体" w:cs="Times New Roman"/>
          <w:color w:val="auto"/>
          <w:sz w:val="50"/>
          <w:szCs w:val="50"/>
        </w:rPr>
      </w:pPr>
      <w:bookmarkStart w:id="138" w:name="_Toc25243_WPSOffice_Level1"/>
      <w:bookmarkStart w:id="139" w:name="_Toc5756_WPSOffice_Level1"/>
      <w:bookmarkStart w:id="140" w:name="_Toc1914_WPSOffice_Level1"/>
      <w:bookmarkStart w:id="141" w:name="_Toc17394_WPSOffice_Level1"/>
      <w:r>
        <w:rPr>
          <w:rFonts w:hint="eastAsia" w:ascii="Times New Roman" w:hAnsi="Times New Roman" w:eastAsia="黑体" w:cs="Times New Roman"/>
          <w:color w:val="auto"/>
          <w:sz w:val="50"/>
          <w:szCs w:val="50"/>
        </w:rPr>
        <w:t>商务及技术</w:t>
      </w:r>
      <w:r>
        <w:rPr>
          <w:rFonts w:ascii="Times New Roman" w:hAnsi="Times New Roman" w:eastAsia="黑体" w:cs="Times New Roman"/>
          <w:color w:val="auto"/>
          <w:sz w:val="50"/>
          <w:szCs w:val="50"/>
        </w:rPr>
        <w:t>文件</w:t>
      </w:r>
      <w:bookmarkEnd w:id="138"/>
      <w:bookmarkEnd w:id="139"/>
      <w:bookmarkEnd w:id="140"/>
      <w:bookmarkEnd w:id="141"/>
    </w:p>
    <w:p>
      <w:pPr>
        <w:spacing w:line="440" w:lineRule="exact"/>
        <w:jc w:val="center"/>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（第一信封）</w:t>
      </w:r>
    </w:p>
    <w:p>
      <w:pPr>
        <w:spacing w:line="440" w:lineRule="exact"/>
        <w:jc w:val="center"/>
        <w:outlineLvl w:val="9"/>
        <w:rPr>
          <w:rFonts w:ascii="Times New Roman" w:hAnsi="Times New Roman" w:eastAsia="黑体" w:cs="Times New Roman"/>
          <w:color w:val="auto"/>
          <w:sz w:val="40"/>
          <w:szCs w:val="40"/>
        </w:rPr>
      </w:pPr>
    </w:p>
    <w:p>
      <w:pPr>
        <w:spacing w:line="440" w:lineRule="exact"/>
        <w:jc w:val="center"/>
        <w:rPr>
          <w:rFonts w:ascii="Times New Roman" w:hAnsi="Times New Roman" w:eastAsia="黑体" w:cs="Times New Roman"/>
          <w:color w:val="auto"/>
          <w:sz w:val="40"/>
          <w:szCs w:val="40"/>
        </w:rPr>
      </w:pPr>
    </w:p>
    <w:p>
      <w:pPr>
        <w:pStyle w:val="3"/>
        <w:outlineLvl w:val="9"/>
        <w:rPr>
          <w:color w:val="auto"/>
        </w:rPr>
      </w:pPr>
    </w:p>
    <w:p>
      <w:pPr>
        <w:rPr>
          <w:color w:val="auto"/>
        </w:rPr>
      </w:pPr>
    </w:p>
    <w:p>
      <w:pPr>
        <w:pStyle w:val="2"/>
        <w:rPr>
          <w:color w:val="auto"/>
        </w:rPr>
      </w:pPr>
    </w:p>
    <w:p>
      <w:pPr>
        <w:spacing w:line="440" w:lineRule="exact"/>
        <w:jc w:val="center"/>
        <w:rPr>
          <w:rFonts w:ascii="Times New Roman" w:hAnsi="Times New Roman" w:eastAsia="黑体" w:cs="Times New Roman"/>
          <w:color w:val="auto"/>
          <w:sz w:val="40"/>
          <w:szCs w:val="40"/>
        </w:rPr>
      </w:pPr>
    </w:p>
    <w:p>
      <w:pPr>
        <w:spacing w:line="440" w:lineRule="exact"/>
        <w:jc w:val="center"/>
        <w:outlineLvl w:val="0"/>
        <w:rPr>
          <w:rFonts w:ascii="Times New Roman" w:hAnsi="Times New Roman" w:eastAsia="黑体" w:cs="Times New Roman"/>
          <w:color w:val="auto"/>
          <w:sz w:val="28"/>
          <w:szCs w:val="28"/>
        </w:rPr>
      </w:pPr>
      <w:bookmarkStart w:id="142" w:name="_Toc5520_WPSOffice_Level2"/>
      <w:bookmarkStart w:id="143" w:name="_Toc25232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142"/>
      <w:bookmarkEnd w:id="143"/>
    </w:p>
    <w:p>
      <w:pPr>
        <w:spacing w:line="440" w:lineRule="exact"/>
        <w:ind w:firstLine="2158" w:firstLineChars="771"/>
        <w:jc w:val="center"/>
        <w:rPr>
          <w:rFonts w:ascii="Times New Roman" w:hAnsi="Times New Roman" w:eastAsia="黑体" w:cs="Times New Roman"/>
          <w:color w:val="auto"/>
          <w:sz w:val="28"/>
          <w:szCs w:val="28"/>
        </w:rPr>
      </w:pPr>
    </w:p>
    <w:p>
      <w:pPr>
        <w:spacing w:line="440" w:lineRule="exact"/>
        <w:jc w:val="center"/>
        <w:outlineLvl w:val="0"/>
        <w:rPr>
          <w:rFonts w:ascii="Times New Roman" w:hAnsi="Times New Roman" w:eastAsia="黑体" w:cs="Times New Roman"/>
          <w:color w:val="auto"/>
          <w:sz w:val="28"/>
          <w:szCs w:val="28"/>
        </w:rPr>
      </w:pPr>
      <w:bookmarkStart w:id="144" w:name="_Toc20076_WPSOffice_Level2"/>
      <w:bookmarkStart w:id="145" w:name="_Toc31577_WPSOffice_Level2"/>
      <w:r>
        <w:rPr>
          <w:rFonts w:ascii="Times New Roman" w:hAnsi="Times New Roman" w:eastAsia="黑体" w:cs="Times New Roman"/>
          <w:color w:val="auto"/>
          <w:sz w:val="28"/>
          <w:szCs w:val="28"/>
        </w:rPr>
        <w:t>年</w:t>
      </w:r>
      <w:r>
        <w:rPr>
          <w:rFonts w:hint="eastAsia" w:ascii="Times New Roman" w:hAnsi="Times New Roman" w:eastAsia="黑体" w:cs="Times New Roman"/>
          <w:color w:val="auto"/>
          <w:sz w:val="28"/>
          <w:szCs w:val="28"/>
          <w:lang w:val="en-US" w:eastAsia="zh-CN"/>
        </w:rPr>
        <w:t xml:space="preserve">   </w:t>
      </w:r>
      <w:r>
        <w:rPr>
          <w:rFonts w:ascii="Times New Roman" w:hAnsi="Times New Roman" w:eastAsia="黑体" w:cs="Times New Roman"/>
          <w:color w:val="auto"/>
          <w:sz w:val="28"/>
          <w:szCs w:val="28"/>
        </w:rPr>
        <w:t>月</w:t>
      </w:r>
      <w:r>
        <w:rPr>
          <w:rFonts w:hint="eastAsia" w:ascii="Times New Roman" w:hAnsi="Times New Roman" w:eastAsia="黑体" w:cs="Times New Roman"/>
          <w:color w:val="auto"/>
          <w:sz w:val="28"/>
          <w:szCs w:val="28"/>
          <w:lang w:val="en-US" w:eastAsia="zh-CN"/>
        </w:rPr>
        <w:t xml:space="preserve">   </w:t>
      </w:r>
      <w:r>
        <w:rPr>
          <w:rFonts w:ascii="Times New Roman" w:hAnsi="Times New Roman" w:eastAsia="黑体" w:cs="Times New Roman"/>
          <w:color w:val="auto"/>
          <w:sz w:val="28"/>
          <w:szCs w:val="28"/>
        </w:rPr>
        <w:t>日</w:t>
      </w:r>
      <w:bookmarkEnd w:id="144"/>
      <w:bookmarkEnd w:id="145"/>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rPr>
          <w:rFonts w:ascii="Times New Roman" w:hAnsi="Times New Roman" w:eastAsia="黑体" w:cs="Times New Roman"/>
          <w:color w:val="auto"/>
          <w:sz w:val="20"/>
          <w:szCs w:val="20"/>
        </w:rPr>
      </w:pPr>
    </w:p>
    <w:p>
      <w:pPr>
        <w:spacing w:line="440" w:lineRule="exact"/>
        <w:ind w:firstLine="280" w:firstLineChars="10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目     录</w:t>
      </w:r>
      <w:bookmarkEnd w:id="136"/>
      <w:bookmarkEnd w:id="137"/>
    </w:p>
    <w:p>
      <w:pPr>
        <w:spacing w:line="440" w:lineRule="exact"/>
        <w:rPr>
          <w:rFonts w:hint="default" w:ascii="Times New Roman" w:hAnsi="Times New Roman" w:eastAsia="黑体" w:cs="Times New Roman"/>
          <w:color w:val="auto"/>
          <w:sz w:val="20"/>
          <w:szCs w:val="20"/>
          <w:highlight w:val="none"/>
        </w:rPr>
      </w:pPr>
    </w:p>
    <w:p>
      <w:pPr>
        <w:spacing w:line="440" w:lineRule="exact"/>
        <w:jc w:val="both"/>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一、</w:t>
      </w:r>
      <w:r>
        <w:rPr>
          <w:rFonts w:hint="eastAsia" w:ascii="Times New Roman" w:hAnsi="Times New Roman" w:eastAsia="黑体" w:cs="Times New Roman"/>
          <w:color w:val="auto"/>
          <w:sz w:val="28"/>
          <w:szCs w:val="28"/>
          <w:highlight w:val="none"/>
        </w:rPr>
        <w:t>法定代表人身份证明及授权委托书</w:t>
      </w:r>
    </w:p>
    <w:p>
      <w:pPr>
        <w:spacing w:line="440" w:lineRule="exact"/>
        <w:jc w:val="both"/>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二、</w:t>
      </w:r>
      <w:r>
        <w:rPr>
          <w:rFonts w:hint="eastAsia" w:ascii="Times New Roman" w:hAnsi="Times New Roman" w:eastAsia="黑体" w:cs="Times New Roman"/>
          <w:color w:val="auto"/>
          <w:sz w:val="28"/>
          <w:szCs w:val="28"/>
          <w:highlight w:val="none"/>
        </w:rPr>
        <w:t>供应商基本情况</w:t>
      </w:r>
    </w:p>
    <w:p>
      <w:pPr>
        <w:spacing w:line="440" w:lineRule="exact"/>
        <w:jc w:val="both"/>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三、业绩</w:t>
      </w:r>
      <w:r>
        <w:rPr>
          <w:rFonts w:hint="eastAsia" w:ascii="Times New Roman" w:hAnsi="Times New Roman" w:eastAsia="黑体" w:cs="Times New Roman"/>
          <w:color w:val="auto"/>
          <w:sz w:val="28"/>
          <w:szCs w:val="28"/>
          <w:highlight w:val="none"/>
        </w:rPr>
        <w:t>情况表</w:t>
      </w:r>
    </w:p>
    <w:p>
      <w:pPr>
        <w:spacing w:line="440" w:lineRule="exact"/>
        <w:jc w:val="both"/>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四、</w:t>
      </w:r>
      <w:r>
        <w:rPr>
          <w:rFonts w:hint="eastAsia" w:ascii="Times New Roman" w:hAnsi="Times New Roman" w:eastAsia="黑体" w:cs="Times New Roman"/>
          <w:color w:val="auto"/>
          <w:sz w:val="28"/>
          <w:szCs w:val="28"/>
          <w:highlight w:val="none"/>
        </w:rPr>
        <w:t>信誉情况</w:t>
      </w:r>
    </w:p>
    <w:p>
      <w:pPr>
        <w:spacing w:line="440" w:lineRule="exact"/>
        <w:jc w:val="both"/>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五、场地及设备基本情况</w:t>
      </w:r>
    </w:p>
    <w:p>
      <w:pPr>
        <w:spacing w:line="440" w:lineRule="exact"/>
        <w:jc w:val="both"/>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六、其他材料</w:t>
      </w: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ascii="Times New Roman" w:hAnsi="Times New Roman" w:eastAsia="黑体" w:cs="Times New Roman"/>
          <w:color w:val="auto"/>
          <w:sz w:val="20"/>
          <w:szCs w:val="20"/>
        </w:rPr>
      </w:pPr>
      <w:r>
        <w:rPr>
          <w:rFonts w:hint="default" w:ascii="Times New Roman" w:hAnsi="Times New Roman" w:eastAsia="黑体" w:cs="Times New Roman"/>
          <w:color w:val="auto"/>
          <w:sz w:val="20"/>
          <w:szCs w:val="20"/>
          <w:highlight w:val="none"/>
        </w:rPr>
        <w:br w:type="page"/>
      </w:r>
    </w:p>
    <w:p>
      <w:pPr>
        <w:spacing w:line="440" w:lineRule="exact"/>
        <w:jc w:val="center"/>
        <w:outlineLvl w:val="1"/>
        <w:rPr>
          <w:rFonts w:ascii="Times New Roman" w:hAnsi="Times New Roman" w:eastAsia="黑体" w:cs="Times New Roman"/>
          <w:color w:val="auto"/>
          <w:sz w:val="28"/>
          <w:szCs w:val="28"/>
        </w:rPr>
      </w:pPr>
      <w:bookmarkStart w:id="146" w:name="_Toc9782_WPSOffice_Level1"/>
      <w:bookmarkStart w:id="147" w:name="_Toc12736_WPSOffice_Level1"/>
      <w:r>
        <w:rPr>
          <w:rFonts w:hint="eastAsia" w:ascii="Times New Roman" w:hAnsi="Times New Roman" w:eastAsia="黑体" w:cs="Times New Roman"/>
          <w:color w:val="auto"/>
          <w:sz w:val="28"/>
          <w:szCs w:val="28"/>
        </w:rPr>
        <w:t>一</w:t>
      </w:r>
      <w:r>
        <w:rPr>
          <w:rFonts w:ascii="Times New Roman" w:hAnsi="Times New Roman" w:eastAsia="黑体" w:cs="Times New Roman"/>
          <w:color w:val="auto"/>
          <w:sz w:val="28"/>
          <w:szCs w:val="28"/>
        </w:rPr>
        <w:t>、法定代表人身份证明及授权委托书</w:t>
      </w:r>
      <w:bookmarkEnd w:id="146"/>
      <w:bookmarkEnd w:id="147"/>
    </w:p>
    <w:p>
      <w:pPr>
        <w:keepNext w:val="0"/>
        <w:keepLines w:val="0"/>
        <w:pageBreakBefore w:val="0"/>
        <w:kinsoku/>
        <w:wordWrap/>
        <w:overflowPunct/>
        <w:bidi w:val="0"/>
        <w:adjustRightInd/>
        <w:spacing w:line="440" w:lineRule="exact"/>
        <w:jc w:val="center"/>
        <w:outlineLvl w:val="1"/>
        <w:rPr>
          <w:rFonts w:hint="default" w:ascii="Times New Roman" w:hAnsi="Times New Roman" w:cs="Times New Roman"/>
          <w:color w:val="auto"/>
          <w:sz w:val="28"/>
          <w:szCs w:val="28"/>
          <w:highlight w:val="none"/>
        </w:rPr>
      </w:pPr>
      <w:r>
        <w:rPr>
          <w:rFonts w:hint="eastAsia" w:ascii="Times New Roman" w:hAnsi="Times New Roman" w:eastAsia="黑体" w:cs="Times New Roman"/>
          <w:bCs/>
          <w:color w:val="auto"/>
          <w:sz w:val="28"/>
          <w:szCs w:val="28"/>
          <w:highlight w:val="none"/>
          <w:lang w:val="en-US" w:eastAsia="zh-CN"/>
        </w:rPr>
        <w:t>1</w:t>
      </w:r>
      <w:r>
        <w:rPr>
          <w:rFonts w:hint="default" w:ascii="Times New Roman" w:hAnsi="Times New Roman" w:eastAsia="黑体" w:cs="Times New Roman"/>
          <w:bCs/>
          <w:color w:val="auto"/>
          <w:sz w:val="28"/>
          <w:szCs w:val="28"/>
          <w:highlight w:val="none"/>
        </w:rPr>
        <w:t>-1 法定代表人身份证明</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0"/>
          <w:szCs w:val="20"/>
          <w:highlight w:val="none"/>
        </w:rPr>
      </w:pP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tbl>
      <w:tblPr>
        <w:tblStyle w:val="1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3"/>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4978" w:type="dxa"/>
            <w:noWrap w:val="0"/>
            <w:vAlign w:val="top"/>
          </w:tcPr>
          <w:p>
            <w:pPr>
              <w:keepNext w:val="0"/>
              <w:keepLines w:val="0"/>
              <w:pageBreakBefore w:val="0"/>
              <w:kinsoku/>
              <w:wordWrap/>
              <w:overflowPunct/>
              <w:bidi w:val="0"/>
              <w:adjustRightInd/>
              <w:spacing w:line="440" w:lineRule="exact"/>
              <w:jc w:val="center"/>
              <w:outlineLvl w:val="9"/>
              <w:rPr>
                <w:rFonts w:hint="default" w:ascii="Times New Roman" w:hAnsi="Times New Roman" w:cs="Times New Roman"/>
                <w:color w:val="auto"/>
                <w:sz w:val="24"/>
                <w:highlight w:val="none"/>
                <w:vertAlign w:val="baseline"/>
              </w:rPr>
            </w:pPr>
          </w:p>
        </w:tc>
        <w:tc>
          <w:tcPr>
            <w:tcW w:w="4984" w:type="dxa"/>
            <w:noWrap w:val="0"/>
            <w:vAlign w:val="top"/>
          </w:tcPr>
          <w:p>
            <w:pPr>
              <w:keepNext w:val="0"/>
              <w:keepLines w:val="0"/>
              <w:pageBreakBefore w:val="0"/>
              <w:kinsoku/>
              <w:wordWrap/>
              <w:overflowPunct/>
              <w:bidi w:val="0"/>
              <w:adjustRightInd/>
              <w:spacing w:line="440" w:lineRule="exact"/>
              <w:jc w:val="center"/>
              <w:outlineLvl w:val="9"/>
              <w:rPr>
                <w:rFonts w:hint="default" w:ascii="Times New Roman" w:hAnsi="Times New Roman" w:cs="Times New Roman"/>
                <w:color w:val="auto"/>
                <w:sz w:val="24"/>
                <w:highlight w:val="none"/>
                <w:vertAlign w:val="baseline"/>
              </w:rPr>
            </w:pPr>
          </w:p>
        </w:tc>
      </w:tr>
    </w:tbl>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jc w:val="righ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keepNext w:val="0"/>
        <w:keepLines w:val="0"/>
        <w:pageBreakBefore w:val="0"/>
        <w:kinsoku/>
        <w:wordWrap/>
        <w:overflowPunct/>
        <w:topLinePunct/>
        <w:bidi w:val="0"/>
        <w:adjustRightInd/>
        <w:spacing w:line="440" w:lineRule="exact"/>
        <w:outlineLvl w:val="9"/>
        <w:rPr>
          <w:rFonts w:hint="default" w:ascii="Times New Roman" w:hAnsi="Times New Roman" w:eastAsia="黑体" w:cs="Times New Roman"/>
          <w:color w:val="auto"/>
          <w:sz w:val="24"/>
          <w:highlight w:val="none"/>
        </w:rPr>
      </w:pPr>
    </w:p>
    <w:p>
      <w:pPr>
        <w:rPr>
          <w:rFonts w:hint="default" w:ascii="Times New Roman" w:hAnsi="Times New Roman" w:cs="Times New Roman"/>
          <w:color w:val="auto"/>
          <w:sz w:val="24"/>
          <w:highlight w:val="none"/>
        </w:rPr>
      </w:pP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ind w:left="1619" w:leftChars="771"/>
        <w:rPr>
          <w:rFonts w:hint="default" w:ascii="Times New Roman" w:hAnsi="Times New Roman" w:eastAsia="黑体" w:cs="Times New Roman"/>
          <w:color w:val="auto"/>
          <w:sz w:val="28"/>
          <w:szCs w:val="28"/>
          <w:highlight w:val="none"/>
        </w:rPr>
      </w:pPr>
      <w:bookmarkStart w:id="148" w:name="_Toc14563_WPSOffice_Level1"/>
      <w:bookmarkStart w:id="149" w:name="_Toc32350_WPSOffice_Level1"/>
      <w:bookmarkStart w:id="150" w:name="_Toc18668_WPSOffice_Level1"/>
      <w:bookmarkStart w:id="151" w:name="_Toc10475_WPSOffice_Level1"/>
      <w:bookmarkStart w:id="152" w:name="_Toc16271_WPSOffice_Level1"/>
      <w:bookmarkStart w:id="153" w:name="_Toc8695_WPSOffice_Level1"/>
    </w:p>
    <w:p>
      <w:pPr>
        <w:spacing w:line="440" w:lineRule="exact"/>
        <w:ind w:left="1619" w:leftChars="771"/>
        <w:rPr>
          <w:rFonts w:hint="default" w:ascii="Times New Roman" w:hAnsi="Times New Roman" w:eastAsia="黑体" w:cs="Times New Roman"/>
          <w:color w:val="auto"/>
          <w:sz w:val="28"/>
          <w:szCs w:val="28"/>
          <w:highlight w:val="none"/>
        </w:rPr>
      </w:pPr>
    </w:p>
    <w:p>
      <w:pPr>
        <w:spacing w:line="276" w:lineRule="auto"/>
        <w:rPr>
          <w:rFonts w:hint="eastAsia" w:ascii="楷体_GB2312" w:hAnsi="宋体" w:eastAsia="楷体_GB2312" w:cs="宋体"/>
          <w:szCs w:val="21"/>
        </w:rPr>
      </w:pP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注：1.本身份证明需由报价人加盖单位公章。</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2.法定代表人的签字必须是亲笔签名，不得使用印章、签名章或其他电子制版签名。</w:t>
      </w:r>
    </w:p>
    <w:bookmarkEnd w:id="148"/>
    <w:bookmarkEnd w:id="149"/>
    <w:bookmarkEnd w:id="150"/>
    <w:bookmarkEnd w:id="151"/>
    <w:bookmarkEnd w:id="152"/>
    <w:bookmarkEnd w:id="153"/>
    <w:p>
      <w:pPr>
        <w:keepNext w:val="0"/>
        <w:keepLines w:val="0"/>
        <w:pageBreakBefore w:val="0"/>
        <w:kinsoku/>
        <w:wordWrap/>
        <w:overflowPunct/>
        <w:bidi w:val="0"/>
        <w:adjustRightInd/>
        <w:spacing w:line="440" w:lineRule="exact"/>
        <w:jc w:val="center"/>
        <w:outlineLvl w:val="1"/>
        <w:rPr>
          <w:rFonts w:hint="default" w:ascii="Times New Roman" w:hAnsi="Times New Roman" w:eastAsia="黑体" w:cs="Times New Roman"/>
          <w:color w:val="auto"/>
          <w:sz w:val="28"/>
          <w:szCs w:val="28"/>
          <w:highlight w:val="none"/>
        </w:rPr>
      </w:pPr>
      <w:bookmarkStart w:id="154" w:name="_Toc12035_WPSOffice_Level2"/>
      <w:bookmarkStart w:id="155" w:name="_Toc19768_WPSOffice_Level2"/>
      <w:r>
        <w:rPr>
          <w:rFonts w:hint="eastAsia" w:ascii="Times New Roman" w:hAnsi="Times New Roman" w:eastAsia="黑体" w:cs="Times New Roman"/>
          <w:color w:val="auto"/>
          <w:sz w:val="24"/>
          <w:highlight w:val="none"/>
          <w:lang w:val="en-US" w:eastAsia="zh-CN"/>
        </w:rPr>
        <w:t>1</w:t>
      </w:r>
      <w:r>
        <w:rPr>
          <w:rFonts w:hint="default" w:ascii="Times New Roman" w:hAnsi="Times New Roman" w:eastAsia="黑体" w:cs="Times New Roman"/>
          <w:bCs/>
          <w:color w:val="auto"/>
          <w:sz w:val="28"/>
          <w:szCs w:val="28"/>
          <w:highlight w:val="none"/>
        </w:rPr>
        <w:t xml:space="preserve">-2 </w:t>
      </w:r>
      <w:r>
        <w:rPr>
          <w:rFonts w:hint="default" w:ascii="Times New Roman" w:hAnsi="Times New Roman" w:eastAsia="黑体" w:cs="Times New Roman"/>
          <w:color w:val="auto"/>
          <w:sz w:val="28"/>
          <w:szCs w:val="28"/>
          <w:highlight w:val="none"/>
        </w:rPr>
        <w:t>授权委托书</w:t>
      </w:r>
      <w:bookmarkEnd w:id="154"/>
      <w:bookmarkEnd w:id="155"/>
    </w:p>
    <w:p>
      <w:pPr>
        <w:keepNext w:val="0"/>
        <w:keepLines w:val="0"/>
        <w:pageBreakBefore w:val="0"/>
        <w:kinsoku/>
        <w:wordWrap/>
        <w:overflowPunct/>
        <w:bidi w:val="0"/>
        <w:adjustRightInd/>
        <w:spacing w:line="440" w:lineRule="exact"/>
        <w:outlineLvl w:val="9"/>
        <w:rPr>
          <w:rFonts w:hint="default" w:ascii="Times New Roman" w:hAnsi="Times New Roman" w:eastAsia="黑体" w:cs="Times New Roman"/>
          <w:color w:val="auto"/>
          <w:sz w:val="24"/>
          <w:highlight w:val="none"/>
        </w:rPr>
      </w:pPr>
    </w:p>
    <w:p>
      <w:pPr>
        <w:keepNext w:val="0"/>
        <w:keepLines w:val="0"/>
        <w:pageBreakBefore w:val="0"/>
        <w:kinsoku/>
        <w:wordWrap/>
        <w:overflowPunct/>
        <w:topLine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keepNext w:val="0"/>
        <w:keepLines w:val="0"/>
        <w:pageBreakBefore w:val="0"/>
        <w:kinsoku/>
        <w:wordWrap/>
        <w:overflow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keepNext w:val="0"/>
        <w:keepLines w:val="0"/>
        <w:pageBreakBefore w:val="0"/>
        <w:kinsoku/>
        <w:wordWrap/>
        <w:overflowPunct/>
        <w:topLinePunct/>
        <w:bidi w:val="0"/>
        <w:adjustRightInd/>
        <w:spacing w:line="440" w:lineRule="exact"/>
        <w:ind w:firstLine="480" w:firstLineChars="2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tbl>
      <w:tblPr>
        <w:tblStyle w:val="1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3"/>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4978" w:type="dxa"/>
            <w:noWrap w:val="0"/>
            <w:vAlign w:val="top"/>
          </w:tcPr>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vertAlign w:val="baseline"/>
              </w:rPr>
            </w:pPr>
          </w:p>
        </w:tc>
        <w:tc>
          <w:tcPr>
            <w:tcW w:w="4984" w:type="dxa"/>
            <w:noWrap w:val="0"/>
            <w:vAlign w:val="top"/>
          </w:tcPr>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vertAlign w:val="baseline"/>
              </w:rPr>
            </w:pPr>
          </w:p>
        </w:tc>
      </w:tr>
    </w:tbl>
    <w:p>
      <w:pPr>
        <w:pStyle w:val="2"/>
        <w:keepNext w:val="0"/>
        <w:keepLines w:val="0"/>
        <w:pageBreakBefore w:val="0"/>
        <w:kinsoku/>
        <w:wordWrap/>
        <w:overflowPunct/>
        <w:bidi w:val="0"/>
        <w:adjustRightInd/>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ind w:firstLine="2400" w:firstLineChars="1000"/>
        <w:jc w:val="both"/>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keepNext w:val="0"/>
        <w:keepLines w:val="0"/>
        <w:pageBreakBefore w:val="0"/>
        <w:kinsoku/>
        <w:wordWrap/>
        <w:overflowPunct/>
        <w:bidi w:val="0"/>
        <w:adjustRightInd/>
        <w:spacing w:line="440" w:lineRule="exact"/>
        <w:ind w:firstLine="2400" w:firstLineChars="1000"/>
        <w:jc w:val="both"/>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keepNext w:val="0"/>
        <w:keepLines w:val="0"/>
        <w:pageBreakBefore w:val="0"/>
        <w:kinsoku/>
        <w:wordWrap/>
        <w:overflowPunct/>
        <w:bidi w:val="0"/>
        <w:adjustRightInd/>
        <w:spacing w:line="440" w:lineRule="exact"/>
        <w:ind w:firstLine="2400" w:firstLineChars="10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ind w:firstLine="2400" w:firstLineChars="1000"/>
        <w:jc w:val="both"/>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keepNext w:val="0"/>
        <w:keepLines w:val="0"/>
        <w:pageBreakBefore w:val="0"/>
        <w:kinsoku/>
        <w:wordWrap/>
        <w:overflowPunct/>
        <w:bidi w:val="0"/>
        <w:adjustRightInd/>
        <w:spacing w:line="440" w:lineRule="exact"/>
        <w:ind w:firstLine="2400" w:firstLineChars="1000"/>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keepNext w:val="0"/>
        <w:keepLines w:val="0"/>
        <w:pageBreakBefore w:val="0"/>
        <w:kinsoku/>
        <w:wordWrap/>
        <w:overflowPunct/>
        <w:bidi w:val="0"/>
        <w:adjustRightInd/>
        <w:spacing w:line="440" w:lineRule="exact"/>
        <w:outlineLvl w:val="9"/>
        <w:rPr>
          <w:rFonts w:hint="default" w:ascii="Times New Roman" w:hAnsi="Times New Roman" w:cs="Times New Roman"/>
          <w:color w:val="auto"/>
          <w:sz w:val="24"/>
          <w:highlight w:val="none"/>
        </w:rPr>
      </w:pPr>
    </w:p>
    <w:p>
      <w:pPr>
        <w:keepNext w:val="0"/>
        <w:keepLines w:val="0"/>
        <w:pageBreakBefore w:val="0"/>
        <w:kinsoku/>
        <w:wordWrap/>
        <w:overflowPunct/>
        <w:bidi w:val="0"/>
        <w:adjustRightInd/>
        <w:spacing w:line="440" w:lineRule="exact"/>
        <w:ind w:firstLine="5280" w:firstLineChars="2200"/>
        <w:jc w:val="both"/>
        <w:outlineLvl w:val="9"/>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ind w:firstLine="1800" w:firstLineChars="750"/>
        <w:rPr>
          <w:rFonts w:hint="default" w:ascii="Times New Roman" w:hAnsi="Times New Roman" w:cs="Times New Roman"/>
          <w:color w:val="auto"/>
          <w:sz w:val="24"/>
          <w:highlight w:val="none"/>
        </w:rPr>
      </w:pPr>
    </w:p>
    <w:p>
      <w:pPr>
        <w:pStyle w:val="2"/>
        <w:rPr>
          <w:rFonts w:hint="default"/>
        </w:rPr>
      </w:pP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 xml:space="preserve"> </w:t>
      </w:r>
      <w:r>
        <w:rPr>
          <w:rFonts w:hint="eastAsia" w:ascii="Times New Roman" w:hAnsi="Times New Roman" w:eastAsia="黑体" w:cs="Times New Roman"/>
          <w:color w:val="auto"/>
          <w:szCs w:val="21"/>
          <w:highlight w:val="none"/>
          <w:lang w:val="en-US" w:eastAsia="zh-CN"/>
        </w:rPr>
        <w:t>注：1.本授权委托书需由报价人加盖单位公章并由其法定代表人和委托代理人签字。</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2.法定代表人和委托代理人必须在授权书上亲笔签名，不得使用印章、签名章或其他电子制版签名。</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3.如果由报价人的法定代表人亲自签署报价文件，则不需提交授权委托书。</w:t>
      </w:r>
    </w:p>
    <w:p>
      <w:pPr>
        <w:spacing w:line="440" w:lineRule="exact"/>
        <w:rPr>
          <w:rFonts w:hint="default" w:ascii="Times New Roman" w:hAnsi="Times New Roman" w:eastAsia="黑体" w:cs="Times New Roman"/>
          <w:color w:val="auto"/>
          <w:sz w:val="24"/>
          <w:highlight w:val="none"/>
        </w:rPr>
        <w:sectPr>
          <w:footerReference r:id="rId5"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rPr>
          <w:rFonts w:hint="default" w:ascii="Times New Roman" w:hAnsi="Times New Roman" w:eastAsia="黑体" w:cs="Times New Roman"/>
          <w:color w:val="auto"/>
          <w:sz w:val="28"/>
          <w:szCs w:val="28"/>
          <w:highlight w:val="none"/>
        </w:rPr>
      </w:pPr>
      <w:bookmarkStart w:id="156" w:name="_Toc31445_WPSOffice_Level1"/>
      <w:bookmarkStart w:id="157" w:name="_Toc26477_WPSOffice_Level1"/>
      <w:bookmarkStart w:id="158" w:name="_Toc23545_WPSOffice_Level1"/>
      <w:bookmarkStart w:id="159" w:name="_Toc7738_WPSOffice_Level1"/>
      <w:bookmarkStart w:id="160" w:name="_Toc10436_WPSOffice_Level1"/>
      <w:bookmarkStart w:id="161" w:name="_Toc5978_WPSOffice_Level1"/>
      <w:r>
        <w:rPr>
          <w:rFonts w:hint="eastAsia" w:ascii="Times New Roman" w:hAnsi="Times New Roman" w:eastAsia="黑体" w:cs="Times New Roman"/>
          <w:color w:val="auto"/>
          <w:sz w:val="28"/>
          <w:szCs w:val="28"/>
          <w:highlight w:val="none"/>
          <w:lang w:val="en-US" w:eastAsia="zh-CN"/>
        </w:rPr>
        <w:t>二</w:t>
      </w:r>
      <w:r>
        <w:rPr>
          <w:rFonts w:hint="default" w:ascii="Times New Roman" w:hAnsi="Times New Roman" w:eastAsia="黑体" w:cs="Times New Roman"/>
          <w:color w:val="auto"/>
          <w:sz w:val="28"/>
          <w:szCs w:val="28"/>
          <w:highlight w:val="none"/>
        </w:rPr>
        <w:t>、</w:t>
      </w:r>
      <w:bookmarkStart w:id="162" w:name="_Toc27600_WPSOffice_Level2"/>
      <w:bookmarkStart w:id="163"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56"/>
      <w:bookmarkEnd w:id="157"/>
      <w:bookmarkEnd w:id="158"/>
      <w:bookmarkEnd w:id="159"/>
      <w:bookmarkEnd w:id="160"/>
      <w:bookmarkEnd w:id="161"/>
      <w:bookmarkEnd w:id="162"/>
      <w:bookmarkEnd w:id="163"/>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7"/>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64" w:name="_Toc20943_WPSOffice_Level1"/>
      <w:bookmarkStart w:id="165" w:name="_Toc3772_WPSOffice_Level1"/>
      <w:bookmarkStart w:id="166" w:name="_Toc5072_WPSOffice_Level1"/>
      <w:bookmarkStart w:id="167" w:name="_Toc1102_WPSOffice_Level1"/>
      <w:bookmarkStart w:id="168" w:name="_Toc19004_WPSOffice_Level1"/>
      <w:bookmarkStart w:id="169" w:name="_Toc18547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64"/>
      <w:bookmarkEnd w:id="165"/>
      <w:bookmarkEnd w:id="166"/>
      <w:bookmarkEnd w:id="167"/>
      <w:bookmarkEnd w:id="168"/>
      <w:bookmarkEnd w:id="169"/>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项目所在地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开工日期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完成</w:t>
            </w:r>
            <w:r>
              <w:rPr>
                <w:rFonts w:hint="default" w:ascii="Times New Roman" w:hAnsi="Times New Roman" w:cs="Times New Roman"/>
                <w:color w:val="auto"/>
                <w:szCs w:val="21"/>
                <w:highlight w:val="none"/>
              </w:rPr>
              <w:t>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项目</w:t>
            </w:r>
            <w:r>
              <w:rPr>
                <w:rFonts w:hint="eastAsia" w:ascii="Times New Roman" w:hAnsi="Times New Roman" w:cs="Times New Roman"/>
                <w:color w:val="auto"/>
                <w:szCs w:val="21"/>
                <w:highlight w:val="none"/>
                <w:lang w:val="en-US" w:eastAsia="zh-CN"/>
              </w:rPr>
              <w:t>负责人</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2、业绩证明材料要求：2019年1月1日（以合同签订时间为准）以来同类</w:t>
      </w:r>
      <w:r>
        <w:rPr>
          <w:rFonts w:hint="default" w:ascii="Times New Roman" w:hAnsi="Times New Roman" w:eastAsia="黑体" w:cs="Times New Roman"/>
          <w:color w:val="auto"/>
          <w:szCs w:val="21"/>
          <w:highlight w:val="none"/>
          <w:lang w:val="en-US" w:eastAsia="zh-CN"/>
        </w:rPr>
        <w:t>业绩</w:t>
      </w:r>
      <w:r>
        <w:rPr>
          <w:rFonts w:hint="eastAsia" w:ascii="Times New Roman" w:hAnsi="Times New Roman" w:eastAsia="黑体" w:cs="Times New Roman"/>
          <w:color w:val="auto"/>
          <w:szCs w:val="21"/>
          <w:highlight w:val="none"/>
          <w:lang w:val="en-US" w:eastAsia="zh-CN"/>
        </w:rPr>
        <w:t>的合同、协议原件或影印件（必须提供）。</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widowControl/>
        <w:autoSpaceDE w:val="0"/>
        <w:autoSpaceDN w:val="0"/>
        <w:spacing w:line="360" w:lineRule="atLeast"/>
        <w:ind w:left="420" w:leftChars="200" w:firstLine="0" w:firstLineChars="0"/>
        <w:textAlignment w:val="bottom"/>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4、业绩证明材料需提供合同协议书扫描件；业绩原件需带至评审现场备查。</w:t>
      </w:r>
    </w:p>
    <w:p>
      <w:pPr>
        <w:pStyle w:val="2"/>
        <w:rPr>
          <w:rFonts w:hint="eastAsia" w:ascii="Times New Roman" w:hAnsi="Times New Roman" w:eastAsiaTheme="minorEastAsia"/>
          <w:color w:val="auto"/>
          <w:highlight w:val="none"/>
          <w:lang w:val="en-US" w:eastAsia="zh-CN"/>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70" w:name="_Toc8691_WPSOffice_Level1"/>
      <w:bookmarkStart w:id="171" w:name="_Toc3893_WPSOffice_Level1"/>
      <w:bookmarkStart w:id="172" w:name="_Toc9267_WPSOffice_Level1"/>
      <w:bookmarkStart w:id="173" w:name="_Toc32222_WPSOffice_Level1"/>
      <w:bookmarkStart w:id="174" w:name="_Toc5403_WPSOffice_Level1"/>
      <w:bookmarkStart w:id="175" w:name="_Toc12019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70"/>
      <w:bookmarkEnd w:id="171"/>
      <w:bookmarkEnd w:id="172"/>
      <w:bookmarkEnd w:id="173"/>
      <w:bookmarkEnd w:id="174"/>
      <w:bookmarkEnd w:id="175"/>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077" w:type="dxa"/>
            <w:noWrap/>
          </w:tcPr>
          <w:p>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noWrap/>
          </w:tcPr>
          <w:p>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ign w:val="center"/>
          </w:tcPr>
          <w:p>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是否在“信用中国”网站（http://www.creditchina.gov.cn）中被列入失信被执行人名单</w:t>
            </w:r>
          </w:p>
        </w:tc>
        <w:tc>
          <w:tcPr>
            <w:tcW w:w="4445" w:type="dxa"/>
            <w:noWrap/>
            <w:vAlign w:val="center"/>
          </w:tcPr>
          <w:p>
            <w:pPr>
              <w:topLinePunct/>
              <w:spacing w:line="440" w:lineRule="exact"/>
              <w:ind w:firstLine="240" w:firstLineChars="100"/>
              <w:jc w:val="center"/>
              <w:rPr>
                <w:rFonts w:ascii="Times New Roman" w:hAnsi="Times New Roman" w:cs="Times New Roman"/>
                <w:bCs/>
                <w:color w:val="auto"/>
                <w:szCs w:val="21"/>
              </w:rPr>
            </w:pPr>
            <w:r>
              <w:rPr>
                <w:rFonts w:ascii="Times New Roman" w:hAnsi="Times New Roman" w:cs="Times New Roman"/>
                <w:color w:val="auto"/>
                <w:sz w:val="24"/>
                <w:szCs w:val="28"/>
              </w:rPr>
              <w:t>是</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 xml:space="preserve">       </w:t>
            </w:r>
            <w:r>
              <w:rPr>
                <w:rFonts w:ascii="Times New Roman" w:hAnsi="Times New Roman" w:cs="Times New Roman"/>
                <w:color w:val="auto"/>
                <w:sz w:val="24"/>
                <w:szCs w:val="28"/>
              </w:rPr>
              <w:t>否</w:t>
            </w:r>
            <w:r>
              <w:rPr>
                <w:rFonts w:hint="eastAsia" w:ascii="仿宋_GB2312" w:hAnsi="仿宋_GB2312" w:eastAsia="仿宋_GB2312" w:cs="仿宋_GB2312"/>
                <w:b/>
                <w:bCs/>
                <w:color w:val="auto"/>
                <w:sz w:val="32"/>
                <w:szCs w:val="32"/>
              </w:rPr>
              <w:t>□</w:t>
            </w:r>
          </w:p>
        </w:tc>
      </w:tr>
    </w:tbl>
    <w:p>
      <w:pPr>
        <w:spacing w:line="440" w:lineRule="exact"/>
        <w:ind w:firstLine="482" w:firstLineChars="200"/>
        <w:jc w:val="left"/>
        <w:rPr>
          <w:rFonts w:ascii="Times New Roman" w:hAnsi="Times New Roman" w:cs="Times New Roman"/>
          <w:b/>
          <w:bCs/>
          <w:color w:val="auto"/>
          <w:sz w:val="24"/>
        </w:rPr>
      </w:pPr>
      <w:r>
        <w:rPr>
          <w:rFonts w:ascii="Times New Roman" w:hAnsi="Times New Roman" w:cs="Times New Roman"/>
          <w:b/>
          <w:bCs/>
          <w:color w:val="auto"/>
          <w:sz w:val="24"/>
        </w:rPr>
        <w:t>注：本表</w:t>
      </w:r>
      <w:r>
        <w:rPr>
          <w:rFonts w:hint="eastAsia" w:ascii="Times New Roman" w:hAnsi="Times New Roman" w:cs="Times New Roman"/>
          <w:b/>
          <w:bCs/>
          <w:color w:val="auto"/>
          <w:sz w:val="24"/>
        </w:rPr>
        <w:t>后</w:t>
      </w:r>
      <w:r>
        <w:rPr>
          <w:rFonts w:ascii="Times New Roman" w:hAnsi="Times New Roman" w:cs="Times New Roman"/>
          <w:b/>
          <w:bCs/>
          <w:color w:val="auto"/>
          <w:sz w:val="24"/>
        </w:rPr>
        <w:t>需附</w:t>
      </w:r>
      <w:r>
        <w:rPr>
          <w:rFonts w:ascii="Times New Roman" w:hAnsi="Times New Roman" w:cs="Times New Roman"/>
          <w:b/>
          <w:bCs/>
          <w:color w:val="auto"/>
          <w:sz w:val="24"/>
          <w:szCs w:val="28"/>
        </w:rPr>
        <w:t>信用中国”网站（http://www.creditchina.gov.cn）</w:t>
      </w:r>
      <w:r>
        <w:rPr>
          <w:rFonts w:hint="eastAsia" w:ascii="Times New Roman" w:hAnsi="Times New Roman" w:cs="Times New Roman"/>
          <w:b/>
          <w:bCs/>
          <w:color w:val="auto"/>
          <w:sz w:val="24"/>
          <w:szCs w:val="28"/>
        </w:rPr>
        <w:t>查询截图</w:t>
      </w:r>
      <w:r>
        <w:rPr>
          <w:rFonts w:hint="eastAsia" w:ascii="Times New Roman" w:hAnsi="Times New Roman" w:cs="Times New Roman"/>
          <w:b/>
          <w:bCs/>
          <w:color w:val="auto"/>
          <w:sz w:val="24"/>
        </w:rPr>
        <w:t>。</w:t>
      </w:r>
    </w:p>
    <w:p>
      <w:pPr>
        <w:pStyle w:val="2"/>
        <w:jc w:val="right"/>
        <w:rPr>
          <w:rFonts w:ascii="Times New Roman" w:hAnsi="Times New Roman" w:cs="Times New Roman"/>
          <w:color w:val="auto"/>
          <w:sz w:val="24"/>
        </w:rPr>
      </w:pPr>
    </w:p>
    <w:p>
      <w:pPr>
        <w:spacing w:line="440" w:lineRule="exact"/>
        <w:jc w:val="right"/>
        <w:rPr>
          <w:rFonts w:ascii="Times New Roman" w:hAnsi="Times New Roman" w:cs="Times New Roman"/>
          <w:color w:val="auto"/>
          <w:sz w:val="24"/>
          <w:u w:val="single"/>
        </w:rPr>
      </w:pPr>
      <w:r>
        <w:rPr>
          <w:rFonts w:ascii="Times New Roman" w:hAnsi="Times New Roman" w:cs="Times New Roman"/>
          <w:color w:val="auto"/>
          <w:sz w:val="24"/>
        </w:rPr>
        <w:t>供应商：</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(盖单位章)</w:t>
      </w:r>
    </w:p>
    <w:p>
      <w:pPr>
        <w:pStyle w:val="2"/>
        <w:jc w:val="right"/>
        <w:rPr>
          <w:rFonts w:hint="eastAsia" w:ascii="Times New Roman" w:hAnsi="Times New Roman" w:cs="Times New Roman"/>
          <w:color w:val="auto"/>
          <w:sz w:val="24"/>
          <w:u w:val="single"/>
          <w:lang w:val="en-US" w:eastAsia="zh-CN"/>
        </w:rPr>
      </w:pPr>
    </w:p>
    <w:p>
      <w:pPr>
        <w:pStyle w:val="2"/>
        <w:jc w:val="right"/>
        <w:rPr>
          <w:color w:val="auto"/>
          <w:u w:val="single"/>
        </w:rPr>
      </w:pP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年</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center"/>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rPr>
          <w:rFonts w:hint="default" w:ascii="Times New Roman" w:hAnsi="Times New Roman" w:eastAsia="黑体" w:cs="Times New Roman"/>
          <w:color w:val="auto"/>
          <w:sz w:val="28"/>
          <w:szCs w:val="28"/>
          <w:highlight w:val="none"/>
        </w:rPr>
      </w:pPr>
      <w:bookmarkStart w:id="176" w:name="_Toc12889_WPSOffice_Level1"/>
      <w:bookmarkStart w:id="177" w:name="_Toc11219_WPSOffice_Level1"/>
      <w:bookmarkStart w:id="178" w:name="_Toc22303_WPSOffice_Level1"/>
      <w:bookmarkStart w:id="179" w:name="_Toc2428_WPSOffice_Level1"/>
      <w:bookmarkStart w:id="180" w:name="_Toc15887_WPSOffice_Level1"/>
      <w:bookmarkStart w:id="181" w:name="_Toc13165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bookmarkEnd w:id="176"/>
      <w:bookmarkEnd w:id="177"/>
      <w:bookmarkEnd w:id="178"/>
      <w:bookmarkEnd w:id="179"/>
      <w:bookmarkEnd w:id="180"/>
      <w:bookmarkEnd w:id="181"/>
      <w:r>
        <w:rPr>
          <w:rFonts w:hint="eastAsia" w:ascii="Times New Roman" w:hAnsi="Times New Roman" w:eastAsia="黑体" w:cs="Times New Roman"/>
          <w:color w:val="auto"/>
          <w:sz w:val="28"/>
          <w:szCs w:val="28"/>
          <w:highlight w:val="none"/>
          <w:lang w:val="en-US" w:eastAsia="zh-CN"/>
        </w:rPr>
        <w:t>场地及设备基本情况</w:t>
      </w:r>
    </w:p>
    <w:p>
      <w:pPr>
        <w:pStyle w:val="18"/>
        <w:jc w:val="left"/>
        <w:rPr>
          <w:rFonts w:hint="eastAsia" w:ascii="Times New Roman" w:hAnsi="Times New Roman"/>
          <w:color w:val="auto"/>
          <w:szCs w:val="28"/>
          <w:highlight w:val="none"/>
        </w:rPr>
      </w:pPr>
    </w:p>
    <w:p>
      <w:pPr>
        <w:pStyle w:val="2"/>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5-1、设备情况</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907"/>
        <w:gridCol w:w="2196"/>
        <w:gridCol w:w="253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color w:val="auto"/>
                <w:sz w:val="28"/>
                <w:szCs w:val="28"/>
              </w:rPr>
            </w:pPr>
            <w:r>
              <w:rPr>
                <w:rFonts w:hint="eastAsia" w:ascii="Times New Roman" w:hAnsi="Times New Roman" w:cs="Times New Roman"/>
                <w:color w:val="auto"/>
                <w:sz w:val="24"/>
                <w:szCs w:val="28"/>
                <w:lang w:val="en-US" w:eastAsia="zh-CN"/>
              </w:rPr>
              <w:t>序号</w:t>
            </w:r>
          </w:p>
        </w:tc>
        <w:tc>
          <w:tcPr>
            <w:tcW w:w="1907" w:type="dxa"/>
            <w:vAlign w:val="top"/>
          </w:tcPr>
          <w:p>
            <w:pPr>
              <w:keepNext w:val="0"/>
              <w:keepLines w:val="0"/>
              <w:pageBreakBefore w:val="0"/>
              <w:kinsoku/>
              <w:wordWrap/>
              <w:overflowPunct/>
              <w:topLinePunct w:val="0"/>
              <w:autoSpaceDE/>
              <w:autoSpaceDN/>
              <w:bidi w:val="0"/>
              <w:spacing w:line="440" w:lineRule="exact"/>
              <w:jc w:val="center"/>
              <w:textAlignment w:val="auto"/>
              <w:rPr>
                <w:rFonts w:hint="default" w:ascii="仿宋_GB2312" w:hAnsi="仿宋_GB2312" w:eastAsia="仿宋_GB2312" w:cs="仿宋_GB2312"/>
                <w:color w:val="auto"/>
                <w:sz w:val="28"/>
                <w:szCs w:val="28"/>
                <w:lang w:val="en-US" w:eastAsia="zh-CN"/>
              </w:rPr>
            </w:pPr>
            <w:r>
              <w:rPr>
                <w:rFonts w:hint="eastAsia" w:ascii="Times New Roman" w:hAnsi="Times New Roman" w:cs="Times New Roman"/>
                <w:color w:val="auto"/>
                <w:sz w:val="24"/>
                <w:szCs w:val="28"/>
                <w:lang w:val="en-US" w:eastAsia="zh-CN"/>
              </w:rPr>
              <w:t>设备名称</w:t>
            </w:r>
          </w:p>
        </w:tc>
        <w:tc>
          <w:tcPr>
            <w:tcW w:w="2196"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厂家</w:t>
            </w:r>
          </w:p>
        </w:tc>
        <w:tc>
          <w:tcPr>
            <w:tcW w:w="2533"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功能</w:t>
            </w:r>
          </w:p>
        </w:tc>
        <w:tc>
          <w:tcPr>
            <w:tcW w:w="1086"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1</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2</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3</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4</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5</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6</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7</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8</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9</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vAlign w:val="top"/>
          </w:tcPr>
          <w:p>
            <w:pPr>
              <w:keepNext w:val="0"/>
              <w:keepLines w:val="0"/>
              <w:pageBreakBefore w:val="0"/>
              <w:kinsoku/>
              <w:wordWrap/>
              <w:overflowPunct/>
              <w:topLinePunct w:val="0"/>
              <w:autoSpaceDE/>
              <w:autoSpaceDN/>
              <w:bidi w:val="0"/>
              <w:spacing w:line="440" w:lineRule="exact"/>
              <w:jc w:val="center"/>
              <w:textAlignment w:val="auto"/>
              <w:rPr>
                <w:rFonts w:hint="default" w:ascii="Times New Roman" w:hAnsi="Times New Roman" w:cs="Times New Roman"/>
                <w:color w:val="auto"/>
                <w:sz w:val="24"/>
                <w:szCs w:val="28"/>
                <w:lang w:val="en-US" w:eastAsia="zh-CN"/>
              </w:rPr>
            </w:pPr>
            <w:r>
              <w:rPr>
                <w:rFonts w:hint="eastAsia" w:ascii="Times New Roman" w:hAnsi="Times New Roman" w:cs="Times New Roman"/>
                <w:color w:val="auto"/>
                <w:sz w:val="24"/>
                <w:szCs w:val="28"/>
                <w:lang w:val="en-US" w:eastAsia="zh-CN"/>
              </w:rPr>
              <w:t>10</w:t>
            </w:r>
          </w:p>
        </w:tc>
        <w:tc>
          <w:tcPr>
            <w:tcW w:w="1907"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19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2533"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c>
          <w:tcPr>
            <w:tcW w:w="1086" w:type="dxa"/>
            <w:vAlign w:val="top"/>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rPr>
            </w:pPr>
          </w:p>
        </w:tc>
      </w:tr>
    </w:tbl>
    <w:p>
      <w:pPr>
        <w:pStyle w:val="2"/>
        <w:numPr>
          <w:ilvl w:val="0"/>
          <w:numId w:val="0"/>
        </w:numPr>
        <w:rPr>
          <w:rFonts w:hint="eastAsia"/>
          <w:b/>
          <w:bCs/>
          <w:lang w:val="en-US" w:eastAsia="zh-CN"/>
        </w:rPr>
      </w:pPr>
      <w:r>
        <w:rPr>
          <w:rFonts w:hint="eastAsia"/>
          <w:b/>
          <w:bCs/>
          <w:lang w:val="en-US" w:eastAsia="zh-CN"/>
        </w:rPr>
        <w:t>注：本表后需附现场设备照片等相关证明材料</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2"/>
        <w:rPr>
          <w:rFonts w:hint="eastAsia" w:ascii="Times New Roman" w:hAnsi="Times New Roman" w:eastAsia="黑体" w:cs="Times New Roman"/>
          <w:color w:val="auto"/>
          <w:sz w:val="24"/>
          <w:szCs w:val="24"/>
          <w:lang w:val="en-US" w:eastAsia="zh-CN"/>
        </w:rPr>
      </w:pPr>
    </w:p>
    <w:p>
      <w:pPr>
        <w:pStyle w:val="18"/>
        <w:numPr>
          <w:ilvl w:val="0"/>
          <w:numId w:val="0"/>
        </w:numPr>
        <w:spacing w:line="360" w:lineRule="auto"/>
        <w:rPr>
          <w:rFonts w:hint="default" w:ascii="Times New Roman" w:hAnsi="Times New Roman"/>
          <w:color w:val="auto"/>
          <w:szCs w:val="28"/>
          <w:lang w:val="en-US" w:eastAsia="zh-CN"/>
        </w:rPr>
      </w:pPr>
      <w:r>
        <w:rPr>
          <w:rFonts w:hint="eastAsia" w:ascii="Times New Roman" w:hAnsi="Times New Roman"/>
          <w:color w:val="auto"/>
          <w:szCs w:val="28"/>
          <w:lang w:val="en-US" w:eastAsia="zh-CN"/>
        </w:rPr>
        <w:t>5-2、本页附供应商营业场所租赁合同或产权证明（内容须体现场所面积）和供应商至采购人的驾车距离定位截图(高德导航)</w:t>
      </w:r>
    </w:p>
    <w:p>
      <w:pPr>
        <w:pStyle w:val="2"/>
        <w:rPr>
          <w:rFonts w:hint="default" w:ascii="Times New Roman" w:hAnsi="Times New Roman" w:eastAsia="黑体" w:cs="Times New Roman"/>
          <w:color w:val="auto"/>
          <w:sz w:val="24"/>
          <w:szCs w:val="24"/>
          <w:lang w:val="en-US" w:eastAsia="zh-CN"/>
        </w:rPr>
      </w:pPr>
    </w:p>
    <w:p>
      <w:pPr>
        <w:spacing w:line="400" w:lineRule="atLeast"/>
        <w:ind w:firstLine="480" w:firstLineChars="200"/>
        <w:jc w:val="left"/>
        <w:rPr>
          <w:rFonts w:hint="default" w:ascii="Times New Roman" w:hAnsi="Times New Roman" w:eastAsia="黑体" w:cs="Times New Roman"/>
          <w:strike/>
          <w:color w:val="auto"/>
          <w:sz w:val="21"/>
          <w:szCs w:val="21"/>
          <w:highlight w:val="none"/>
          <w:u w:val="none"/>
        </w:rPr>
      </w:pPr>
      <w:r>
        <w:rPr>
          <w:rFonts w:hint="default" w:ascii="Times New Roman" w:hAnsi="Times New Roman" w:cs="Times New Roman"/>
          <w:color w:val="auto"/>
          <w:sz w:val="24"/>
          <w:szCs w:val="28"/>
          <w:highlight w:val="none"/>
          <w:lang w:val="en-US" w:eastAsia="zh-CN"/>
        </w:rPr>
        <w:br w:type="page"/>
      </w:r>
    </w:p>
    <w:p>
      <w:pPr>
        <w:spacing w:line="400" w:lineRule="atLeas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六、</w:t>
      </w:r>
      <w:r>
        <w:rPr>
          <w:rFonts w:ascii="Times New Roman" w:hAnsi="Times New Roman" w:eastAsia="黑体" w:cs="Times New Roman"/>
          <w:color w:val="auto"/>
          <w:sz w:val="28"/>
          <w:szCs w:val="28"/>
        </w:rPr>
        <w:t>其它材料</w:t>
      </w:r>
    </w:p>
    <w:p>
      <w:pPr>
        <w:pStyle w:val="18"/>
        <w:rPr>
          <w:rFonts w:hint="default" w:ascii="Times New Roman" w:hAnsi="Times New Roman"/>
          <w:color w:val="auto"/>
          <w:szCs w:val="28"/>
        </w:rPr>
      </w:pPr>
    </w:p>
    <w:p>
      <w:pPr>
        <w:pStyle w:val="18"/>
        <w:numPr>
          <w:ilvl w:val="0"/>
          <w:numId w:val="6"/>
        </w:numPr>
        <w:spacing w:line="360" w:lineRule="auto"/>
        <w:rPr>
          <w:rFonts w:hint="default" w:ascii="Times New Roman" w:hAnsi="Times New Roman"/>
          <w:color w:val="auto"/>
          <w:szCs w:val="28"/>
        </w:rPr>
      </w:pPr>
      <w:r>
        <w:rPr>
          <w:rFonts w:ascii="Times New Roman" w:hAnsi="Times New Roman"/>
          <w:color w:val="auto"/>
          <w:szCs w:val="28"/>
        </w:rPr>
        <w:t>响应保证金的银行凭证（电汇回单）复印件或扫描件</w:t>
      </w:r>
      <w:r>
        <w:rPr>
          <w:rFonts w:hint="eastAsia" w:ascii="Times New Roman" w:hAnsi="Times New Roman"/>
          <w:color w:val="auto"/>
          <w:szCs w:val="28"/>
          <w:lang w:eastAsia="zh-CN"/>
        </w:rPr>
        <w:t>。</w:t>
      </w:r>
    </w:p>
    <w:p>
      <w:pPr>
        <w:pStyle w:val="18"/>
        <w:numPr>
          <w:ilvl w:val="255"/>
          <w:numId w:val="0"/>
        </w:numPr>
        <w:spacing w:line="360" w:lineRule="auto"/>
        <w:rPr>
          <w:rFonts w:hint="default"/>
          <w:color w:val="auto"/>
        </w:rPr>
      </w:pPr>
      <w:r>
        <w:rPr>
          <w:rFonts w:ascii="Times New Roman" w:hAnsi="Times New Roman"/>
          <w:color w:val="auto"/>
          <w:szCs w:val="28"/>
        </w:rPr>
        <w:t>2、供应商认为有必要提交的材料。</w:t>
      </w:r>
    </w:p>
    <w:p>
      <w:pPr>
        <w:pStyle w:val="3"/>
        <w:jc w:val="both"/>
        <w:rPr>
          <w:rFonts w:hint="eastAsia"/>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spacing w:line="400" w:lineRule="atLeast"/>
        <w:jc w:val="center"/>
        <w:rPr>
          <w:rFonts w:hint="default" w:ascii="Times New Roman" w:hAnsi="Times New Roman" w:eastAsia="黑体" w:cs="Times New Roman"/>
          <w:color w:val="auto"/>
          <w:sz w:val="28"/>
          <w:szCs w:val="28"/>
          <w:lang w:val="en-US" w:eastAsia="zh-CN"/>
        </w:rPr>
      </w:pPr>
      <w:r>
        <w:rPr>
          <w:rFonts w:hint="eastAsia" w:ascii="Times New Roman" w:hAnsi="Times New Roman" w:eastAsia="黑体" w:cs="Times New Roman"/>
          <w:color w:val="auto"/>
          <w:sz w:val="28"/>
          <w:szCs w:val="28"/>
          <w:lang w:val="en-US" w:eastAsia="zh-CN"/>
        </w:rPr>
        <w:t>七、服务方案</w:t>
      </w:r>
      <w:bookmarkStart w:id="182" w:name="_GoBack"/>
      <w:bookmarkEnd w:id="182"/>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16"/>
                            </w:rPr>
                            <w:instrText xml:space="preserve"> PAGE </w:instrText>
                          </w:r>
                          <w:r>
                            <w:fldChar w:fldCharType="separate"/>
                          </w:r>
                          <w:r>
                            <w:rPr>
                              <w:rStyle w:val="16"/>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16"/>
                      </w:rPr>
                      <w:instrText xml:space="preserve"> PAGE </w:instrText>
                    </w:r>
                    <w:r>
                      <w:fldChar w:fldCharType="separate"/>
                    </w:r>
                    <w:r>
                      <w:rPr>
                        <w:rStyle w:val="16"/>
                      </w:rPr>
                      <w:t>- 131 -</w:t>
                    </w:r>
                    <w: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A08BAC9"/>
    <w:multiLevelType w:val="singleLevel"/>
    <w:tmpl w:val="FA08BAC9"/>
    <w:lvl w:ilvl="0" w:tentative="0">
      <w:start w:val="1"/>
      <w:numFmt w:val="decimal"/>
      <w:suff w:val="nothing"/>
      <w:lvlText w:val="%1、"/>
      <w:lvlJc w:val="left"/>
    </w:lvl>
  </w:abstractNum>
  <w:abstractNum w:abstractNumId="2">
    <w:nsid w:val="04247E1C"/>
    <w:multiLevelType w:val="multilevel"/>
    <w:tmpl w:val="04247E1C"/>
    <w:lvl w:ilvl="0" w:tentative="0">
      <w:start w:val="1"/>
      <w:numFmt w:val="decimal"/>
      <w:lvlText w:val="（%1）"/>
      <w:lvlJc w:val="left"/>
      <w:pPr>
        <w:ind w:left="987" w:hanging="420"/>
      </w:pPr>
      <w:rPr>
        <w:rFonts w:hint="eastAsia" w:cs="Times New Roman"/>
      </w:rPr>
    </w:lvl>
    <w:lvl w:ilvl="1" w:tentative="0">
      <w:start w:val="1"/>
      <w:numFmt w:val="lowerLetter"/>
      <w:pStyle w:val="21"/>
      <w:lvlText w:val="%2)"/>
      <w:lvlJc w:val="left"/>
      <w:pPr>
        <w:ind w:left="1413"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3">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4">
    <w:nsid w:val="69033E17"/>
    <w:multiLevelType w:val="singleLevel"/>
    <w:tmpl w:val="69033E17"/>
    <w:lvl w:ilvl="0" w:tentative="0">
      <w:start w:val="1"/>
      <w:numFmt w:val="decimal"/>
      <w:suff w:val="nothing"/>
      <w:lvlText w:val="%1、"/>
      <w:lvlJc w:val="left"/>
    </w:lvl>
  </w:abstractNum>
  <w:abstractNum w:abstractNumId="5">
    <w:nsid w:val="748D16CD"/>
    <w:multiLevelType w:val="multilevel"/>
    <w:tmpl w:val="748D16CD"/>
    <w:lvl w:ilvl="0" w:tentative="0">
      <w:start w:val="1"/>
      <w:numFmt w:val="decimal"/>
      <w:pStyle w:val="22"/>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6E33"/>
    <w:rsid w:val="008278A3"/>
    <w:rsid w:val="00FE4BB5"/>
    <w:rsid w:val="0135622E"/>
    <w:rsid w:val="016D5342"/>
    <w:rsid w:val="018244E8"/>
    <w:rsid w:val="01BD47F2"/>
    <w:rsid w:val="0208784F"/>
    <w:rsid w:val="020C3074"/>
    <w:rsid w:val="027E48CC"/>
    <w:rsid w:val="04074FB1"/>
    <w:rsid w:val="04692A21"/>
    <w:rsid w:val="048544A5"/>
    <w:rsid w:val="048819C4"/>
    <w:rsid w:val="04C904A2"/>
    <w:rsid w:val="050A242F"/>
    <w:rsid w:val="054D3968"/>
    <w:rsid w:val="055B608E"/>
    <w:rsid w:val="05F17CC7"/>
    <w:rsid w:val="05F460D1"/>
    <w:rsid w:val="06296B1B"/>
    <w:rsid w:val="064363F7"/>
    <w:rsid w:val="066F01A0"/>
    <w:rsid w:val="071F4C01"/>
    <w:rsid w:val="083B178D"/>
    <w:rsid w:val="08E46DD4"/>
    <w:rsid w:val="09175C96"/>
    <w:rsid w:val="09B03059"/>
    <w:rsid w:val="09DF1D71"/>
    <w:rsid w:val="0A1A48E5"/>
    <w:rsid w:val="0AE65B6F"/>
    <w:rsid w:val="0B0460EF"/>
    <w:rsid w:val="0B9D1D9F"/>
    <w:rsid w:val="0BFE6705"/>
    <w:rsid w:val="0C177D5B"/>
    <w:rsid w:val="0C6A29D8"/>
    <w:rsid w:val="0D06026B"/>
    <w:rsid w:val="0DBE6E39"/>
    <w:rsid w:val="0DD03ACF"/>
    <w:rsid w:val="0DDF0F08"/>
    <w:rsid w:val="0E1C325A"/>
    <w:rsid w:val="0E8573E3"/>
    <w:rsid w:val="0ED31895"/>
    <w:rsid w:val="0F443A2B"/>
    <w:rsid w:val="0F7A0F49"/>
    <w:rsid w:val="0FE42D1C"/>
    <w:rsid w:val="0FE90FFC"/>
    <w:rsid w:val="10300626"/>
    <w:rsid w:val="10593070"/>
    <w:rsid w:val="11271E41"/>
    <w:rsid w:val="114B0C09"/>
    <w:rsid w:val="118B4E43"/>
    <w:rsid w:val="11B963FE"/>
    <w:rsid w:val="12A5062D"/>
    <w:rsid w:val="135E651F"/>
    <w:rsid w:val="141B3407"/>
    <w:rsid w:val="14296D75"/>
    <w:rsid w:val="14B939B0"/>
    <w:rsid w:val="14DB748A"/>
    <w:rsid w:val="16575311"/>
    <w:rsid w:val="16664AD6"/>
    <w:rsid w:val="16B65E51"/>
    <w:rsid w:val="1773572F"/>
    <w:rsid w:val="18116229"/>
    <w:rsid w:val="18581E27"/>
    <w:rsid w:val="18F953B8"/>
    <w:rsid w:val="19095C10"/>
    <w:rsid w:val="19516FA3"/>
    <w:rsid w:val="195900EA"/>
    <w:rsid w:val="1984251C"/>
    <w:rsid w:val="1A324575"/>
    <w:rsid w:val="1A7F2C49"/>
    <w:rsid w:val="1A9D5276"/>
    <w:rsid w:val="1BAE48A9"/>
    <w:rsid w:val="1CE4629D"/>
    <w:rsid w:val="1D415439"/>
    <w:rsid w:val="1DE0155D"/>
    <w:rsid w:val="1DE42681"/>
    <w:rsid w:val="1E28404A"/>
    <w:rsid w:val="1F1A1EB5"/>
    <w:rsid w:val="1F204DCB"/>
    <w:rsid w:val="1F303633"/>
    <w:rsid w:val="1F780FA2"/>
    <w:rsid w:val="1FCB2EDF"/>
    <w:rsid w:val="20660F77"/>
    <w:rsid w:val="20FE0952"/>
    <w:rsid w:val="22515A6F"/>
    <w:rsid w:val="22D86451"/>
    <w:rsid w:val="234D3927"/>
    <w:rsid w:val="23854494"/>
    <w:rsid w:val="238564FF"/>
    <w:rsid w:val="23F96A09"/>
    <w:rsid w:val="25FE427D"/>
    <w:rsid w:val="260333D3"/>
    <w:rsid w:val="265D1326"/>
    <w:rsid w:val="26907452"/>
    <w:rsid w:val="26C244FC"/>
    <w:rsid w:val="26FC4AB8"/>
    <w:rsid w:val="279F7839"/>
    <w:rsid w:val="27C13526"/>
    <w:rsid w:val="28396551"/>
    <w:rsid w:val="28F90474"/>
    <w:rsid w:val="2A2A79F3"/>
    <w:rsid w:val="2A6033D4"/>
    <w:rsid w:val="2A8D5CBA"/>
    <w:rsid w:val="2AE56FFF"/>
    <w:rsid w:val="2AEF03C9"/>
    <w:rsid w:val="2B826135"/>
    <w:rsid w:val="2BC82F3A"/>
    <w:rsid w:val="2BCD78C0"/>
    <w:rsid w:val="2BE6373E"/>
    <w:rsid w:val="2C3E5ADB"/>
    <w:rsid w:val="2C984F64"/>
    <w:rsid w:val="2D376489"/>
    <w:rsid w:val="2D470CB6"/>
    <w:rsid w:val="2DD821E9"/>
    <w:rsid w:val="2F413246"/>
    <w:rsid w:val="2F4D56BE"/>
    <w:rsid w:val="300F5CEA"/>
    <w:rsid w:val="30646D85"/>
    <w:rsid w:val="30850E88"/>
    <w:rsid w:val="309955B1"/>
    <w:rsid w:val="31210AEE"/>
    <w:rsid w:val="321B5865"/>
    <w:rsid w:val="327D17AF"/>
    <w:rsid w:val="34C977FD"/>
    <w:rsid w:val="34CA155F"/>
    <w:rsid w:val="34EA6AF7"/>
    <w:rsid w:val="350247A6"/>
    <w:rsid w:val="35CC08F4"/>
    <w:rsid w:val="368B1D94"/>
    <w:rsid w:val="3699770E"/>
    <w:rsid w:val="372E550E"/>
    <w:rsid w:val="37496512"/>
    <w:rsid w:val="37723458"/>
    <w:rsid w:val="37DE5A4E"/>
    <w:rsid w:val="37E21E69"/>
    <w:rsid w:val="37F2200E"/>
    <w:rsid w:val="3975239E"/>
    <w:rsid w:val="39EA5D4D"/>
    <w:rsid w:val="3A783B98"/>
    <w:rsid w:val="3A7F148E"/>
    <w:rsid w:val="3A914ED0"/>
    <w:rsid w:val="3AA30374"/>
    <w:rsid w:val="3B223487"/>
    <w:rsid w:val="3B5F0FCC"/>
    <w:rsid w:val="3BE61494"/>
    <w:rsid w:val="3C121E2E"/>
    <w:rsid w:val="3C4A684E"/>
    <w:rsid w:val="3CA52FDE"/>
    <w:rsid w:val="3DDD5912"/>
    <w:rsid w:val="3E30208F"/>
    <w:rsid w:val="3E765FDF"/>
    <w:rsid w:val="3E960492"/>
    <w:rsid w:val="3FA2002D"/>
    <w:rsid w:val="3FE979F1"/>
    <w:rsid w:val="40EA3B3B"/>
    <w:rsid w:val="415845AC"/>
    <w:rsid w:val="427153BA"/>
    <w:rsid w:val="42A26546"/>
    <w:rsid w:val="432E1FDC"/>
    <w:rsid w:val="436421EF"/>
    <w:rsid w:val="43B43C57"/>
    <w:rsid w:val="44360ECB"/>
    <w:rsid w:val="44A05B93"/>
    <w:rsid w:val="44E2420A"/>
    <w:rsid w:val="44F311F9"/>
    <w:rsid w:val="451E1BAD"/>
    <w:rsid w:val="45821B61"/>
    <w:rsid w:val="45EA0A32"/>
    <w:rsid w:val="46200ECB"/>
    <w:rsid w:val="46CC73B9"/>
    <w:rsid w:val="46E11293"/>
    <w:rsid w:val="475D6979"/>
    <w:rsid w:val="47637C8F"/>
    <w:rsid w:val="477912EF"/>
    <w:rsid w:val="47853361"/>
    <w:rsid w:val="478C4766"/>
    <w:rsid w:val="481728B6"/>
    <w:rsid w:val="48C52380"/>
    <w:rsid w:val="49172460"/>
    <w:rsid w:val="49430CDD"/>
    <w:rsid w:val="49964E8E"/>
    <w:rsid w:val="49BB4150"/>
    <w:rsid w:val="49F3181B"/>
    <w:rsid w:val="4A0654DC"/>
    <w:rsid w:val="4A86787B"/>
    <w:rsid w:val="4A8A6194"/>
    <w:rsid w:val="4AB307F7"/>
    <w:rsid w:val="4B7852FD"/>
    <w:rsid w:val="4C123C4C"/>
    <w:rsid w:val="4C13549C"/>
    <w:rsid w:val="4C2F046C"/>
    <w:rsid w:val="4C6614CA"/>
    <w:rsid w:val="4C737E9A"/>
    <w:rsid w:val="4CAB77B7"/>
    <w:rsid w:val="4D3006A2"/>
    <w:rsid w:val="4D3D5C8C"/>
    <w:rsid w:val="4D7267BF"/>
    <w:rsid w:val="4DD7665C"/>
    <w:rsid w:val="4E3F6917"/>
    <w:rsid w:val="4ED90349"/>
    <w:rsid w:val="4FF463DF"/>
    <w:rsid w:val="503C65DF"/>
    <w:rsid w:val="51745C78"/>
    <w:rsid w:val="51B278FC"/>
    <w:rsid w:val="52601F3A"/>
    <w:rsid w:val="52685B92"/>
    <w:rsid w:val="52880324"/>
    <w:rsid w:val="52F537F4"/>
    <w:rsid w:val="530D0AED"/>
    <w:rsid w:val="53436CB1"/>
    <w:rsid w:val="54455CD4"/>
    <w:rsid w:val="54554236"/>
    <w:rsid w:val="54B83F4D"/>
    <w:rsid w:val="555E1B24"/>
    <w:rsid w:val="55833339"/>
    <w:rsid w:val="562E7748"/>
    <w:rsid w:val="5634266E"/>
    <w:rsid w:val="566A737F"/>
    <w:rsid w:val="569441A8"/>
    <w:rsid w:val="56C90DDF"/>
    <w:rsid w:val="56DE3CD8"/>
    <w:rsid w:val="577E025B"/>
    <w:rsid w:val="579919CC"/>
    <w:rsid w:val="57BA4B9C"/>
    <w:rsid w:val="57C7330F"/>
    <w:rsid w:val="58D53B8F"/>
    <w:rsid w:val="5936132E"/>
    <w:rsid w:val="59701765"/>
    <w:rsid w:val="59E97EE7"/>
    <w:rsid w:val="5A893FD9"/>
    <w:rsid w:val="5AC16A76"/>
    <w:rsid w:val="5AD043E5"/>
    <w:rsid w:val="5CA803F2"/>
    <w:rsid w:val="5E6B27D5"/>
    <w:rsid w:val="5ECA0A0D"/>
    <w:rsid w:val="5F722D4A"/>
    <w:rsid w:val="5F8913FD"/>
    <w:rsid w:val="601F72A1"/>
    <w:rsid w:val="607232EA"/>
    <w:rsid w:val="610139B4"/>
    <w:rsid w:val="61693D2A"/>
    <w:rsid w:val="61DF08A0"/>
    <w:rsid w:val="62307541"/>
    <w:rsid w:val="62A225CD"/>
    <w:rsid w:val="63976FED"/>
    <w:rsid w:val="63C053AE"/>
    <w:rsid w:val="63FF56F6"/>
    <w:rsid w:val="64C319A4"/>
    <w:rsid w:val="64C565B6"/>
    <w:rsid w:val="64FC725D"/>
    <w:rsid w:val="651905F4"/>
    <w:rsid w:val="65DC02BD"/>
    <w:rsid w:val="671513A2"/>
    <w:rsid w:val="675524C9"/>
    <w:rsid w:val="6786769D"/>
    <w:rsid w:val="67EF7A91"/>
    <w:rsid w:val="681F0A32"/>
    <w:rsid w:val="6850354E"/>
    <w:rsid w:val="689F4FE6"/>
    <w:rsid w:val="69112C50"/>
    <w:rsid w:val="6949395E"/>
    <w:rsid w:val="69FD3C02"/>
    <w:rsid w:val="6A0C34CA"/>
    <w:rsid w:val="6B82704C"/>
    <w:rsid w:val="6BAF2C21"/>
    <w:rsid w:val="6BEE1101"/>
    <w:rsid w:val="6CFB692B"/>
    <w:rsid w:val="6D3805EE"/>
    <w:rsid w:val="6FC17BD8"/>
    <w:rsid w:val="6FDF3FA3"/>
    <w:rsid w:val="6FE97CD1"/>
    <w:rsid w:val="70980188"/>
    <w:rsid w:val="7183453E"/>
    <w:rsid w:val="7260474D"/>
    <w:rsid w:val="72B97FD0"/>
    <w:rsid w:val="72DA65F8"/>
    <w:rsid w:val="732A71D7"/>
    <w:rsid w:val="73F43712"/>
    <w:rsid w:val="74021A26"/>
    <w:rsid w:val="740E43AB"/>
    <w:rsid w:val="74CA36C9"/>
    <w:rsid w:val="74FD0657"/>
    <w:rsid w:val="75856EB5"/>
    <w:rsid w:val="762632A3"/>
    <w:rsid w:val="76E94BEB"/>
    <w:rsid w:val="77A37E61"/>
    <w:rsid w:val="77FC2009"/>
    <w:rsid w:val="780B7492"/>
    <w:rsid w:val="78753B6C"/>
    <w:rsid w:val="78875432"/>
    <w:rsid w:val="78A12FD9"/>
    <w:rsid w:val="79097F2C"/>
    <w:rsid w:val="79A13BB0"/>
    <w:rsid w:val="7B0408F4"/>
    <w:rsid w:val="7C60417D"/>
    <w:rsid w:val="7CFE2E70"/>
    <w:rsid w:val="7D790FB7"/>
    <w:rsid w:val="7DB36117"/>
    <w:rsid w:val="7E015071"/>
    <w:rsid w:val="7E1E60AD"/>
    <w:rsid w:val="7F7A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beforeAutospacing="1" w:afterAutospacing="1"/>
    </w:pPr>
  </w:style>
  <w:style w:type="paragraph" w:styleId="11">
    <w:name w:val="Body Text First Indent 2"/>
    <w:basedOn w:val="7"/>
    <w:next w:val="1"/>
    <w:qFormat/>
    <w:uiPriority w:val="0"/>
    <w:pPr>
      <w:ind w:firstLine="20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引言二级条标题"/>
    <w:basedOn w:val="22"/>
    <w:next w:val="23"/>
    <w:qFormat/>
    <w:uiPriority w:val="99"/>
    <w:pPr>
      <w:numPr>
        <w:ilvl w:val="1"/>
        <w:numId w:val="3"/>
      </w:numPr>
      <w:tabs>
        <w:tab w:val="left" w:pos="360"/>
        <w:tab w:val="left" w:pos="1200"/>
      </w:tabs>
    </w:pPr>
    <w:rPr>
      <w:b w:val="0"/>
    </w:rPr>
  </w:style>
  <w:style w:type="paragraph" w:customStyle="1" w:styleId="22">
    <w:name w:val="引言一级条标题"/>
    <w:basedOn w:val="1"/>
    <w:next w:val="23"/>
    <w:qFormat/>
    <w:uiPriority w:val="99"/>
    <w:pPr>
      <w:numPr>
        <w:ilvl w:val="0"/>
        <w:numId w:val="4"/>
      </w:numPr>
    </w:pPr>
    <w:rPr>
      <w:rFonts w:eastAsia="黑体"/>
      <w:b/>
      <w:szCs w:val="20"/>
    </w:rPr>
  </w:style>
  <w:style w:type="paragraph" w:customStyle="1" w:styleId="23">
    <w:name w:val="段"/>
    <w:qFormat/>
    <w:uiPriority w:val="0"/>
    <w:pPr>
      <w:autoSpaceDE w:val="0"/>
      <w:autoSpaceDN w:val="0"/>
      <w:ind w:firstLine="200" w:firstLineChars="200"/>
      <w:jc w:val="both"/>
    </w:pPr>
    <w:rPr>
      <w:rFonts w:ascii="宋体" w:hAnsi="宋体" w:eastAsia="宋体" w:cs="黑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6957adf-d215-44c1-bb17-49c9840aa861}"/>
        <w:style w:val=""/>
        <w:category>
          <w:name w:val="常规"/>
          <w:gallery w:val="placeholder"/>
        </w:category>
        <w:types>
          <w:type w:val="bbPlcHdr"/>
        </w:types>
        <w:behaviors>
          <w:behavior w:val="content"/>
        </w:behaviors>
        <w:description w:val=""/>
        <w:guid w:val="{b6957adf-d215-44c1-bb17-49c9840aa861}"/>
      </w:docPartPr>
      <w:docPartBody>
        <w:p>
          <w:r>
            <w:rPr>
              <w:color w:val="808080"/>
            </w:rPr>
            <w:t>单击此处输入文字。</w:t>
          </w:r>
        </w:p>
      </w:docPartBody>
    </w:docPart>
    <w:docPart>
      <w:docPartPr>
        <w:name w:val="{4f7355f8-5eb1-423f-bb33-2687f9fcd0e2}"/>
        <w:style w:val=""/>
        <w:category>
          <w:name w:val="常规"/>
          <w:gallery w:val="placeholder"/>
        </w:category>
        <w:types>
          <w:type w:val="bbPlcHdr"/>
        </w:types>
        <w:behaviors>
          <w:behavior w:val="content"/>
        </w:behaviors>
        <w:description w:val=""/>
        <w:guid w:val="{4f7355f8-5eb1-423f-bb33-2687f9fcd0e2}"/>
      </w:docPartPr>
      <w:docPartBody>
        <w:p>
          <w:r>
            <w:rPr>
              <w:color w:val="808080"/>
            </w:rPr>
            <w:t>单击此处输入文字。</w:t>
          </w:r>
        </w:p>
      </w:docPartBody>
    </w:docPart>
    <w:docPart>
      <w:docPartPr>
        <w:name w:val="{3854e258-ac21-45a4-9132-e18026d10f8b}"/>
        <w:style w:val=""/>
        <w:category>
          <w:name w:val="常规"/>
          <w:gallery w:val="placeholder"/>
        </w:category>
        <w:types>
          <w:type w:val="bbPlcHdr"/>
        </w:types>
        <w:behaviors>
          <w:behavior w:val="content"/>
        </w:behaviors>
        <w:description w:val=""/>
        <w:guid w:val="{3854e258-ac21-45a4-9132-e18026d10f8b}"/>
      </w:docPartPr>
      <w:docPartBody>
        <w:p>
          <w:r>
            <w:rPr>
              <w:color w:val="808080"/>
            </w:rPr>
            <w:t>单击此处输入文字。</w:t>
          </w:r>
        </w:p>
      </w:docPartBody>
    </w:docPart>
    <w:docPart>
      <w:docPartPr>
        <w:name w:val="{c70083cd-8717-4c6e-b1ee-ffb966ea5a19}"/>
        <w:style w:val=""/>
        <w:category>
          <w:name w:val="常规"/>
          <w:gallery w:val="placeholder"/>
        </w:category>
        <w:types>
          <w:type w:val="bbPlcHdr"/>
        </w:types>
        <w:behaviors>
          <w:behavior w:val="content"/>
        </w:behaviors>
        <w:description w:val=""/>
        <w:guid w:val="{c70083cd-8717-4c6e-b1ee-ffb966ea5a19}"/>
      </w:docPartPr>
      <w:docPartBody>
        <w:p>
          <w:r>
            <w:rPr>
              <w:color w:val="808080"/>
            </w:rPr>
            <w:t>单击此处输入文字。</w:t>
          </w:r>
        </w:p>
      </w:docPartBody>
    </w:docPart>
    <w:docPart>
      <w:docPartPr>
        <w:name w:val="{4e6d73f0-8588-49a8-b71b-83acfd0a9458}"/>
        <w:style w:val=""/>
        <w:category>
          <w:name w:val="常规"/>
          <w:gallery w:val="placeholder"/>
        </w:category>
        <w:types>
          <w:type w:val="bbPlcHdr"/>
        </w:types>
        <w:behaviors>
          <w:behavior w:val="content"/>
        </w:behaviors>
        <w:description w:val=""/>
        <w:guid w:val="{4e6d73f0-8588-49a8-b71b-83acfd0a9458}"/>
      </w:docPartPr>
      <w:docPartBody>
        <w:p>
          <w:r>
            <w:rPr>
              <w:color w:val="808080"/>
            </w:rPr>
            <w:t>单击此处输入文字。</w:t>
          </w:r>
        </w:p>
      </w:docPartBody>
    </w:docPart>
    <w:docPart>
      <w:docPartPr>
        <w:name w:val="{d9fe5519-3cfa-4172-abc4-c80e59195fd4}"/>
        <w:style w:val=""/>
        <w:category>
          <w:name w:val="常规"/>
          <w:gallery w:val="placeholder"/>
        </w:category>
        <w:types>
          <w:type w:val="bbPlcHdr"/>
        </w:types>
        <w:behaviors>
          <w:behavior w:val="content"/>
        </w:behaviors>
        <w:description w:val=""/>
        <w:guid w:val="{d9fe5519-3cfa-4172-abc4-c80e59195fd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2022-02-17T08:44:00Z</dcterms:created>
  <dc:creator>cpc</dc:creator>
  <cp:lastModifiedBy>赵阳</cp:lastModifiedBy>
  <dcterms:modified xsi:type="dcterms:W3CDTF">2022-03-11T08:16:40Z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1244CC87908D4ED6B68CD8FB075A7A6B</vt:lpwstr>
  </property>
</Properties>
</file>