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rPr>
      </w:pPr>
    </w:p>
    <w:p>
      <w:pPr>
        <w:pStyle w:val="2"/>
        <w:rPr>
          <w:rFonts w:ascii="Times New Roman" w:hAnsi="Times New Roman" w:cs="Times New Roman"/>
        </w:rPr>
      </w:pPr>
    </w:p>
    <w:p>
      <w:pPr>
        <w:widowControl/>
        <w:jc w:val="center"/>
        <w:rPr>
          <w:rFonts w:ascii="Times New Roman" w:hAnsi="Times New Roman" w:eastAsia="宋体" w:cs="Times New Roman"/>
          <w:sz w:val="24"/>
        </w:rPr>
      </w:pPr>
    </w:p>
    <w:p>
      <w:pPr>
        <w:widowControl/>
        <w:jc w:val="center"/>
        <w:rPr>
          <w:rFonts w:ascii="Times New Roman" w:hAnsi="Times New Roman" w:eastAsia="宋体" w:cs="Times New Roman"/>
          <w:sz w:val="24"/>
        </w:rPr>
      </w:pPr>
    </w:p>
    <w:p>
      <w:pPr>
        <w:widowControl/>
        <w:spacing w:line="360" w:lineRule="auto"/>
        <w:jc w:val="center"/>
        <w:rPr>
          <w:rFonts w:ascii="Times New Roman" w:hAnsi="Times New Roman" w:cs="Times New Roman"/>
          <w:sz w:val="48"/>
          <w:szCs w:val="48"/>
        </w:rPr>
      </w:pPr>
      <w:r>
        <w:rPr>
          <w:rFonts w:ascii="Times New Roman" w:hAnsi="Times New Roman" w:eastAsia="方正小标宋简体" w:cs="Times New Roman"/>
          <w:bCs/>
          <w:sz w:val="36"/>
          <w:szCs w:val="36"/>
        </w:rPr>
        <w:t>安徽省高速公路试验检测科研中心有限公司试验场地（园区西库）装修改造项目</w:t>
      </w:r>
    </w:p>
    <w:p>
      <w:pPr>
        <w:spacing w:line="540" w:lineRule="exact"/>
        <w:ind w:firstLine="420"/>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  比  文  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jc w:val="center"/>
        <w:rPr>
          <w:rFonts w:ascii="Times New Roman" w:hAnsi="Times New Roman" w:eastAsia="黑体" w:cs="Times New Roman"/>
          <w:sz w:val="32"/>
          <w:szCs w:val="32"/>
        </w:rPr>
      </w:pPr>
      <w:r>
        <w:rPr>
          <w:rFonts w:ascii="Times New Roman" w:hAnsi="Times New Roman" w:eastAsia="黑体" w:cs="Times New Roman"/>
          <w:sz w:val="32"/>
          <w:szCs w:val="32"/>
        </w:rPr>
        <w:t>采 购 人：</w:t>
      </w:r>
      <w:r>
        <w:rPr>
          <w:rFonts w:ascii="Times New Roman" w:hAnsi="Times New Roman" w:eastAsia="黑体" w:cs="Times New Roman"/>
          <w:sz w:val="32"/>
          <w:szCs w:val="32"/>
          <w:u w:val="single"/>
        </w:rPr>
        <w:t>安徽省高速公路试验检测科研中心有限公司</w:t>
      </w:r>
    </w:p>
    <w:p>
      <w:pPr>
        <w:snapToGrid w:val="0"/>
        <w:ind w:left="1896" w:leftChars="903"/>
        <w:rPr>
          <w:rFonts w:ascii="Times New Roman" w:hAnsi="Times New Roman" w:cs="Times New Roman"/>
          <w:sz w:val="32"/>
          <w:szCs w:val="32"/>
        </w:rPr>
      </w:pPr>
      <w:r>
        <w:rPr>
          <w:rFonts w:ascii="Times New Roman" w:hAnsi="Times New Roman" w:cs="Times New Roman"/>
          <w:sz w:val="32"/>
          <w:szCs w:val="32"/>
        </w:rPr>
        <w:t xml:space="preserve"> </w:t>
      </w:r>
    </w:p>
    <w:p>
      <w:pPr>
        <w:snapToGrid w:val="0"/>
        <w:jc w:val="center"/>
        <w:rPr>
          <w:rFonts w:ascii="Times New Roman" w:hAnsi="Times New Roman" w:cs="Times New Roman"/>
          <w:sz w:val="32"/>
          <w:szCs w:val="32"/>
        </w:rPr>
      </w:pPr>
      <w:r>
        <w:rPr>
          <w:rFonts w:ascii="Times New Roman" w:hAnsi="Times New Roman" w:eastAsia="黑体" w:cs="Times New Roman"/>
          <w:sz w:val="32"/>
          <w:szCs w:val="32"/>
        </w:rPr>
        <w:t>日    期</w:t>
      </w:r>
      <w:r>
        <w:rPr>
          <w:rFonts w:ascii="Times New Roman" w:hAnsi="Times New Roman" w:cs="Times New Roman"/>
          <w:sz w:val="32"/>
          <w:szCs w:val="32"/>
        </w:rPr>
        <w:t>：</w:t>
      </w:r>
      <w:r>
        <w:rPr>
          <w:rFonts w:ascii="Times New Roman" w:hAnsi="Times New Roman" w:eastAsia="黑体" w:cs="Times New Roman"/>
          <w:sz w:val="32"/>
          <w:szCs w:val="32"/>
          <w:u w:val="single"/>
        </w:rPr>
        <w:t xml:space="preserve"> 2022 </w:t>
      </w:r>
      <w:r>
        <w:rPr>
          <w:rFonts w:ascii="Times New Roman" w:hAnsi="Times New Roman" w:cs="Times New Roman"/>
          <w:sz w:val="32"/>
          <w:szCs w:val="32"/>
        </w:rPr>
        <w:t>年</w:t>
      </w:r>
      <w:r>
        <w:rPr>
          <w:rFonts w:ascii="Times New Roman" w:hAnsi="Times New Roman" w:eastAsia="黑体" w:cs="Times New Roman"/>
          <w:sz w:val="32"/>
          <w:szCs w:val="32"/>
          <w:u w:val="single"/>
        </w:rPr>
        <w:t xml:space="preserve"> 03 </w:t>
      </w:r>
      <w:r>
        <w:rPr>
          <w:rFonts w:ascii="Times New Roman" w:hAnsi="Times New Roman" w:cs="Times New Roman"/>
          <w:sz w:val="32"/>
          <w:szCs w:val="32"/>
        </w:rPr>
        <w:t>月</w:t>
      </w:r>
      <w:r>
        <w:rPr>
          <w:rFonts w:ascii="Times New Roman" w:hAnsi="Times New Roman" w:eastAsia="黑体" w:cs="Times New Roman"/>
          <w:sz w:val="32"/>
          <w:szCs w:val="32"/>
          <w:u w:val="single"/>
        </w:rPr>
        <w:t xml:space="preserve"> 18 </w:t>
      </w:r>
      <w:r>
        <w:rPr>
          <w:rFonts w:ascii="Times New Roman" w:hAnsi="Times New Roman" w:cs="Times New Roman"/>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ascii="Times New Roman" w:hAnsi="Times New Roman" w:eastAsia="宋体" w:cs="Times New Roman"/>
          <w:sz w:val="32"/>
          <w:szCs w:val="40"/>
        </w:rPr>
        <w:id w:val="147459974"/>
        <w15:color w:val="DBDBDB"/>
        <w:docPartObj>
          <w:docPartGallery w:val="Table of Contents"/>
          <w:docPartUnique/>
        </w:docPartObj>
      </w:sdtPr>
      <w:sdtEndPr>
        <w:rPr>
          <w:rFonts w:ascii="Times New Roman" w:hAnsi="Times New Roman" w:eastAsia="宋体" w:cs="Times New Roman"/>
          <w:sz w:val="21"/>
          <w:szCs w:val="24"/>
        </w:rPr>
      </w:sdtEndPr>
      <w:sdtContent>
        <w:p>
          <w:pPr>
            <w:jc w:val="center"/>
            <w:rPr>
              <w:rFonts w:ascii="Times New Roman" w:hAnsi="Times New Roman" w:cs="Times New Roman"/>
              <w:sz w:val="32"/>
              <w:szCs w:val="40"/>
            </w:rPr>
          </w:pPr>
          <w:r>
            <w:rPr>
              <w:rFonts w:ascii="Times New Roman" w:hAnsi="Times New Roman" w:eastAsia="宋体" w:cs="Times New Roman"/>
              <w:sz w:val="32"/>
              <w:szCs w:val="40"/>
            </w:rPr>
            <w:t>目 录</w:t>
          </w:r>
        </w:p>
        <w:p>
          <w:pPr>
            <w:pStyle w:val="35"/>
            <w:tabs>
              <w:tab w:val="right" w:leader="dot" w:pos="8312"/>
            </w:tabs>
            <w:spacing w:line="360" w:lineRule="auto"/>
            <w:rPr>
              <w:rFonts w:ascii="Times New Roman" w:hAnsi="Times New Roman" w:cs="Times New Roman"/>
              <w:sz w:val="24"/>
              <w:szCs w:val="24"/>
            </w:rPr>
          </w:pPr>
          <w:r>
            <w:rPr>
              <w:rFonts w:ascii="Times New Roman" w:hAnsi="Times New Roman" w:eastAsia="宋体" w:cs="Times New Roman"/>
              <w:sz w:val="28"/>
              <w:szCs w:val="24"/>
            </w:rPr>
            <w:fldChar w:fldCharType="begin"/>
          </w:r>
          <w:r>
            <w:rPr>
              <w:rFonts w:ascii="Times New Roman" w:hAnsi="Times New Roman" w:eastAsia="宋体" w:cs="Times New Roman"/>
              <w:sz w:val="28"/>
              <w:szCs w:val="24"/>
            </w:rPr>
            <w:instrText xml:space="preserve">TOC \o "1-1" \h \u </w:instrText>
          </w:r>
          <w:r>
            <w:rPr>
              <w:rFonts w:ascii="Times New Roman" w:hAnsi="Times New Roman" w:eastAsia="宋体" w:cs="Times New Roman"/>
              <w:sz w:val="28"/>
              <w:szCs w:val="24"/>
            </w:rPr>
            <w:fldChar w:fldCharType="separate"/>
          </w:r>
          <w:r>
            <w:fldChar w:fldCharType="begin"/>
          </w:r>
          <w:r>
            <w:instrText xml:space="preserve"> HYPERLINK \l "_Toc4840" </w:instrText>
          </w:r>
          <w:r>
            <w:fldChar w:fldCharType="separate"/>
          </w:r>
          <w:r>
            <w:rPr>
              <w:rFonts w:ascii="Times New Roman" w:hAnsi="Times New Roman" w:eastAsia="宋体" w:cs="Times New Roman"/>
              <w:sz w:val="24"/>
              <w:szCs w:val="24"/>
            </w:rPr>
            <w:t>第一章 采购公告</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_Toc4840 \h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5"/>
            <w:tabs>
              <w:tab w:val="right" w:leader="dot" w:pos="8312"/>
            </w:tabs>
            <w:spacing w:line="360" w:lineRule="auto"/>
            <w:rPr>
              <w:rFonts w:ascii="Times New Roman" w:hAnsi="Times New Roman" w:cs="Times New Roman"/>
              <w:sz w:val="24"/>
              <w:szCs w:val="24"/>
            </w:rPr>
          </w:pPr>
          <w:r>
            <w:fldChar w:fldCharType="begin"/>
          </w:r>
          <w:r>
            <w:instrText xml:space="preserve"> HYPERLINK \l "_Toc11737" </w:instrText>
          </w:r>
          <w:r>
            <w:fldChar w:fldCharType="separate"/>
          </w:r>
          <w:r>
            <w:rPr>
              <w:rFonts w:ascii="Times New Roman" w:hAnsi="Times New Roman" w:eastAsia="宋体" w:cs="Times New Roman"/>
              <w:sz w:val="24"/>
              <w:szCs w:val="24"/>
            </w:rPr>
            <w:t>第二章 供应商须知</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_Toc11737 \h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5"/>
            <w:tabs>
              <w:tab w:val="right" w:leader="dot" w:pos="8312"/>
            </w:tabs>
            <w:spacing w:line="360" w:lineRule="auto"/>
            <w:rPr>
              <w:rFonts w:ascii="Times New Roman" w:hAnsi="Times New Roman" w:cs="Times New Roman"/>
              <w:sz w:val="24"/>
              <w:szCs w:val="24"/>
            </w:rPr>
          </w:pPr>
          <w:r>
            <w:fldChar w:fldCharType="begin"/>
          </w:r>
          <w:r>
            <w:instrText xml:space="preserve"> HYPERLINK \l "_Toc29320" </w:instrText>
          </w:r>
          <w:r>
            <w:fldChar w:fldCharType="separate"/>
          </w:r>
          <w:r>
            <w:rPr>
              <w:rFonts w:ascii="Times New Roman" w:hAnsi="Times New Roman" w:eastAsia="宋体" w:cs="Times New Roman"/>
              <w:sz w:val="24"/>
              <w:szCs w:val="24"/>
            </w:rPr>
            <w:t>第三章 评审办法</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_Toc29320 \h </w:instrText>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5"/>
            <w:tabs>
              <w:tab w:val="right" w:leader="dot" w:pos="8312"/>
            </w:tabs>
            <w:spacing w:line="360" w:lineRule="auto"/>
            <w:rPr>
              <w:rFonts w:ascii="Times New Roman" w:hAnsi="Times New Roman" w:cs="Times New Roman"/>
              <w:sz w:val="24"/>
              <w:szCs w:val="24"/>
            </w:rPr>
          </w:pPr>
          <w:r>
            <w:fldChar w:fldCharType="begin"/>
          </w:r>
          <w:r>
            <w:instrText xml:space="preserve"> HYPERLINK \l "_Toc22433" </w:instrText>
          </w:r>
          <w:r>
            <w:fldChar w:fldCharType="separate"/>
          </w:r>
          <w:r>
            <w:rPr>
              <w:rFonts w:ascii="Times New Roman" w:hAnsi="Times New Roman" w:eastAsia="宋体" w:cs="Times New Roman"/>
              <w:sz w:val="24"/>
              <w:szCs w:val="24"/>
            </w:rPr>
            <w:t>第四章 合同内容</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_Toc22433 \h </w:instrText>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5"/>
            <w:tabs>
              <w:tab w:val="right" w:leader="dot" w:pos="8312"/>
            </w:tabs>
            <w:spacing w:line="360" w:lineRule="auto"/>
            <w:rPr>
              <w:rFonts w:ascii="Times New Roman" w:hAnsi="Times New Roman" w:cs="Times New Roman"/>
              <w:sz w:val="24"/>
              <w:szCs w:val="24"/>
            </w:rPr>
          </w:pPr>
          <w:r>
            <w:fldChar w:fldCharType="begin"/>
          </w:r>
          <w:r>
            <w:instrText xml:space="preserve"> HYPERLINK \l "_Toc4045" </w:instrText>
          </w:r>
          <w:r>
            <w:fldChar w:fldCharType="separate"/>
          </w:r>
          <w:r>
            <w:rPr>
              <w:rFonts w:ascii="Times New Roman" w:hAnsi="Times New Roman" w:eastAsia="宋体" w:cs="Times New Roman"/>
              <w:sz w:val="24"/>
              <w:szCs w:val="24"/>
            </w:rPr>
            <w:t>第五章 采购需求及清单</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_Toc4045 \h </w:instrText>
          </w:r>
          <w:r>
            <w:rPr>
              <w:rFonts w:ascii="Times New Roman" w:hAnsi="Times New Roman" w:cs="Times New Roman"/>
              <w:sz w:val="24"/>
              <w:szCs w:val="24"/>
            </w:rPr>
            <w:fldChar w:fldCharType="separate"/>
          </w:r>
          <w:r>
            <w:rPr>
              <w:rFonts w:ascii="Times New Roman" w:hAnsi="Times New Roman" w:cs="Times New Roman"/>
              <w:sz w:val="24"/>
              <w:szCs w:val="24"/>
            </w:rPr>
            <w:t>27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5"/>
            <w:tabs>
              <w:tab w:val="right" w:leader="dot" w:pos="8312"/>
            </w:tabs>
            <w:spacing w:line="360" w:lineRule="auto"/>
            <w:rPr>
              <w:rFonts w:ascii="Times New Roman" w:hAnsi="Times New Roman" w:cs="Times New Roman"/>
              <w:sz w:val="24"/>
              <w:szCs w:val="24"/>
            </w:rPr>
          </w:pPr>
          <w:r>
            <w:fldChar w:fldCharType="begin"/>
          </w:r>
          <w:r>
            <w:instrText xml:space="preserve"> HYPERLINK \l "_Toc11405" </w:instrText>
          </w:r>
          <w:r>
            <w:fldChar w:fldCharType="separate"/>
          </w:r>
          <w:r>
            <w:rPr>
              <w:rFonts w:ascii="Times New Roman" w:hAnsi="Times New Roman" w:eastAsia="宋体" w:cs="Times New Roman"/>
              <w:sz w:val="24"/>
              <w:szCs w:val="24"/>
            </w:rPr>
            <w:t>第六章 响应文件格式</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_Toc11405 \h </w:instrText>
          </w:r>
          <w:r>
            <w:rPr>
              <w:rFonts w:ascii="Times New Roman" w:hAnsi="Times New Roman" w:cs="Times New Roman"/>
              <w:sz w:val="24"/>
              <w:szCs w:val="24"/>
            </w:rPr>
            <w:fldChar w:fldCharType="separate"/>
          </w:r>
          <w:r>
            <w:rPr>
              <w:rFonts w:ascii="Times New Roman" w:hAnsi="Times New Roman" w:cs="Times New Roman"/>
              <w:sz w:val="24"/>
              <w:szCs w:val="24"/>
            </w:rPr>
            <w:t>28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spacing w:line="360" w:lineRule="auto"/>
            <w:jc w:val="center"/>
            <w:rPr>
              <w:rFonts w:ascii="Times New Roman" w:hAnsi="Times New Roman" w:eastAsia="宋体" w:cs="Times New Roman"/>
            </w:rPr>
          </w:pPr>
          <w:r>
            <w:rPr>
              <w:rFonts w:ascii="Times New Roman" w:hAnsi="Times New Roman" w:eastAsia="宋体" w:cs="Times New Roman"/>
              <w:sz w:val="28"/>
              <w:szCs w:val="36"/>
            </w:rPr>
            <w:fldChar w:fldCharType="end"/>
          </w:r>
        </w:p>
      </w:sdtContent>
    </w:sdt>
    <w:p>
      <w:pPr>
        <w:jc w:val="center"/>
        <w:rPr>
          <w:rFonts w:ascii="Times New Roman" w:hAnsi="Times New Roman" w:eastAsia="宋体" w:cs="Times New Roman"/>
        </w:rPr>
      </w:pPr>
    </w:p>
    <w:p>
      <w:pPr>
        <w:pStyle w:val="4"/>
        <w:spacing w:before="312" w:after="312"/>
        <w:rPr>
          <w:rFonts w:ascii="Times New Roman" w:hAnsi="Times New Roman" w:eastAsia="宋体" w:cs="Times New Roman"/>
        </w:rPr>
        <w:sectPr>
          <w:footerReference r:id="rId3" w:type="default"/>
          <w:footnotePr>
            <w:numFmt w:val="decimalEnclosedCircleChinese"/>
            <w:numRestart w:val="eachPage"/>
          </w:footnotePr>
          <w:pgSz w:w="11906" w:h="16838"/>
          <w:pgMar w:top="1440" w:right="1800" w:bottom="1440" w:left="1800" w:header="851" w:footer="992" w:gutter="0"/>
          <w:cols w:space="720" w:num="1"/>
          <w:docGrid w:type="linesAndChars" w:linePitch="312" w:charSpace="0"/>
        </w:sectPr>
      </w:pPr>
    </w:p>
    <w:p>
      <w:pPr>
        <w:pStyle w:val="4"/>
        <w:spacing w:before="312" w:after="312"/>
        <w:rPr>
          <w:rFonts w:ascii="Times New Roman" w:hAnsi="Times New Roman" w:eastAsia="宋体" w:cs="Times New Roman"/>
        </w:rPr>
      </w:pPr>
      <w:bookmarkStart w:id="0" w:name="_Toc4840"/>
      <w:bookmarkStart w:id="1" w:name="_Toc3203_WPSOffice_Level1"/>
      <w:r>
        <w:rPr>
          <w:rFonts w:ascii="Times New Roman" w:hAnsi="Times New Roman" w:eastAsia="宋体" w:cs="Times New Roman"/>
        </w:rPr>
        <w:t>采购公告</w:t>
      </w:r>
      <w:bookmarkEnd w:id="0"/>
      <w:bookmarkEnd w:id="1"/>
    </w:p>
    <w:p>
      <w:pPr>
        <w:pStyle w:val="5"/>
        <w:snapToGrid w:val="0"/>
        <w:spacing w:before="120" w:after="120" w:line="240" w:lineRule="auto"/>
        <w:ind w:firstLine="403"/>
        <w:rPr>
          <w:rFonts w:ascii="Times New Roman" w:hAnsi="Times New Roman" w:eastAsia="黑体" w:cs="Times New Roman"/>
          <w:b w:val="0"/>
          <w:sz w:val="22"/>
          <w:szCs w:val="15"/>
        </w:rPr>
      </w:pPr>
      <w:bookmarkStart w:id="2" w:name="_Toc12765"/>
      <w:bookmarkStart w:id="3" w:name="_Toc24354_WPSOffice_Level2"/>
      <w:bookmarkStart w:id="4" w:name="_Toc525632585"/>
      <w:bookmarkStart w:id="5" w:name="_Toc10395_WPSOffice_Level2"/>
      <w:bookmarkStart w:id="6" w:name="_Toc4489_WPSOffice_Level2"/>
      <w:bookmarkStart w:id="7" w:name="_Toc13871"/>
      <w:bookmarkStart w:id="8" w:name="_Toc6496_WPSOffice_Level2"/>
      <w:r>
        <w:rPr>
          <w:rFonts w:ascii="Times New Roman" w:hAnsi="Times New Roman" w:eastAsia="黑体" w:cs="Times New Roman"/>
          <w:b w:val="0"/>
          <w:sz w:val="22"/>
          <w:szCs w:val="15"/>
        </w:rPr>
        <w:t>项目简介</w:t>
      </w:r>
      <w:bookmarkEnd w:id="2"/>
      <w:bookmarkEnd w:id="3"/>
      <w:bookmarkEnd w:id="4"/>
      <w:bookmarkEnd w:id="5"/>
      <w:bookmarkEnd w:id="6"/>
      <w:bookmarkEnd w:id="7"/>
      <w:bookmarkEnd w:id="8"/>
    </w:p>
    <w:p>
      <w:pPr>
        <w:snapToGrid w:val="0"/>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1.1 项目名称：</w:t>
      </w:r>
      <w:r>
        <w:rPr>
          <w:rFonts w:ascii="Times New Roman" w:hAnsi="Times New Roman" w:cs="Times New Roman"/>
          <w:szCs w:val="22"/>
          <w:u w:val="single"/>
        </w:rPr>
        <w:t>安徽省高速公路试验检测科研中心有限公司试验场地（园区西库）装修改造项目</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1.2 采 购 人：</w:t>
      </w:r>
      <w:r>
        <w:rPr>
          <w:rFonts w:ascii="Times New Roman" w:hAnsi="Times New Roman" w:cs="Times New Roman"/>
          <w:szCs w:val="22"/>
          <w:u w:val="single"/>
        </w:rPr>
        <w:t>安徽省高速公路试验检测科研中心有限公司（以下简称“高速检测”）</w:t>
      </w:r>
    </w:p>
    <w:p>
      <w:pPr>
        <w:snapToGrid w:val="0"/>
        <w:spacing w:line="440" w:lineRule="exact"/>
        <w:ind w:firstLine="420" w:firstLineChars="200"/>
        <w:rPr>
          <w:rFonts w:ascii="Times New Roman" w:hAnsi="Times New Roman" w:eastAsia="宋体" w:cs="Times New Roman"/>
          <w:szCs w:val="22"/>
        </w:rPr>
      </w:pPr>
      <w:r>
        <w:rPr>
          <w:rFonts w:ascii="Times New Roman" w:hAnsi="Times New Roman" w:cs="Times New Roman"/>
          <w:szCs w:val="22"/>
        </w:rPr>
        <w:t>1.3 项目概况：</w:t>
      </w:r>
      <w:r>
        <w:rPr>
          <w:rFonts w:ascii="Times New Roman" w:hAnsi="Times New Roman" w:cs="Times New Roman"/>
          <w:szCs w:val="22"/>
          <w:u w:val="single"/>
        </w:rPr>
        <w:t>因安徽省高速公路试验检测科研中心有限公司</w:t>
      </w:r>
      <w:r>
        <w:rPr>
          <w:rFonts w:hint="eastAsia" w:ascii="Times New Roman" w:hAnsi="Times New Roman" w:cs="Times New Roman"/>
          <w:szCs w:val="22"/>
          <w:u w:val="single"/>
        </w:rPr>
        <w:t>业务拓展</w:t>
      </w:r>
      <w:r>
        <w:rPr>
          <w:rFonts w:ascii="Times New Roman" w:hAnsi="Times New Roman" w:cs="Times New Roman"/>
          <w:szCs w:val="22"/>
          <w:u w:val="single"/>
        </w:rPr>
        <w:t>需要，拟对公司试验场地（园区西库）进行装修改造，将现园区西库分隔成两层，一楼层高4.8米，二楼层高3.5米，并对整体结构和每层功能室进行装修施工，详细工作内容见采购需求及清单。</w:t>
      </w:r>
    </w:p>
    <w:p>
      <w:pPr>
        <w:pStyle w:val="5"/>
        <w:snapToGrid w:val="0"/>
        <w:spacing w:before="120" w:after="120" w:line="240" w:lineRule="auto"/>
        <w:ind w:firstLine="403"/>
        <w:rPr>
          <w:rFonts w:ascii="Times New Roman" w:hAnsi="Times New Roman" w:eastAsia="黑体" w:cs="Times New Roman"/>
          <w:b w:val="0"/>
          <w:sz w:val="22"/>
          <w:szCs w:val="15"/>
        </w:rPr>
      </w:pPr>
      <w:bookmarkStart w:id="9" w:name="_Toc525632586"/>
      <w:bookmarkStart w:id="10" w:name="_Toc10274"/>
      <w:bookmarkStart w:id="11" w:name="_Toc18453"/>
      <w:bookmarkStart w:id="12" w:name="_Toc23266_WPSOffice_Level2"/>
      <w:bookmarkStart w:id="13" w:name="_Toc8128_WPSOffice_Level2"/>
      <w:bookmarkStart w:id="14" w:name="_Toc17858_WPSOffice_Level2"/>
      <w:bookmarkStart w:id="15" w:name="_Toc18367_WPSOffice_Level2"/>
      <w:r>
        <w:rPr>
          <w:rFonts w:ascii="Times New Roman" w:hAnsi="Times New Roman" w:eastAsia="黑体" w:cs="Times New Roman"/>
          <w:b w:val="0"/>
          <w:sz w:val="22"/>
          <w:szCs w:val="15"/>
        </w:rPr>
        <w:t>采购说明</w:t>
      </w:r>
      <w:bookmarkEnd w:id="9"/>
      <w:bookmarkEnd w:id="10"/>
      <w:bookmarkEnd w:id="11"/>
      <w:bookmarkEnd w:id="12"/>
      <w:bookmarkEnd w:id="13"/>
      <w:bookmarkEnd w:id="14"/>
      <w:bookmarkEnd w:id="15"/>
    </w:p>
    <w:p>
      <w:pPr>
        <w:snapToGrid w:val="0"/>
        <w:spacing w:line="440" w:lineRule="exact"/>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440" w:lineRule="exact"/>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100%来自企业自筹</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2.3 采购范围：</w:t>
      </w:r>
      <w:r>
        <w:rPr>
          <w:rFonts w:ascii="Times New Roman" w:hAnsi="Times New Roman" w:cs="Times New Roman"/>
          <w:szCs w:val="22"/>
          <w:u w:val="single"/>
        </w:rPr>
        <w:t>安徽高速检测试验场地（园区西库）装修改造</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2.4 合同包划分：</w:t>
      </w:r>
      <w:r>
        <w:rPr>
          <w:rFonts w:ascii="Times New Roman" w:hAnsi="Times New Roman" w:cs="Times New Roman"/>
          <w:szCs w:val="22"/>
          <w:u w:val="single"/>
        </w:rPr>
        <w:t xml:space="preserve"> / </w:t>
      </w:r>
    </w:p>
    <w:p>
      <w:pPr>
        <w:snapToGrid w:val="0"/>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2.5 最高限价：</w:t>
      </w:r>
      <w:bookmarkEnd w:id="18"/>
      <w:r>
        <w:rPr>
          <w:rFonts w:ascii="Times New Roman" w:hAnsi="Times New Roman" w:cs="Times New Roman"/>
          <w:szCs w:val="22"/>
          <w:u w:val="single"/>
        </w:rPr>
        <w:t xml:space="preserve"> 178万元 </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2.6 计划工期：</w:t>
      </w:r>
      <w:r>
        <w:rPr>
          <w:rFonts w:ascii="Times New Roman" w:hAnsi="Times New Roman" w:cs="Times New Roman"/>
          <w:szCs w:val="22"/>
          <w:u w:val="single"/>
        </w:rPr>
        <w:t>自合同签订之日起</w:t>
      </w:r>
      <w:r>
        <w:rPr>
          <w:rFonts w:ascii="Times New Roman" w:hAnsi="Times New Roman" w:cs="Times New Roman"/>
          <w:szCs w:val="21"/>
          <w:u w:val="single"/>
        </w:rPr>
        <w:t>施工工期为45日</w:t>
      </w:r>
      <w:r>
        <w:rPr>
          <w:rFonts w:ascii="Times New Roman" w:hAnsi="Times New Roman" w:cs="Times New Roman"/>
          <w:szCs w:val="22"/>
        </w:rPr>
        <w:t>。</w:t>
      </w:r>
    </w:p>
    <w:p>
      <w:pPr>
        <w:pStyle w:val="5"/>
        <w:snapToGrid w:val="0"/>
        <w:spacing w:before="120" w:after="120" w:line="240" w:lineRule="auto"/>
        <w:ind w:firstLine="403"/>
        <w:rPr>
          <w:rFonts w:ascii="Times New Roman" w:hAnsi="Times New Roman" w:eastAsia="黑体" w:cs="Times New Roman"/>
          <w:b w:val="0"/>
          <w:sz w:val="22"/>
          <w:szCs w:val="15"/>
        </w:rPr>
      </w:pPr>
      <w:bookmarkStart w:id="19" w:name="_Toc525632587"/>
      <w:bookmarkStart w:id="20" w:name="_Toc6388"/>
      <w:bookmarkStart w:id="21" w:name="_Toc29516_WPSOffice_Level2"/>
      <w:bookmarkStart w:id="22" w:name="_Toc22379_WPSOffice_Level2"/>
      <w:bookmarkStart w:id="23" w:name="_Toc31673_WPSOffice_Level2"/>
      <w:bookmarkStart w:id="24" w:name="_Toc1622_WPSOffice_Level2"/>
      <w:bookmarkStart w:id="25" w:name="_Toc3714"/>
      <w:r>
        <w:rPr>
          <w:rFonts w:ascii="Times New Roman" w:hAnsi="Times New Roman" w:eastAsia="黑体" w:cs="Times New Roman"/>
          <w:b w:val="0"/>
          <w:sz w:val="22"/>
          <w:szCs w:val="15"/>
        </w:rPr>
        <w:t>供应商资格条件</w:t>
      </w:r>
      <w:bookmarkEnd w:id="19"/>
      <w:bookmarkEnd w:id="20"/>
      <w:bookmarkEnd w:id="21"/>
      <w:bookmarkEnd w:id="22"/>
      <w:bookmarkEnd w:id="23"/>
      <w:bookmarkEnd w:id="24"/>
      <w:bookmarkEnd w:id="25"/>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本次采购要求供应商须同时具备：</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（1）资质最低要求：</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具备独立法人资格，持有有效的营业执照，营业范围同时包含装修装饰，且具备建筑装修装饰工程专业承包贰级及以上资质。</w:t>
      </w:r>
    </w:p>
    <w:p>
      <w:pPr>
        <w:numPr>
          <w:ilvl w:val="255"/>
          <w:numId w:val="0"/>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（2）业绩最低要求：</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近</w:t>
      </w:r>
      <w:r>
        <w:rPr>
          <w:rFonts w:ascii="Times New Roman" w:hAnsi="Times New Roman" w:cs="Times New Roman"/>
          <w:szCs w:val="22"/>
          <w:u w:val="single"/>
        </w:rPr>
        <w:t xml:space="preserve"> 三 </w:t>
      </w:r>
      <w:r>
        <w:rPr>
          <w:rFonts w:ascii="Times New Roman" w:hAnsi="Times New Roman" w:cs="Times New Roman"/>
          <w:szCs w:val="22"/>
        </w:rPr>
        <w:t>年（指</w:t>
      </w:r>
      <w:r>
        <w:rPr>
          <w:rFonts w:ascii="Times New Roman" w:hAnsi="Times New Roman" w:cs="Times New Roman"/>
          <w:szCs w:val="22"/>
          <w:u w:val="single"/>
        </w:rPr>
        <w:t xml:space="preserve"> 2019 </w:t>
      </w:r>
      <w:r>
        <w:rPr>
          <w:rFonts w:ascii="Times New Roman" w:hAnsi="Times New Roman" w:cs="Times New Roman"/>
          <w:szCs w:val="22"/>
        </w:rPr>
        <w:t>年</w:t>
      </w:r>
      <w:r>
        <w:rPr>
          <w:rFonts w:ascii="Times New Roman" w:hAnsi="Times New Roman" w:cs="Times New Roman"/>
          <w:szCs w:val="22"/>
          <w:u w:val="single"/>
        </w:rPr>
        <w:t xml:space="preserve"> 01 </w:t>
      </w:r>
      <w:r>
        <w:rPr>
          <w:rFonts w:ascii="Times New Roman" w:hAnsi="Times New Roman" w:cs="Times New Roman"/>
          <w:szCs w:val="22"/>
        </w:rPr>
        <w:t>月</w:t>
      </w:r>
      <w:r>
        <w:rPr>
          <w:rFonts w:ascii="Times New Roman" w:hAnsi="Times New Roman" w:cs="Times New Roman"/>
          <w:szCs w:val="22"/>
          <w:u w:val="single"/>
        </w:rPr>
        <w:t xml:space="preserve"> 01 </w:t>
      </w:r>
      <w:r>
        <w:rPr>
          <w:rFonts w:ascii="Times New Roman" w:hAnsi="Times New Roman" w:cs="Times New Roman"/>
          <w:szCs w:val="22"/>
        </w:rPr>
        <w:t>日至响应文件递交截止日期，以合同签订时间为准），投标人具备至少两个装修装饰工程业绩，且单个业绩合同金额大于30万元。</w:t>
      </w:r>
    </w:p>
    <w:p>
      <w:pPr>
        <w:numPr>
          <w:ilvl w:val="255"/>
          <w:numId w:val="0"/>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（3）项目负责人最低要求：/</w:t>
      </w:r>
    </w:p>
    <w:p>
      <w:pPr>
        <w:numPr>
          <w:ilvl w:val="255"/>
          <w:numId w:val="0"/>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（4）信誉要求最低要求：</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①未被责令停业，暂扣或吊销执照，或吊销资质证书；</w:t>
      </w:r>
    </w:p>
    <w:p>
      <w:pPr>
        <w:snapToGrid w:val="0"/>
        <w:spacing w:line="440" w:lineRule="exact"/>
        <w:ind w:firstLine="420" w:firstLineChars="200"/>
        <w:rPr>
          <w:rFonts w:ascii="Times New Roman" w:hAnsi="Times New Roman" w:cs="Times New Roman"/>
        </w:rPr>
      </w:pPr>
      <w:r>
        <w:rPr>
          <w:rFonts w:ascii="Times New Roman" w:hAnsi="Times New Roman" w:cs="Times New Roman"/>
          <w:szCs w:val="22"/>
        </w:rPr>
        <w:t>②未进入清算程序，或被宣告破产，或其他丧失履约能力的情形；</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③在国家企业信用信息公示系统（http://www.gsxt.gov.cn）中未被列入严重违法失信企业名单；</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④在“信用中国”网站（http://www.creditchina.gov.cn）中未被列入失信被执行人名单；</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⑤在近三年内（自响应文件递交截止之日向前追溯3年）供应商或其法定代表人、拟委任的项目经理未有行贿犯罪行为。</w:t>
      </w:r>
    </w:p>
    <w:p>
      <w:pPr>
        <w:snapToGrid w:val="0"/>
        <w:spacing w:line="44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联合体：本次采购不接受联合体报价。</w:t>
      </w:r>
    </w:p>
    <w:p>
      <w:pPr>
        <w:snapToGrid w:val="0"/>
        <w:spacing w:line="440" w:lineRule="exact"/>
        <w:ind w:firstLine="420" w:firstLineChars="200"/>
        <w:rPr>
          <w:rFonts w:ascii="Times New Roman" w:hAnsi="Times New Roman" w:cs="Times New Roman"/>
          <w:sz w:val="18"/>
          <w:szCs w:val="21"/>
        </w:rPr>
      </w:pPr>
      <w:r>
        <w:rPr>
          <w:rFonts w:ascii="Times New Roman" w:hAnsi="Times New Roman" w:cs="Times New Roman"/>
          <w:szCs w:val="22"/>
        </w:rPr>
        <w:t>3.3 单位负责人为同一人或者存在控股、管理关系的不同单位，不得同时参加同一合同包报价，否则相关响应文件均无效。</w:t>
      </w:r>
    </w:p>
    <w:p>
      <w:pPr>
        <w:pStyle w:val="5"/>
        <w:snapToGrid w:val="0"/>
        <w:spacing w:before="120" w:after="120" w:line="240" w:lineRule="auto"/>
        <w:ind w:firstLine="403"/>
        <w:rPr>
          <w:rFonts w:ascii="Times New Roman" w:hAnsi="Times New Roman" w:eastAsia="黑体" w:cs="Times New Roman"/>
          <w:b w:val="0"/>
          <w:sz w:val="22"/>
          <w:szCs w:val="15"/>
        </w:rPr>
      </w:pPr>
      <w:bookmarkStart w:id="26" w:name="_Toc2996_WPSOffice_Level2"/>
      <w:bookmarkStart w:id="27" w:name="_Toc525632588"/>
      <w:bookmarkStart w:id="28" w:name="_Toc4751"/>
      <w:bookmarkStart w:id="29" w:name="_Toc4109_WPSOffice_Level2"/>
      <w:bookmarkStart w:id="30" w:name="_Toc29452_WPSOffice_Level2"/>
      <w:bookmarkStart w:id="31" w:name="_Toc1994"/>
      <w:bookmarkStart w:id="32" w:name="_Toc25666_WPSOffice_Level2"/>
      <w:r>
        <w:rPr>
          <w:rFonts w:ascii="Times New Roman" w:hAnsi="Times New Roman" w:eastAsia="黑体" w:cs="Times New Roman"/>
          <w:b w:val="0"/>
          <w:sz w:val="22"/>
          <w:szCs w:val="15"/>
        </w:rPr>
        <w:t>询比文件的获取</w:t>
      </w:r>
      <w:bookmarkEnd w:id="26"/>
      <w:bookmarkEnd w:id="27"/>
      <w:bookmarkEnd w:id="28"/>
      <w:bookmarkEnd w:id="29"/>
      <w:bookmarkEnd w:id="30"/>
      <w:bookmarkEnd w:id="31"/>
      <w:bookmarkEnd w:id="32"/>
    </w:p>
    <w:p>
      <w:pPr>
        <w:snapToGrid w:val="0"/>
        <w:spacing w:line="44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供应商应在递交响应文件的截止时间前登录安徽高速检测公司官网，选择所参加的合同包，自行下载询比文件及相关资料。未按规定在安徽高速检测公司官网下载询比文件的，后续将不予接受其响应文件。</w:t>
      </w:r>
    </w:p>
    <w:p>
      <w:pPr>
        <w:pStyle w:val="5"/>
        <w:snapToGrid w:val="0"/>
        <w:spacing w:before="120" w:after="120" w:line="240" w:lineRule="auto"/>
        <w:ind w:firstLine="403"/>
        <w:rPr>
          <w:rFonts w:ascii="Times New Roman" w:hAnsi="Times New Roman" w:eastAsia="黑体" w:cs="Times New Roman"/>
          <w:b w:val="0"/>
          <w:sz w:val="22"/>
          <w:szCs w:val="15"/>
        </w:rPr>
      </w:pPr>
      <w:bookmarkStart w:id="33" w:name="_Toc525632589"/>
      <w:bookmarkStart w:id="34" w:name="_Toc726"/>
      <w:r>
        <w:rPr>
          <w:rFonts w:ascii="Times New Roman" w:hAnsi="Times New Roman" w:eastAsia="黑体" w:cs="Times New Roman"/>
          <w:b w:val="0"/>
          <w:sz w:val="22"/>
          <w:szCs w:val="15"/>
        </w:rPr>
        <w:t>响应文件的递交</w:t>
      </w:r>
      <w:bookmarkEnd w:id="33"/>
      <w:bookmarkEnd w:id="34"/>
    </w:p>
    <w:p>
      <w:pPr>
        <w:pStyle w:val="17"/>
        <w:spacing w:before="286" w:beforeAutospacing="0" w:after="0" w:afterAutospacing="0" w:line="435" w:lineRule="atLeast"/>
        <w:ind w:firstLine="420"/>
        <w:rPr>
          <w:rFonts w:ascii="Times New Roman" w:hAnsi="Times New Roman" w:cs="Times New Roman"/>
          <w:sz w:val="21"/>
          <w:szCs w:val="21"/>
        </w:rPr>
      </w:pPr>
      <w:r>
        <w:rPr>
          <w:rFonts w:ascii="Times New Roman" w:hAnsi="Times New Roman" w:cs="Times New Roman"/>
          <w:sz w:val="21"/>
          <w:szCs w:val="21"/>
        </w:rPr>
        <w:t>响应文件递交的截止时间为</w:t>
      </w:r>
      <w:r>
        <w:rPr>
          <w:rFonts w:ascii="Times New Roman" w:hAnsi="Times New Roman" w:cs="Times New Roman"/>
          <w:sz w:val="21"/>
          <w:szCs w:val="21"/>
          <w:u w:val="single"/>
        </w:rPr>
        <w:t>2022年03月</w:t>
      </w:r>
      <w:r>
        <w:rPr>
          <w:rFonts w:hint="eastAsia" w:ascii="Times New Roman" w:hAnsi="Times New Roman" w:cs="Times New Roman"/>
          <w:sz w:val="21"/>
          <w:szCs w:val="21"/>
          <w:u w:val="single"/>
          <w:lang w:val="en-US" w:eastAsia="zh-CN"/>
        </w:rPr>
        <w:t>30</w:t>
      </w:r>
      <w:r>
        <w:rPr>
          <w:rFonts w:ascii="Times New Roman" w:hAnsi="Times New Roman" w:cs="Times New Roman"/>
          <w:sz w:val="21"/>
          <w:szCs w:val="21"/>
          <w:u w:val="single"/>
        </w:rPr>
        <w:t>日13时30分</w:t>
      </w:r>
      <w:r>
        <w:rPr>
          <w:rFonts w:ascii="Times New Roman" w:hAnsi="Times New Roman" w:cs="Times New Roman"/>
          <w:sz w:val="21"/>
          <w:szCs w:val="21"/>
        </w:rPr>
        <w:t>，供应商的法定代表人或其授权代理人应于递交的截止时间前将响应文件递交至</w:t>
      </w:r>
      <w:r>
        <w:rPr>
          <w:rFonts w:ascii="Times New Roman" w:hAnsi="Times New Roman" w:cs="Times New Roman"/>
          <w:sz w:val="21"/>
          <w:szCs w:val="21"/>
          <w:u w:val="single"/>
        </w:rPr>
        <w:t>安徽省高速公路试验检测科研中心有限公司一楼会议室（地点：办公楼正南侧，南门东侧平房）</w:t>
      </w:r>
      <w:r>
        <w:rPr>
          <w:rFonts w:ascii="Times New Roman" w:hAnsi="Times New Roman" w:cs="Times New Roman"/>
          <w:sz w:val="21"/>
          <w:szCs w:val="21"/>
        </w:rPr>
        <w:t>。</w:t>
      </w:r>
    </w:p>
    <w:p>
      <w:pPr>
        <w:pStyle w:val="5"/>
        <w:snapToGrid w:val="0"/>
        <w:spacing w:before="120" w:after="120" w:line="240" w:lineRule="auto"/>
        <w:ind w:firstLine="403"/>
        <w:rPr>
          <w:rFonts w:ascii="Times New Roman" w:hAnsi="Times New Roman" w:eastAsia="黑体" w:cs="Times New Roman"/>
          <w:b w:val="0"/>
          <w:sz w:val="22"/>
          <w:szCs w:val="15"/>
        </w:rPr>
      </w:pPr>
      <w:bookmarkStart w:id="35" w:name="_Toc525632591"/>
      <w:bookmarkStart w:id="36" w:name="_Toc22719"/>
      <w:r>
        <w:rPr>
          <w:rFonts w:ascii="Times New Roman" w:hAnsi="Times New Roman" w:eastAsia="黑体" w:cs="Times New Roman"/>
          <w:b w:val="0"/>
          <w:sz w:val="22"/>
          <w:szCs w:val="15"/>
        </w:rPr>
        <w:t>响应文件启封</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w:t>
      </w:r>
      <w:r>
        <w:rPr>
          <w:rFonts w:ascii="Times New Roman" w:hAnsi="Times New Roman" w:eastAsia="宋体" w:cs="Times New Roman"/>
          <w:szCs w:val="21"/>
          <w:u w:val="single"/>
        </w:rPr>
        <w:t>安徽省高速公路试验检测科研中心有限公司一楼会议室（地点：办公楼正南侧，南门东侧平房）</w:t>
      </w:r>
      <w:r>
        <w:rPr>
          <w:rFonts w:ascii="Times New Roman" w:hAnsi="Times New Roman" w:cs="Times New Roman"/>
          <w:szCs w:val="22"/>
        </w:rPr>
        <w:t>组织进行响应文件的启封。供应商的法定代表人或授权代理人应携带本人身份证、授权代理人应携带授权委托书准时参加启封会议。</w:t>
      </w:r>
    </w:p>
    <w:p>
      <w:pPr>
        <w:pStyle w:val="5"/>
        <w:snapToGrid w:val="0"/>
        <w:spacing w:before="120" w:after="120" w:line="240" w:lineRule="auto"/>
        <w:ind w:firstLine="403"/>
        <w:rPr>
          <w:rFonts w:ascii="Times New Roman" w:hAnsi="Times New Roman" w:eastAsia="黑体" w:cs="Times New Roman"/>
          <w:b w:val="0"/>
          <w:sz w:val="22"/>
          <w:szCs w:val="15"/>
        </w:rPr>
      </w:pPr>
      <w:r>
        <w:rPr>
          <w:rFonts w:ascii="Times New Roman" w:hAnsi="Times New Roman" w:eastAsia="黑体" w:cs="Times New Roman"/>
          <w:b w:val="0"/>
          <w:sz w:val="22"/>
          <w:szCs w:val="15"/>
        </w:rPr>
        <w:t>响应保证金</w:t>
      </w:r>
    </w:p>
    <w:p>
      <w:pPr>
        <w:snapToGrid w:val="0"/>
        <w:spacing w:before="156" w:beforeLines="50" w:line="360" w:lineRule="auto"/>
        <w:ind w:firstLine="420" w:firstLineChars="200"/>
        <w:rPr>
          <w:rFonts w:ascii="Times New Roman" w:hAnsi="Times New Roman" w:cs="Times New Roman"/>
          <w:szCs w:val="22"/>
        </w:rPr>
      </w:pPr>
      <w:r>
        <w:rPr>
          <w:rFonts w:ascii="Times New Roman" w:hAnsi="Times New Roman" w:cs="Times New Roman"/>
          <w:szCs w:val="22"/>
        </w:rPr>
        <w:t>响应保证金的金额：</w:t>
      </w:r>
      <w:r>
        <w:rPr>
          <w:rFonts w:ascii="Times New Roman" w:hAnsi="Times New Roman" w:cs="Times New Roman"/>
          <w:szCs w:val="22"/>
          <w:u w:val="single"/>
        </w:rPr>
        <w:t>人民币20000.00元</w:t>
      </w:r>
    </w:p>
    <w:p>
      <w:pPr>
        <w:snapToGrid w:val="0"/>
        <w:spacing w:before="156" w:beforeLines="50" w:line="360" w:lineRule="auto"/>
        <w:ind w:firstLine="420" w:firstLineChars="200"/>
        <w:rPr>
          <w:rFonts w:ascii="Times New Roman" w:hAnsi="Times New Roman" w:cs="Times New Roman"/>
          <w:szCs w:val="22"/>
        </w:rPr>
      </w:pPr>
      <w:r>
        <w:rPr>
          <w:rFonts w:ascii="Times New Roman" w:hAnsi="Times New Roman" w:cs="Times New Roman"/>
          <w:szCs w:val="22"/>
        </w:rPr>
        <w:t>响应保证金的递交形式：银行转账</w:t>
      </w:r>
    </w:p>
    <w:p>
      <w:pPr>
        <w:snapToGrid w:val="0"/>
        <w:spacing w:before="156" w:beforeLines="50" w:line="360" w:lineRule="auto"/>
        <w:ind w:firstLine="420" w:firstLineChars="200"/>
        <w:rPr>
          <w:rFonts w:ascii="Times New Roman" w:hAnsi="Times New Roman" w:cs="Times New Roman"/>
          <w:szCs w:val="22"/>
        </w:rPr>
      </w:pPr>
      <w:r>
        <w:rPr>
          <w:rFonts w:ascii="Times New Roman" w:hAnsi="Times New Roman" w:cs="Times New Roman"/>
          <w:szCs w:val="22"/>
        </w:rPr>
        <w:t>递交账号：</w:t>
      </w:r>
      <w:r>
        <w:rPr>
          <w:rFonts w:ascii="Times New Roman" w:hAnsi="Times New Roman" w:cs="Times New Roman"/>
          <w:szCs w:val="22"/>
          <w:u w:val="single"/>
        </w:rPr>
        <w:t>087672120100330002507</w:t>
      </w:r>
    </w:p>
    <w:p>
      <w:pPr>
        <w:snapToGrid w:val="0"/>
        <w:spacing w:before="156" w:beforeLines="50" w:line="360" w:lineRule="auto"/>
        <w:ind w:firstLine="420" w:firstLineChars="200"/>
        <w:rPr>
          <w:rFonts w:ascii="Times New Roman" w:hAnsi="Times New Roman" w:cs="Times New Roman"/>
          <w:szCs w:val="22"/>
        </w:rPr>
      </w:pPr>
      <w:r>
        <w:rPr>
          <w:rFonts w:ascii="Times New Roman" w:hAnsi="Times New Roman" w:cs="Times New Roman"/>
          <w:szCs w:val="22"/>
        </w:rPr>
        <w:t>开户行：</w:t>
      </w:r>
      <w:r>
        <w:rPr>
          <w:rFonts w:ascii="Times New Roman" w:hAnsi="Times New Roman" w:cs="Times New Roman"/>
          <w:szCs w:val="22"/>
          <w:u w:val="single"/>
        </w:rPr>
        <w:t>光大银行合肥经济开发区支行</w:t>
      </w:r>
    </w:p>
    <w:p>
      <w:pPr>
        <w:snapToGrid w:val="0"/>
        <w:spacing w:before="156" w:beforeLines="50" w:line="360" w:lineRule="auto"/>
        <w:ind w:firstLine="420" w:firstLineChars="200"/>
        <w:rPr>
          <w:rFonts w:ascii="Times New Roman" w:hAnsi="Times New Roman" w:cs="Times New Roman"/>
          <w:szCs w:val="22"/>
        </w:rPr>
      </w:pPr>
      <w:r>
        <w:rPr>
          <w:rFonts w:ascii="Times New Roman" w:hAnsi="Times New Roman" w:cs="Times New Roman"/>
          <w:szCs w:val="22"/>
        </w:rPr>
        <w:t>备注栏填写：</w:t>
      </w:r>
      <w:r>
        <w:rPr>
          <w:rFonts w:ascii="Times New Roman" w:hAnsi="Times New Roman" w:cs="Times New Roman"/>
          <w:b/>
          <w:bCs/>
          <w:szCs w:val="22"/>
          <w:u w:val="single"/>
        </w:rPr>
        <w:t>试验场地装修改造项目</w:t>
      </w:r>
    </w:p>
    <w:p>
      <w:pPr>
        <w:snapToGrid w:val="0"/>
        <w:spacing w:before="156" w:beforeLines="50" w:line="360" w:lineRule="auto"/>
        <w:ind w:firstLine="420" w:firstLineChars="200"/>
        <w:rPr>
          <w:rFonts w:ascii="Times New Roman" w:hAnsi="Times New Roman" w:cs="Times New Roman"/>
          <w:szCs w:val="22"/>
        </w:rPr>
      </w:pPr>
      <w:r>
        <w:rPr>
          <w:rFonts w:ascii="Times New Roman" w:hAnsi="Times New Roman" w:cs="Times New Roman"/>
          <w:szCs w:val="22"/>
        </w:rPr>
        <w:t>递交截止时间：</w:t>
      </w:r>
      <w:r>
        <w:rPr>
          <w:rFonts w:ascii="Times New Roman" w:hAnsi="Times New Roman" w:cs="Times New Roman"/>
          <w:szCs w:val="22"/>
          <w:u w:val="single"/>
        </w:rPr>
        <w:t>2022 年03 月</w:t>
      </w:r>
      <w:r>
        <w:rPr>
          <w:rFonts w:hint="eastAsia" w:ascii="Times New Roman" w:hAnsi="Times New Roman" w:cs="Times New Roman"/>
          <w:szCs w:val="22"/>
          <w:u w:val="single"/>
          <w:lang w:val="en-US" w:eastAsia="zh-CN"/>
        </w:rPr>
        <w:t>30</w:t>
      </w:r>
      <w:bookmarkStart w:id="187" w:name="_GoBack"/>
      <w:bookmarkEnd w:id="187"/>
      <w:r>
        <w:rPr>
          <w:rFonts w:ascii="Times New Roman" w:hAnsi="Times New Roman" w:cs="Times New Roman"/>
          <w:szCs w:val="22"/>
          <w:u w:val="single"/>
        </w:rPr>
        <w:t>日13时30 分</w:t>
      </w:r>
    </w:p>
    <w:p>
      <w:pPr>
        <w:snapToGrid w:val="0"/>
        <w:spacing w:before="156" w:beforeLines="50" w:line="360" w:lineRule="auto"/>
        <w:ind w:firstLine="420" w:firstLineChars="200"/>
        <w:rPr>
          <w:rFonts w:ascii="Times New Roman" w:hAnsi="Times New Roman" w:cs="Times New Roman"/>
        </w:rPr>
      </w:pPr>
      <w:r>
        <w:rPr>
          <w:rFonts w:ascii="Times New Roman" w:hAnsi="Times New Roman" w:cs="Times New Roman"/>
        </w:rPr>
        <w:t>供应商</w:t>
      </w:r>
      <w:r>
        <w:rPr>
          <w:rFonts w:ascii="Times New Roman" w:hAnsi="Times New Roman" w:cs="Times New Roman"/>
          <w:szCs w:val="22"/>
        </w:rPr>
        <w:t>完成</w:t>
      </w:r>
      <w:r>
        <w:rPr>
          <w:rFonts w:ascii="Times New Roman" w:hAnsi="Times New Roman" w:cs="Times New Roman"/>
        </w:rPr>
        <w:t>转账的银行账户名称应与供应商的单位名称一致。</w:t>
      </w:r>
    </w:p>
    <w:p>
      <w:pPr>
        <w:pStyle w:val="5"/>
        <w:snapToGrid w:val="0"/>
        <w:spacing w:before="120" w:after="120" w:line="240" w:lineRule="auto"/>
        <w:ind w:firstLine="403"/>
        <w:rPr>
          <w:rFonts w:ascii="Times New Roman" w:hAnsi="Times New Roman" w:eastAsia="黑体" w:cs="Times New Roman"/>
          <w:b w:val="0"/>
          <w:sz w:val="22"/>
          <w:szCs w:val="15"/>
        </w:rPr>
      </w:pPr>
      <w:r>
        <w:rPr>
          <w:rFonts w:ascii="Times New Roman" w:hAnsi="Times New Roman" w:eastAsia="黑体" w:cs="Times New Roman"/>
          <w:b w:val="0"/>
          <w:sz w:val="22"/>
          <w:szCs w:val="15"/>
        </w:rPr>
        <w:t>发布公告的媒介</w:t>
      </w:r>
      <w:bookmarkEnd w:id="35"/>
      <w:bookmarkEnd w:id="36"/>
    </w:p>
    <w:p>
      <w:pPr>
        <w:snapToGrid w:val="0"/>
        <w:spacing w:before="156" w:beforeLines="50" w:line="360" w:lineRule="auto"/>
        <w:ind w:firstLine="420" w:firstLineChars="200"/>
        <w:rPr>
          <w:rFonts w:ascii="Times New Roman" w:hAnsi="Times New Roman" w:cs="Times New Roman"/>
          <w:szCs w:val="22"/>
        </w:rPr>
      </w:pPr>
      <w:r>
        <w:rPr>
          <w:rFonts w:ascii="Times New Roman" w:hAnsi="Times New Roman" w:cs="Times New Roman"/>
          <w:szCs w:val="22"/>
        </w:rPr>
        <w:t>本次采购公告在高速检测官网（http://www.ahgsjc.com/）公司公告栏上发布。</w:t>
      </w:r>
    </w:p>
    <w:p>
      <w:pPr>
        <w:pStyle w:val="5"/>
        <w:snapToGrid w:val="0"/>
        <w:spacing w:before="120" w:after="120" w:line="240" w:lineRule="auto"/>
        <w:ind w:firstLine="403"/>
        <w:rPr>
          <w:rFonts w:ascii="Times New Roman" w:hAnsi="Times New Roman" w:eastAsia="黑体" w:cs="Times New Roman"/>
          <w:b w:val="0"/>
          <w:sz w:val="22"/>
          <w:szCs w:val="15"/>
        </w:rPr>
      </w:pPr>
      <w:bookmarkStart w:id="37" w:name="_Toc525632592"/>
      <w:bookmarkStart w:id="38" w:name="_Toc28571_WPSOffice_Level2"/>
      <w:bookmarkStart w:id="39" w:name="_Toc26829"/>
      <w:bookmarkStart w:id="40" w:name="_Toc20572_WPSOffice_Level2"/>
      <w:bookmarkStart w:id="41" w:name="_Toc14943_WPSOffice_Level2"/>
      <w:bookmarkStart w:id="42" w:name="_Toc8501"/>
      <w:bookmarkStart w:id="43" w:name="_Toc321_WPSOffice_Level2"/>
      <w:r>
        <w:rPr>
          <w:rFonts w:ascii="Times New Roman" w:hAnsi="Times New Roman" w:eastAsia="黑体" w:cs="Times New Roman"/>
          <w:b w:val="0"/>
          <w:sz w:val="22"/>
          <w:szCs w:val="15"/>
        </w:rPr>
        <w:t>采购人联系方式</w:t>
      </w:r>
      <w:bookmarkEnd w:id="37"/>
      <w:bookmarkEnd w:id="38"/>
      <w:bookmarkEnd w:id="39"/>
      <w:bookmarkEnd w:id="40"/>
      <w:bookmarkEnd w:id="41"/>
      <w:bookmarkEnd w:id="42"/>
      <w:bookmarkEnd w:id="43"/>
    </w:p>
    <w:p>
      <w:pPr>
        <w:spacing w:line="440" w:lineRule="exact"/>
        <w:ind w:firstLine="420" w:firstLineChars="200"/>
        <w:rPr>
          <w:rFonts w:ascii="Times New Roman" w:hAnsi="Times New Roman" w:cs="Times New Roman"/>
          <w:szCs w:val="22"/>
        </w:rPr>
      </w:pPr>
      <w:r>
        <w:rPr>
          <w:rFonts w:ascii="Times New Roman" w:hAnsi="Times New Roman" w:cs="Times New Roman"/>
          <w:szCs w:val="22"/>
        </w:rPr>
        <w:t>采 购 人：</w:t>
      </w:r>
      <w:r>
        <w:rPr>
          <w:rFonts w:ascii="Times New Roman" w:hAnsi="Times New Roman" w:cs="Times New Roman"/>
          <w:szCs w:val="22"/>
          <w:u w:val="single"/>
        </w:rPr>
        <w:t>安徽省高速公路试验检测科研中心有限公司</w:t>
      </w:r>
    </w:p>
    <w:p>
      <w:pPr>
        <w:spacing w:line="440" w:lineRule="exact"/>
        <w:ind w:firstLine="420" w:firstLineChars="200"/>
        <w:rPr>
          <w:rFonts w:ascii="Times New Roman" w:hAnsi="Times New Roman" w:cs="Times New Roman"/>
          <w:szCs w:val="22"/>
        </w:rPr>
      </w:pPr>
      <w:r>
        <w:rPr>
          <w:rFonts w:ascii="Times New Roman" w:hAnsi="Times New Roman" w:cs="Times New Roman"/>
          <w:szCs w:val="22"/>
        </w:rPr>
        <w:t>地    址：</w:t>
      </w:r>
      <w:r>
        <w:rPr>
          <w:rFonts w:ascii="Times New Roman" w:hAnsi="Times New Roman" w:cs="Times New Roman"/>
          <w:szCs w:val="22"/>
          <w:u w:val="single"/>
        </w:rPr>
        <w:t>安徽省合肥市蜀山区金寨南路18号</w:t>
      </w:r>
    </w:p>
    <w:p>
      <w:pPr>
        <w:spacing w:line="44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ascii="Times New Roman" w:hAnsi="Times New Roman" w:cs="Times New Roman"/>
          <w:szCs w:val="22"/>
          <w:u w:val="single"/>
        </w:rPr>
        <w:t xml:space="preserve"> 230031  </w:t>
      </w:r>
    </w:p>
    <w:p>
      <w:pPr>
        <w:spacing w:line="440" w:lineRule="exact"/>
        <w:ind w:firstLine="420" w:firstLineChars="200"/>
        <w:rPr>
          <w:rFonts w:ascii="Times New Roman" w:hAnsi="Times New Roman" w:cs="Times New Roman"/>
          <w:szCs w:val="22"/>
        </w:rPr>
      </w:pPr>
      <w:r>
        <w:rPr>
          <w:rFonts w:ascii="Times New Roman" w:hAnsi="Times New Roman" w:cs="Times New Roman"/>
          <w:szCs w:val="22"/>
        </w:rPr>
        <w:t>联 系 人：</w:t>
      </w:r>
      <w:r>
        <w:rPr>
          <w:rFonts w:ascii="Times New Roman" w:hAnsi="Times New Roman" w:cs="Times New Roman"/>
          <w:szCs w:val="22"/>
          <w:u w:val="single"/>
        </w:rPr>
        <w:t xml:space="preserve"> 徐工 </w:t>
      </w:r>
      <w:r>
        <w:rPr>
          <w:rFonts w:ascii="Times New Roman" w:hAnsi="Times New Roman" w:cs="Times New Roman"/>
          <w:szCs w:val="22"/>
        </w:rPr>
        <w:t xml:space="preserve">  </w:t>
      </w:r>
    </w:p>
    <w:p>
      <w:pPr>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电    话：</w:t>
      </w:r>
      <w:r>
        <w:rPr>
          <w:rFonts w:ascii="Times New Roman" w:hAnsi="Times New Roman" w:cs="Times New Roman"/>
          <w:szCs w:val="22"/>
          <w:u w:val="single"/>
        </w:rPr>
        <w:t xml:space="preserve"> 17718121438 </w:t>
      </w:r>
    </w:p>
    <w:p>
      <w:pPr>
        <w:spacing w:line="440" w:lineRule="exact"/>
        <w:ind w:firstLine="420" w:firstLineChars="200"/>
        <w:rPr>
          <w:rFonts w:ascii="Times New Roman" w:hAnsi="Times New Roman" w:cs="Times New Roman"/>
          <w:szCs w:val="22"/>
        </w:rPr>
      </w:pPr>
      <w:r>
        <w:rPr>
          <w:rFonts w:ascii="Times New Roman" w:hAnsi="Times New Roman" w:cs="Times New Roman"/>
          <w:szCs w:val="22"/>
        </w:rPr>
        <w:t>电子邮箱：</w:t>
      </w:r>
      <w:r>
        <w:rPr>
          <w:rFonts w:ascii="Times New Roman" w:hAnsi="Times New Roman" w:cs="Times New Roman"/>
          <w:szCs w:val="22"/>
          <w:u w:val="single"/>
        </w:rPr>
        <w:t xml:space="preserve"> 731039838@qq.com </w:t>
      </w:r>
      <w:r>
        <w:rPr>
          <w:rFonts w:ascii="Times New Roman" w:hAnsi="Times New Roman" w:cs="Times New Roman"/>
          <w:szCs w:val="22"/>
        </w:rPr>
        <w:t xml:space="preserve"> </w:t>
      </w:r>
    </w:p>
    <w:p>
      <w:pPr>
        <w:spacing w:line="440" w:lineRule="exact"/>
        <w:ind w:firstLine="420" w:firstLineChars="200"/>
        <w:rPr>
          <w:rFonts w:ascii="Times New Roman" w:hAnsi="Times New Roman" w:cs="Times New Roman"/>
          <w:szCs w:val="22"/>
        </w:rPr>
      </w:pPr>
    </w:p>
    <w:p>
      <w:pPr>
        <w:pStyle w:val="29"/>
        <w:jc w:val="center"/>
        <w:rPr>
          <w:rFonts w:hint="default" w:ascii="Times New Roman" w:hAnsi="Times New Roman"/>
          <w:color w:val="auto"/>
          <w:sz w:val="21"/>
          <w:szCs w:val="22"/>
        </w:rPr>
      </w:pPr>
      <w:r>
        <w:rPr>
          <w:rFonts w:hint="default" w:ascii="Times New Roman" w:hAnsi="Times New Roman"/>
          <w:color w:val="auto"/>
          <w:sz w:val="21"/>
          <w:szCs w:val="22"/>
        </w:rPr>
        <w:t xml:space="preserve">                                          </w:t>
      </w:r>
    </w:p>
    <w:p>
      <w:pPr>
        <w:pStyle w:val="29"/>
        <w:jc w:val="right"/>
        <w:rPr>
          <w:rFonts w:hint="default" w:ascii="Times New Roman" w:hAnsi="Times New Roman"/>
          <w:color w:val="auto"/>
          <w:sz w:val="21"/>
          <w:szCs w:val="22"/>
        </w:rPr>
      </w:pPr>
    </w:p>
    <w:p>
      <w:pPr>
        <w:pStyle w:val="29"/>
        <w:jc w:val="right"/>
        <w:rPr>
          <w:rFonts w:hint="default" w:ascii="Times New Roman" w:hAnsi="Times New Roman"/>
          <w:color w:val="auto"/>
          <w:szCs w:val="28"/>
        </w:rPr>
      </w:pPr>
      <w:r>
        <w:rPr>
          <w:rFonts w:hint="default" w:ascii="Times New Roman" w:hAnsi="Times New Roman"/>
          <w:color w:val="auto"/>
          <w:sz w:val="21"/>
          <w:szCs w:val="22"/>
          <w:u w:val="single"/>
        </w:rPr>
        <w:t xml:space="preserve"> 2022 </w:t>
      </w:r>
      <w:r>
        <w:rPr>
          <w:rFonts w:hint="default" w:ascii="Times New Roman" w:hAnsi="Times New Roman"/>
          <w:color w:val="auto"/>
          <w:sz w:val="21"/>
          <w:szCs w:val="22"/>
        </w:rPr>
        <w:t>年</w:t>
      </w:r>
      <w:r>
        <w:rPr>
          <w:rFonts w:hint="default" w:ascii="Times New Roman" w:hAnsi="Times New Roman"/>
          <w:color w:val="auto"/>
          <w:sz w:val="21"/>
          <w:szCs w:val="22"/>
          <w:u w:val="single"/>
        </w:rPr>
        <w:t xml:space="preserve"> 03 </w:t>
      </w:r>
      <w:r>
        <w:rPr>
          <w:rFonts w:hint="default" w:ascii="Times New Roman" w:hAnsi="Times New Roman"/>
          <w:color w:val="auto"/>
          <w:sz w:val="21"/>
          <w:szCs w:val="22"/>
        </w:rPr>
        <w:t>月</w:t>
      </w:r>
      <w:r>
        <w:rPr>
          <w:rFonts w:hint="default" w:ascii="Times New Roman" w:hAnsi="Times New Roman"/>
          <w:color w:val="auto"/>
          <w:sz w:val="21"/>
          <w:szCs w:val="22"/>
          <w:u w:val="single"/>
        </w:rPr>
        <w:t xml:space="preserve"> 18 </w:t>
      </w:r>
      <w:r>
        <w:rPr>
          <w:rFonts w:hint="default" w:ascii="Times New Roman" w:hAnsi="Times New Roman"/>
          <w:color w:val="auto"/>
          <w:sz w:val="21"/>
          <w:szCs w:val="22"/>
        </w:rPr>
        <w:t>日</w:t>
      </w:r>
    </w:p>
    <w:p>
      <w:pPr>
        <w:rPr>
          <w:rFonts w:ascii="Times New Roman" w:hAnsi="Times New Roman" w:cs="Times New Roman"/>
          <w:sz w:val="24"/>
          <w:szCs w:val="28"/>
        </w:rPr>
      </w:pPr>
      <w:r>
        <w:rPr>
          <w:rFonts w:ascii="Times New Roman" w:hAnsi="Times New Roman" w:cs="Times New Roman"/>
          <w:sz w:val="24"/>
          <w:szCs w:val="28"/>
        </w:rPr>
        <w:br w:type="page"/>
      </w:r>
    </w:p>
    <w:p>
      <w:pPr>
        <w:pStyle w:val="4"/>
        <w:numPr>
          <w:ilvl w:val="0"/>
          <w:numId w:val="0"/>
        </w:numPr>
        <w:spacing w:before="312" w:after="312"/>
        <w:rPr>
          <w:rFonts w:ascii="Times New Roman" w:hAnsi="Times New Roman" w:eastAsia="宋体" w:cs="Times New Roman"/>
        </w:rPr>
      </w:pPr>
      <w:bookmarkStart w:id="44" w:name="_Toc11737"/>
      <w:bookmarkStart w:id="45" w:name="_Toc5944_WPSOffice_Level1"/>
      <w:r>
        <w:rPr>
          <w:rFonts w:ascii="Times New Roman" w:hAnsi="Times New Roman" w:eastAsia="宋体" w:cs="Times New Roman"/>
        </w:rPr>
        <w:t>第二章 供应商须知</w:t>
      </w:r>
      <w:bookmarkEnd w:id="44"/>
      <w:bookmarkEnd w:id="45"/>
    </w:p>
    <w:p>
      <w:pPr>
        <w:keepNext/>
        <w:keepLines/>
        <w:spacing w:before="156" w:beforeLines="50" w:after="156" w:afterLines="50" w:line="360" w:lineRule="auto"/>
        <w:outlineLvl w:val="1"/>
        <w:rPr>
          <w:rFonts w:ascii="Times New Roman" w:hAnsi="Times New Roman" w:eastAsia="黑体" w:cs="Times New Roman"/>
          <w:bCs/>
          <w:sz w:val="24"/>
          <w:szCs w:val="32"/>
        </w:rPr>
      </w:pPr>
      <w:bookmarkStart w:id="46" w:name="_Toc14201207"/>
      <w:bookmarkStart w:id="47" w:name="_Toc26656938"/>
      <w:bookmarkStart w:id="48" w:name="_Toc9067720"/>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440" w:lineRule="exact"/>
        <w:ind w:firstLine="420"/>
        <w:rPr>
          <w:rFonts w:ascii="Times New Roman" w:hAnsi="Times New Roman" w:cs="Times New Roman"/>
          <w:szCs w:val="21"/>
        </w:rPr>
      </w:pPr>
      <w:r>
        <w:rPr>
          <w:rFonts w:ascii="Times New Roman" w:hAnsi="Times New Roman" w:cs="Times New Roman"/>
          <w:szCs w:val="21"/>
        </w:rPr>
        <w:t>本合同包的质量要求：满足国家相关行业标准的要求并验收合格。</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1.2 供应商资格要求</w:t>
      </w:r>
    </w:p>
    <w:p>
      <w:pPr>
        <w:spacing w:line="440" w:lineRule="exact"/>
        <w:ind w:firstLine="420"/>
        <w:rPr>
          <w:rFonts w:ascii="Times New Roman" w:hAnsi="Times New Roman" w:cs="Times New Roman"/>
          <w:szCs w:val="21"/>
        </w:rPr>
      </w:pPr>
      <w:r>
        <w:rPr>
          <w:rFonts w:ascii="Times New Roman" w:hAnsi="Times New Roman" w:cs="Times New Roman"/>
          <w:szCs w:val="21"/>
        </w:rPr>
        <w:t>1.2.1 供应商应具备承担本合同包施工的资质条件、能力和信誉：见第一章 采购公告第3.1款要求。</w:t>
      </w:r>
    </w:p>
    <w:p>
      <w:pPr>
        <w:spacing w:line="440" w:lineRule="exact"/>
        <w:ind w:firstLine="420"/>
        <w:rPr>
          <w:rFonts w:ascii="Times New Roman" w:hAnsi="Times New Roman" w:cs="Times New Roman"/>
          <w:szCs w:val="21"/>
        </w:rPr>
      </w:pPr>
      <w:r>
        <w:rPr>
          <w:rFonts w:ascii="Times New Roman" w:hAnsi="Times New Roman" w:cs="Times New Roman"/>
          <w:szCs w:val="21"/>
        </w:rPr>
        <w:t>1.2.2 其他要求：/。</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1.3 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1.4 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1.5 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1.6 踏勘现场</w:t>
      </w:r>
    </w:p>
    <w:p>
      <w:pPr>
        <w:spacing w:line="440" w:lineRule="exact"/>
        <w:ind w:firstLine="420"/>
        <w:rPr>
          <w:rFonts w:ascii="Times New Roman" w:hAnsi="Times New Roman" w:cs="Times New Roman"/>
        </w:rPr>
      </w:pPr>
      <w:r>
        <w:rPr>
          <w:rFonts w:ascii="Times New Roman" w:hAnsi="Times New Roman" w:cs="Times New Roman"/>
        </w:rPr>
        <w:t>供应商自行踏勘现场且费用自理。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1.7 分包</w:t>
      </w:r>
    </w:p>
    <w:p>
      <w:pPr>
        <w:spacing w:line="440" w:lineRule="exact"/>
        <w:ind w:firstLine="420"/>
        <w:rPr>
          <w:rFonts w:ascii="Times New Roman" w:hAnsi="Times New Roman" w:cs="Times New Roman"/>
          <w:color w:val="FF0000"/>
          <w:highlight w:val="yellow"/>
        </w:rPr>
      </w:pPr>
      <w:r>
        <w:rPr>
          <w:rFonts w:hint="eastAsia" w:ascii="Times New Roman" w:hAnsi="Times New Roman" w:cs="Times New Roman"/>
        </w:rPr>
        <w:t>不允许分包。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1.8 偏差</w:t>
      </w:r>
    </w:p>
    <w:p>
      <w:pPr>
        <w:spacing w:line="440" w:lineRule="exact"/>
        <w:ind w:firstLine="420"/>
        <w:rPr>
          <w:rFonts w:ascii="Times New Roman" w:hAnsi="Times New Roman" w:cs="Times New Roman"/>
        </w:rPr>
      </w:pPr>
      <w:r>
        <w:rPr>
          <w:rFonts w:ascii="Times New Roman" w:hAnsi="Times New Roman" w:cs="Times New Roman"/>
        </w:rPr>
        <w:t>1.8.1 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1.8.2 响应文件存在第三章“评审办法”中所列任一否决响应文件情形的，均属于存在重大偏差，响应文件将被否决。</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（1）采购公告；</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（4）合同内容；</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询比文件的澄清与修改</w:t>
      </w:r>
    </w:p>
    <w:p>
      <w:pPr>
        <w:spacing w:line="440" w:lineRule="exact"/>
        <w:ind w:firstLine="420"/>
        <w:rPr>
          <w:rFonts w:ascii="Times New Roman" w:hAnsi="Times New Roman" w:cs="Times New Roman"/>
        </w:rPr>
      </w:pPr>
      <w:r>
        <w:rPr>
          <w:rFonts w:ascii="Times New Roman" w:hAnsi="Times New Roman" w:cs="Times New Roman"/>
        </w:rPr>
        <w:t>2.2.1 供应商如有疑问，应在递交响应文件的截止时间前3日通过书面形式要求采购人对询比文件予以澄清或修改。</w:t>
      </w:r>
    </w:p>
    <w:p>
      <w:pPr>
        <w:spacing w:line="440" w:lineRule="exact"/>
        <w:ind w:firstLine="420"/>
        <w:rPr>
          <w:rFonts w:ascii="Times New Roman" w:hAnsi="Times New Roman" w:cs="Times New Roman"/>
        </w:rPr>
      </w:pPr>
      <w:r>
        <w:rPr>
          <w:rFonts w:ascii="Times New Roman" w:hAnsi="Times New Roman" w:cs="Times New Roman"/>
        </w:rPr>
        <w:t>2.2.2 除非采购人认为确有必要答复，否则，采购人有权拒绝回复供应商在本章第2.2.1项规定的时间后提出的任何澄清或修改要求。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40" w:lineRule="exact"/>
        <w:ind w:firstLine="420"/>
        <w:rPr>
          <w:rFonts w:ascii="Times New Roman" w:hAnsi="Times New Roman" w:cs="Times New Roman"/>
        </w:rPr>
      </w:pPr>
      <w:r>
        <w:rPr>
          <w:rFonts w:ascii="Times New Roman" w:hAnsi="Times New Roman" w:cs="Times New Roman"/>
        </w:rPr>
        <w:t>响应文件应包括下列内容：</w:t>
      </w:r>
    </w:p>
    <w:p>
      <w:pPr>
        <w:spacing w:line="440" w:lineRule="exact"/>
        <w:ind w:firstLine="420"/>
        <w:rPr>
          <w:rFonts w:hint="eastAsia" w:ascii="Times New Roman" w:hAnsi="Times New Roman" w:cs="Times New Roman"/>
          <w:lang w:eastAsia="zh-CN"/>
        </w:rPr>
      </w:pPr>
      <w:r>
        <w:rPr>
          <w:rFonts w:hint="eastAsia" w:ascii="Times New Roman" w:hAnsi="Times New Roman" w:cs="Times New Roman"/>
          <w:lang w:val="en-US" w:eastAsia="zh-CN"/>
        </w:rPr>
        <w:t>3.1.1</w:t>
      </w:r>
      <w:r>
        <w:rPr>
          <w:rFonts w:hint="eastAsia" w:ascii="Times New Roman" w:hAnsi="Times New Roman" w:cs="Times New Roman"/>
        </w:rPr>
        <w:t>商务及技术文件（第一信封）</w:t>
      </w:r>
      <w:r>
        <w:rPr>
          <w:rFonts w:hint="eastAsia" w:ascii="Times New Roman" w:hAnsi="Times New Roman" w:cs="Times New Roman"/>
          <w:lang w:eastAsia="zh-CN"/>
        </w:rPr>
        <w:t>：</w:t>
      </w:r>
    </w:p>
    <w:p>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lang w:val="en-US" w:eastAsia="zh-CN"/>
        </w:rPr>
        <w:t>1</w:t>
      </w:r>
      <w:r>
        <w:rPr>
          <w:rFonts w:ascii="Times New Roman" w:hAnsi="Times New Roman" w:cs="Times New Roman"/>
        </w:rPr>
        <w:t>）法定代表人身份证明及授权委托书；</w:t>
      </w:r>
    </w:p>
    <w:p>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lang w:val="en-US" w:eastAsia="zh-CN"/>
        </w:rPr>
        <w:t>2</w:t>
      </w:r>
      <w:r>
        <w:rPr>
          <w:rFonts w:ascii="Times New Roman" w:hAnsi="Times New Roman" w:cs="Times New Roman"/>
        </w:rPr>
        <w:t>）供应商基本情况；</w:t>
      </w:r>
    </w:p>
    <w:p>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lang w:val="en-US" w:eastAsia="zh-CN"/>
        </w:rPr>
        <w:t>3</w:t>
      </w:r>
      <w:r>
        <w:rPr>
          <w:rFonts w:ascii="Times New Roman" w:hAnsi="Times New Roman" w:cs="Times New Roman"/>
        </w:rPr>
        <w:t>）拟委任的项目负责人资历表；</w:t>
      </w:r>
    </w:p>
    <w:p>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lang w:val="en-US" w:eastAsia="zh-CN"/>
        </w:rPr>
        <w:t>4</w:t>
      </w:r>
      <w:r>
        <w:rPr>
          <w:rFonts w:ascii="Times New Roman" w:hAnsi="Times New Roman" w:cs="Times New Roman"/>
        </w:rPr>
        <w:t>）信誉情况；</w:t>
      </w:r>
    </w:p>
    <w:p>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lang w:val="en-US" w:eastAsia="zh-CN"/>
        </w:rPr>
        <w:t>5</w:t>
      </w:r>
      <w:r>
        <w:rPr>
          <w:rFonts w:ascii="Times New Roman" w:hAnsi="Times New Roman" w:cs="Times New Roman"/>
        </w:rPr>
        <w:t>）</w:t>
      </w:r>
      <w:r>
        <w:rPr>
          <w:rFonts w:hint="eastAsia" w:ascii="Times New Roman" w:hAnsi="Times New Roman" w:cs="Times New Roman"/>
        </w:rPr>
        <w:t>技术</w:t>
      </w:r>
      <w:r>
        <w:rPr>
          <w:rFonts w:ascii="Times New Roman" w:hAnsi="Times New Roman" w:cs="Times New Roman"/>
        </w:rPr>
        <w:t>方案；</w:t>
      </w:r>
    </w:p>
    <w:p>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lang w:val="en-US" w:eastAsia="zh-CN"/>
        </w:rPr>
        <w:t>6</w:t>
      </w:r>
      <w:r>
        <w:rPr>
          <w:rFonts w:ascii="Times New Roman" w:hAnsi="Times New Roman" w:cs="Times New Roman"/>
        </w:rPr>
        <w:t>）其他材料。</w:t>
      </w:r>
    </w:p>
    <w:p>
      <w:pPr>
        <w:spacing w:line="440" w:lineRule="exact"/>
        <w:ind w:firstLine="420"/>
        <w:rPr>
          <w:rFonts w:hint="eastAsia" w:ascii="Times New Roman" w:hAnsi="Times New Roman" w:cs="Times New Roman"/>
          <w:lang w:val="en-US" w:eastAsia="zh-CN"/>
        </w:rPr>
      </w:pPr>
      <w:r>
        <w:rPr>
          <w:rFonts w:hint="eastAsia" w:ascii="Times New Roman" w:hAnsi="Times New Roman" w:cs="Times New Roman"/>
          <w:lang w:val="en-US" w:eastAsia="zh-CN"/>
        </w:rPr>
        <w:t>3.1.2报价文件（第二信封）：</w:t>
      </w:r>
    </w:p>
    <w:p>
      <w:pPr>
        <w:spacing w:line="440" w:lineRule="exact"/>
        <w:ind w:firstLine="420"/>
        <w:rPr>
          <w:rFonts w:hint="eastAsia" w:ascii="Times New Roman" w:hAnsi="Times New Roman" w:cs="Times New Roman"/>
          <w:lang w:val="en-US" w:eastAsia="zh-CN"/>
        </w:rPr>
      </w:pPr>
      <w:r>
        <w:rPr>
          <w:rFonts w:hint="eastAsia" w:ascii="Times New Roman" w:hAnsi="Times New Roman" w:cs="Times New Roman"/>
          <w:lang w:val="en-US" w:eastAsia="zh-CN"/>
        </w:rPr>
        <w:t>（1）报价函；</w:t>
      </w:r>
    </w:p>
    <w:p>
      <w:pPr>
        <w:spacing w:line="440" w:lineRule="exact"/>
        <w:ind w:firstLine="420"/>
        <w:rPr>
          <w:rFonts w:ascii="Times New Roman" w:hAnsi="Times New Roman" w:cs="Times New Roman"/>
        </w:rPr>
      </w:pPr>
      <w:r>
        <w:rPr>
          <w:rFonts w:hint="eastAsia" w:ascii="Times New Roman" w:hAnsi="Times New Roman" w:cs="Times New Roman"/>
          <w:lang w:val="en-US" w:eastAsia="zh-CN"/>
        </w:rPr>
        <w:t>（2）已标价的工程量清单。</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3.2 报价要求 </w:t>
      </w:r>
    </w:p>
    <w:p>
      <w:pPr>
        <w:spacing w:line="440" w:lineRule="exact"/>
        <w:ind w:firstLine="420"/>
        <w:rPr>
          <w:rFonts w:ascii="Times New Roman" w:hAnsi="Times New Roman" w:cs="Times New Roman"/>
        </w:rPr>
      </w:pPr>
      <w:r>
        <w:rPr>
          <w:rFonts w:ascii="Times New Roman" w:hAnsi="Times New Roman" w:cs="Times New Roman"/>
        </w:rPr>
        <w:t>3.2.1 报价应包括国家规定的增值税税金。</w:t>
      </w:r>
    </w:p>
    <w:p>
      <w:pPr>
        <w:spacing w:line="440" w:lineRule="exact"/>
        <w:ind w:firstLine="420"/>
        <w:rPr>
          <w:rFonts w:ascii="Times New Roman" w:hAnsi="Times New Roman" w:cs="Times New Roman"/>
        </w:rPr>
      </w:pPr>
      <w:r>
        <w:rPr>
          <w:rFonts w:ascii="Times New Roman" w:hAnsi="Times New Roman" w:cs="Times New Roman"/>
        </w:rPr>
        <w:t>3.2.2 供应商应按第六章“响应文件格式”的要求在报价函中进行报价并填写工程量清单相应表格。</w:t>
      </w:r>
    </w:p>
    <w:p>
      <w:pPr>
        <w:spacing w:line="440" w:lineRule="exact"/>
        <w:ind w:firstLine="420"/>
        <w:rPr>
          <w:rFonts w:ascii="Times New Roman" w:hAnsi="Times New Roman" w:cs="Times New Roman"/>
        </w:rPr>
      </w:pPr>
      <w:r>
        <w:rPr>
          <w:rFonts w:ascii="Times New Roman" w:hAnsi="Times New Roman" w:cs="Times New Roman"/>
        </w:rPr>
        <w:t>3.2.3 采购人设有最高限价的，供应商的报价不得超过最高限价，否则其报价将被否决，最高限价见第一章“</w:t>
      </w:r>
      <w:r>
        <w:rPr>
          <w:rFonts w:ascii="Times New Roman" w:hAnsi="Times New Roman" w:cs="Times New Roman"/>
          <w:szCs w:val="21"/>
        </w:rPr>
        <w:t>采购公告</w:t>
      </w:r>
      <w:r>
        <w:rPr>
          <w:rFonts w:ascii="Times New Roman" w:hAnsi="Times New Roman" w:cs="Times New Roman"/>
        </w:rPr>
        <w:t>”第2.5款。</w:t>
      </w:r>
    </w:p>
    <w:p>
      <w:pPr>
        <w:spacing w:line="440" w:lineRule="exact"/>
        <w:ind w:firstLine="420"/>
        <w:rPr>
          <w:rFonts w:ascii="Times New Roman" w:hAnsi="Times New Roman" w:cs="Times New Roman"/>
        </w:rPr>
      </w:pPr>
      <w:r>
        <w:rPr>
          <w:rFonts w:ascii="Times New Roman" w:hAnsi="Times New Roman" w:cs="Times New Roman"/>
        </w:rPr>
        <w:t>3.2.4本项目的报价方式为综合报价。</w:t>
      </w:r>
    </w:p>
    <w:p>
      <w:pPr>
        <w:spacing w:line="440" w:lineRule="exact"/>
        <w:ind w:firstLine="420"/>
        <w:rPr>
          <w:rFonts w:ascii="Times New Roman" w:hAnsi="Times New Roman" w:cs="Times New Roman"/>
        </w:rPr>
      </w:pPr>
      <w:r>
        <w:rPr>
          <w:rFonts w:ascii="Times New Roman" w:hAnsi="Times New Roman" w:cs="Times New Roman"/>
        </w:rPr>
        <w:t>3.2.5 报价的其他要求：</w:t>
      </w:r>
      <w:r>
        <w:rPr>
          <w:rFonts w:ascii="Times New Roman" w:hAnsi="Times New Roman" w:cs="Times New Roman"/>
          <w:szCs w:val="21"/>
        </w:rPr>
        <w:t>/</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自供应商递交响应文件截止之日起计算90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3.4响应保证金</w:t>
      </w:r>
    </w:p>
    <w:p>
      <w:pPr>
        <w:spacing w:line="440" w:lineRule="exact"/>
        <w:ind w:firstLine="420"/>
        <w:rPr>
          <w:rFonts w:ascii="Times New Roman" w:hAnsi="Times New Roman" w:cs="Times New Roman"/>
        </w:rPr>
      </w:pPr>
      <w:r>
        <w:rPr>
          <w:rFonts w:ascii="Times New Roman" w:hAnsi="Times New Roman" w:cs="Times New Roman"/>
        </w:rPr>
        <w:t>3.4.1 供应商在递交响应文件的同时，应按第一章“</w:t>
      </w:r>
      <w:r>
        <w:rPr>
          <w:rFonts w:ascii="Times New Roman" w:hAnsi="Times New Roman" w:cs="Times New Roman"/>
          <w:szCs w:val="21"/>
        </w:rPr>
        <w:t>采购公告</w:t>
      </w:r>
      <w:r>
        <w:rPr>
          <w:rFonts w:ascii="Times New Roman" w:hAnsi="Times New Roman" w:cs="Times New Roman"/>
        </w:rPr>
        <w:t>”第7条的要求递交响应保证金，并作为其响应文件的组成部分。</w:t>
      </w:r>
    </w:p>
    <w:p>
      <w:pPr>
        <w:spacing w:line="440" w:lineRule="exact"/>
        <w:ind w:firstLine="420"/>
        <w:rPr>
          <w:rFonts w:ascii="Times New Roman" w:hAnsi="Times New Roman" w:cs="Times New Roman"/>
        </w:rPr>
      </w:pPr>
      <w:r>
        <w:rPr>
          <w:rFonts w:ascii="Times New Roman" w:hAnsi="Times New Roman" w:cs="Times New Roman"/>
        </w:rPr>
        <w:t>无论采取何种形式的响应保证金，响应保证金有效期均应与响应有效期一致。</w:t>
      </w:r>
    </w:p>
    <w:p>
      <w:pPr>
        <w:spacing w:line="440" w:lineRule="exact"/>
        <w:ind w:firstLine="420"/>
        <w:rPr>
          <w:rFonts w:ascii="Times New Roman" w:hAnsi="Times New Roman" w:cs="Times New Roman"/>
        </w:rPr>
      </w:pPr>
      <w:r>
        <w:rPr>
          <w:rFonts w:ascii="Times New Roman" w:hAnsi="Times New Roman" w:cs="Times New Roman"/>
        </w:rPr>
        <w:t>3.4.2 供应商不按本章第3.4.1项要求提交响应保证金的，评审小组将否决其响应文件。</w:t>
      </w:r>
    </w:p>
    <w:p>
      <w:pPr>
        <w:spacing w:line="440" w:lineRule="exact"/>
        <w:ind w:firstLine="420"/>
        <w:rPr>
          <w:rFonts w:ascii="Times New Roman" w:hAnsi="Times New Roman" w:cs="Times New Roman"/>
        </w:rPr>
      </w:pPr>
      <w:r>
        <w:rPr>
          <w:rFonts w:ascii="Times New Roman" w:hAnsi="Times New Roman" w:cs="Times New Roman"/>
        </w:rPr>
        <w:t>3.4.3 采购人在与成交人签订合同后5日内办理退还响应保证金手续。</w:t>
      </w:r>
    </w:p>
    <w:p>
      <w:pPr>
        <w:spacing w:line="440" w:lineRule="exact"/>
        <w:ind w:firstLine="420"/>
        <w:rPr>
          <w:rFonts w:ascii="Times New Roman" w:hAnsi="Times New Roman" w:cs="Times New Roman"/>
        </w:rPr>
      </w:pPr>
      <w:r>
        <w:rPr>
          <w:rFonts w:ascii="Times New Roman" w:hAnsi="Times New Roman" w:cs="Times New Roman"/>
        </w:rPr>
        <w:t>3.4.4 有下列情形之一的，响应保证金将不予退还：</w:t>
      </w:r>
    </w:p>
    <w:p>
      <w:pPr>
        <w:spacing w:line="440" w:lineRule="exact"/>
        <w:ind w:firstLine="420"/>
        <w:rPr>
          <w:rFonts w:ascii="Times New Roman" w:hAnsi="Times New Roman" w:cs="Times New Roman"/>
        </w:rPr>
      </w:pPr>
      <w:r>
        <w:rPr>
          <w:rFonts w:ascii="Times New Roman" w:hAnsi="Times New Roman" w:cs="Times New Roman"/>
        </w:rPr>
        <w:t>（1）供应商在规定的响应有效期内撤销其响应文件；</w:t>
      </w:r>
    </w:p>
    <w:p>
      <w:pPr>
        <w:spacing w:line="440" w:lineRule="exact"/>
        <w:ind w:firstLine="420"/>
        <w:rPr>
          <w:rFonts w:ascii="Times New Roman" w:hAnsi="Times New Roman" w:cs="Times New Roman"/>
        </w:rPr>
      </w:pPr>
      <w:r>
        <w:rPr>
          <w:rFonts w:ascii="Times New Roman" w:hAnsi="Times New Roman"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spacing w:line="440" w:lineRule="exact"/>
        <w:ind w:firstLine="420"/>
        <w:rPr>
          <w:rFonts w:ascii="Times New Roman" w:hAnsi="Times New Roman" w:cs="Times New Roman"/>
        </w:rPr>
      </w:pPr>
      <w:r>
        <w:rPr>
          <w:rFonts w:ascii="Times New Roman" w:hAnsi="Times New Roman" w:cs="Times New Roman"/>
        </w:rPr>
        <w:t>（3）</w:t>
      </w:r>
      <w:r>
        <w:rPr>
          <w:rFonts w:ascii="Times New Roman" w:hAnsi="Times New Roman" w:cs="Times New Roman"/>
          <w:szCs w:val="21"/>
        </w:rPr>
        <w:t>供应商须知前附表规定的其他情形</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3.5资格审查资料</w:t>
      </w:r>
    </w:p>
    <w:p>
      <w:pPr>
        <w:spacing w:line="440" w:lineRule="exact"/>
        <w:ind w:firstLine="420"/>
        <w:rPr>
          <w:rFonts w:ascii="Times New Roman" w:hAnsi="Times New Roman" w:cs="Times New Roman"/>
        </w:rPr>
      </w:pPr>
      <w:r>
        <w:rPr>
          <w:rFonts w:ascii="Times New Roman" w:hAnsi="Times New Roman" w:cs="Times New Roman"/>
        </w:rPr>
        <w:t>供应商应按第六章“响应文件格式”的规定提供资格审查资料，以证明其满足本章第1.2款规定的资质、能力、信誉等要求。</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3.6响应文件的编制</w:t>
      </w:r>
    </w:p>
    <w:p>
      <w:pPr>
        <w:spacing w:line="440" w:lineRule="exact"/>
        <w:ind w:firstLine="420"/>
        <w:rPr>
          <w:rFonts w:ascii="Times New Roman" w:hAnsi="Times New Roman" w:cs="Times New Roman"/>
        </w:rPr>
      </w:pPr>
      <w:r>
        <w:rPr>
          <w:rFonts w:ascii="Times New Roman" w:hAnsi="Times New Roman" w:cs="Times New Roman"/>
        </w:rPr>
        <w:t>3.6.1 响应文件应按第六章“响应文件格式”进行编写，如有必要，可以增加附页，作为响应文件的组成部分。</w:t>
      </w:r>
    </w:p>
    <w:p>
      <w:pPr>
        <w:spacing w:line="440" w:lineRule="exact"/>
        <w:ind w:firstLine="420"/>
        <w:rPr>
          <w:rFonts w:ascii="Times New Roman" w:hAnsi="Times New Roman" w:cs="Times New Roman"/>
        </w:rPr>
      </w:pPr>
      <w:r>
        <w:rPr>
          <w:rFonts w:ascii="Times New Roman" w:hAnsi="Times New Roman" w:cs="Times New Roman"/>
        </w:rPr>
        <w:t>3.6.2 响应文件应当对询比文件有关工期、响应有效期、质量要求、技术标准和要求、采购范围等实质性内容作出响应。</w:t>
      </w:r>
    </w:p>
    <w:p>
      <w:pPr>
        <w:spacing w:line="440" w:lineRule="exact"/>
        <w:ind w:firstLine="420"/>
        <w:rPr>
          <w:rFonts w:ascii="Times New Roman" w:hAnsi="Times New Roman" w:cs="Times New Roman"/>
        </w:rPr>
      </w:pPr>
      <w:r>
        <w:rPr>
          <w:rFonts w:ascii="Times New Roman" w:hAnsi="Times New Roman" w:cs="Times New Roman"/>
        </w:rPr>
        <w:t>3.6.3响应文件的制作应满足以下规定：</w:t>
      </w:r>
    </w:p>
    <w:p>
      <w:pPr>
        <w:spacing w:line="440" w:lineRule="exact"/>
        <w:ind w:firstLine="420"/>
        <w:rPr>
          <w:rFonts w:ascii="Times New Roman" w:hAnsi="Times New Roman" w:cs="Times New Roman"/>
        </w:rPr>
      </w:pPr>
      <w:r>
        <w:rPr>
          <w:rFonts w:ascii="Times New Roman" w:hAnsi="Times New Roman" w:cs="Times New Roman"/>
        </w:rPr>
        <w:t>（1）响应文件应用不褪色的材料书写或打印，并按第六章“响应文件格式”的要求进行签名和（或）盖章。响应文件应尽量避免涂改、行间插字或删除。如果出现上述情况，改动之处应由供应商的法定代表人或其授权的代理人签名或盖单位章。</w:t>
      </w:r>
    </w:p>
    <w:p>
      <w:pPr>
        <w:spacing w:line="440" w:lineRule="exact"/>
        <w:ind w:firstLine="420"/>
        <w:rPr>
          <w:rFonts w:ascii="Times New Roman" w:hAnsi="Times New Roman" w:eastAsia="宋体" w:cs="Times New Roman"/>
        </w:rPr>
      </w:pPr>
      <w:r>
        <w:rPr>
          <w:rFonts w:ascii="Times New Roman" w:hAnsi="Times New Roman" w:cs="Times New Roman"/>
        </w:rPr>
        <w:t>（2）响应文件正本一份，副本</w:t>
      </w:r>
      <w:r>
        <w:rPr>
          <w:rFonts w:ascii="Times New Roman" w:hAnsi="Times New Roman" w:cs="Times New Roman"/>
          <w:u w:val="single"/>
        </w:rPr>
        <w:t xml:space="preserve"> 一 </w:t>
      </w:r>
      <w:r>
        <w:rPr>
          <w:rFonts w:ascii="Times New Roman" w:hAnsi="Times New Roman" w:cs="Times New Roman"/>
        </w:rPr>
        <w:t>份数。正本和副本的封面右上角上应清楚地标记“正本”或“副本”的字样。当副本和正本不一致时，以正本文件为准。响应文件的正本与副本应分别装订</w:t>
      </w:r>
      <w:r>
        <w:rPr>
          <w:rFonts w:ascii="Times New Roman" w:hAnsi="Times New Roman" w:eastAsia="宋体" w:cs="Times New Roman"/>
        </w:rPr>
        <w:t>，统一密封在信封封套中。</w:t>
      </w:r>
    </w:p>
    <w:p>
      <w:pPr>
        <w:spacing w:line="440" w:lineRule="exact"/>
        <w:ind w:firstLine="420"/>
        <w:rPr>
          <w:rFonts w:ascii="Times New Roman" w:hAnsi="Times New Roman" w:eastAsia="宋体" w:cs="Times New Roman"/>
        </w:rPr>
      </w:pPr>
      <w:r>
        <w:rPr>
          <w:rFonts w:ascii="Times New Roman" w:hAnsi="Times New Roman" w:eastAsia="宋体" w:cs="Times New Roman"/>
        </w:rPr>
        <w:t>（3）电子版U盘：U盘上贴注所投项目名称为</w:t>
      </w:r>
      <w:r>
        <w:rPr>
          <w:rFonts w:hint="eastAsia" w:ascii="Times New Roman" w:hAnsi="Times New Roman" w:eastAsia="宋体" w:cs="Times New Roman"/>
          <w:b/>
          <w:bCs/>
          <w:u w:val="single"/>
        </w:rPr>
        <w:t>安徽高速园区西库改造项目</w:t>
      </w:r>
      <w:r>
        <w:rPr>
          <w:rFonts w:ascii="Times New Roman" w:hAnsi="Times New Roman" w:eastAsia="宋体" w:cs="Times New Roman"/>
        </w:rPr>
        <w:t>且供应商编制的响应文件（盖章扫描件）备查，U盘与响应文件正副本一同密封。</w:t>
      </w:r>
    </w:p>
    <w:p>
      <w:pPr>
        <w:spacing w:line="440" w:lineRule="exact"/>
        <w:ind w:firstLine="420"/>
        <w:rPr>
          <w:rFonts w:ascii="Times New Roman" w:hAnsi="Times New Roman" w:eastAsia="宋体" w:cs="Times New Roman"/>
        </w:rPr>
      </w:pPr>
      <w:r>
        <w:rPr>
          <w:rFonts w:ascii="Times New Roman" w:hAnsi="Times New Roman" w:eastAsia="宋体" w:cs="Times New Roman"/>
        </w:rPr>
        <w:t>（4）装订要求：响应文件应用A4纸胶装成册并标注连续页码，不允许活页装订，并逐页加盖公章，采购人不承担因此造成的任何后果。</w:t>
      </w:r>
      <w:bookmarkStart w:id="49" w:name="_Toc26656963"/>
      <w:bookmarkStart w:id="50" w:name="_Toc14201232"/>
    </w:p>
    <w:p>
      <w:pPr>
        <w:spacing w:line="440" w:lineRule="exact"/>
        <w:ind w:firstLine="420"/>
        <w:rPr>
          <w:rFonts w:ascii="Times New Roman" w:hAnsi="Times New Roman" w:cs="Times New Roman"/>
          <w:b/>
          <w:bCs/>
        </w:rPr>
      </w:pPr>
      <w:r>
        <w:rPr>
          <w:rFonts w:ascii="Times New Roman" w:hAnsi="Times New Roman" w:cs="Times New Roman"/>
        </w:rPr>
        <w:t>（5）密封包装：</w:t>
      </w:r>
      <w:r>
        <w:rPr>
          <w:rFonts w:ascii="Times New Roman" w:hAnsi="Times New Roman" w:cs="Times New Roman"/>
          <w:b/>
          <w:bCs/>
        </w:rPr>
        <w:t>采用双信封形式，响应文件第一个信封（商务及技术文件）以及第二个信封（报价文件）应单独密封包装。商务及技术文件的正本与副本应统一密封在一个封套中。报价文件的正本与副本应统一密封在一个封套中，电子版文件（U盘）应与商务技术文件密封在另一个封套中。</w:t>
      </w:r>
    </w:p>
    <w:p>
      <w:pPr>
        <w:spacing w:line="440" w:lineRule="exact"/>
        <w:ind w:firstLine="420"/>
        <w:rPr>
          <w:rFonts w:ascii="Times New Roman" w:hAnsi="Times New Roman" w:eastAsia="宋体" w:cs="Times New Roman"/>
        </w:rPr>
      </w:pPr>
      <w:r>
        <w:rPr>
          <w:rFonts w:ascii="Times New Roman" w:hAnsi="Times New Roman" w:eastAsia="宋体" w:cs="Times New Roman"/>
        </w:rPr>
        <w:t>（6）封套上应载明的信息：信封封套表面应标明供应商名称。封套的封口处加盖供应商单位公章或由法定代表人（单位负责人）或其授权的代理人签字。</w:t>
      </w:r>
    </w:p>
    <w:bookmarkEnd w:id="49"/>
    <w:bookmarkEnd w:id="50"/>
    <w:p>
      <w:pPr>
        <w:spacing w:line="440" w:lineRule="exact"/>
        <w:ind w:firstLine="420"/>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4.1.1响应文件正、副本应密封包装在一个封套内，封套上注明：</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（1）商务技术文件</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b/>
          <w:bCs/>
          <w:snapToGrid w:val="0"/>
          <w:color w:val="auto"/>
          <w:kern w:val="0"/>
          <w:sz w:val="21"/>
          <w:szCs w:val="21"/>
          <w:lang w:val="en-US" w:eastAsia="zh-CN"/>
        </w:rPr>
      </w:pPr>
      <w:r>
        <w:rPr>
          <w:rFonts w:hint="default" w:ascii="Times New Roman" w:hAnsi="Times New Roman" w:eastAsia="宋体" w:cs="Times New Roman"/>
          <w:b/>
          <w:bCs/>
          <w:snapToGrid w:val="0"/>
          <w:color w:val="auto"/>
          <w:kern w:val="0"/>
          <w:sz w:val="21"/>
          <w:szCs w:val="21"/>
        </w:rPr>
        <w:t>供应商名称：</w:t>
      </w:r>
      <w:r>
        <w:rPr>
          <w:rFonts w:hint="default" w:ascii="Times New Roman" w:hAnsi="Times New Roman" w:eastAsia="宋体" w:cs="Times New Roman"/>
          <w:b/>
          <w:bCs/>
          <w:snapToGrid w:val="0"/>
          <w:color w:val="auto"/>
          <w:kern w:val="0"/>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b/>
          <w:bCs/>
          <w:snapToGrid w:val="0"/>
          <w:color w:val="auto"/>
          <w:kern w:val="0"/>
          <w:sz w:val="21"/>
          <w:szCs w:val="21"/>
          <w:u w:val="none"/>
          <w:lang w:eastAsia="zh-CN"/>
        </w:rPr>
      </w:pPr>
      <w:r>
        <w:rPr>
          <w:rFonts w:hint="default" w:ascii="Times New Roman" w:hAnsi="Times New Roman" w:eastAsia="宋体" w:cs="Times New Roman"/>
          <w:b/>
          <w:bCs/>
          <w:snapToGrid w:val="0"/>
          <w:color w:val="auto"/>
          <w:kern w:val="0"/>
          <w:sz w:val="21"/>
          <w:szCs w:val="21"/>
          <w:u w:val="single"/>
          <w:lang w:val="en-US" w:eastAsia="zh-CN"/>
        </w:rPr>
        <w:t xml:space="preserve">                      （项目名称）</w:t>
      </w:r>
      <w:r>
        <w:rPr>
          <w:rFonts w:hint="default" w:ascii="Times New Roman" w:hAnsi="Times New Roman" w:eastAsia="宋体" w:cs="Times New Roman"/>
          <w:b/>
          <w:bCs/>
          <w:snapToGrid w:val="0"/>
          <w:color w:val="auto"/>
          <w:kern w:val="0"/>
          <w:sz w:val="21"/>
          <w:szCs w:val="21"/>
          <w:u w:val="none"/>
        </w:rPr>
        <w:t>商务</w:t>
      </w:r>
      <w:r>
        <w:rPr>
          <w:rFonts w:hint="eastAsia" w:ascii="Times New Roman" w:hAnsi="Times New Roman" w:eastAsia="宋体" w:cs="Times New Roman"/>
          <w:b/>
          <w:bCs/>
          <w:snapToGrid w:val="0"/>
          <w:color w:val="auto"/>
          <w:kern w:val="0"/>
          <w:sz w:val="21"/>
          <w:szCs w:val="21"/>
          <w:u w:val="none"/>
          <w:lang w:val="en-US" w:eastAsia="zh-CN"/>
        </w:rPr>
        <w:t>及</w:t>
      </w:r>
      <w:r>
        <w:rPr>
          <w:rFonts w:hint="default" w:ascii="Times New Roman" w:hAnsi="Times New Roman" w:eastAsia="宋体" w:cs="Times New Roman"/>
          <w:b/>
          <w:bCs/>
          <w:snapToGrid w:val="0"/>
          <w:color w:val="auto"/>
          <w:kern w:val="0"/>
          <w:sz w:val="21"/>
          <w:szCs w:val="21"/>
          <w:u w:val="none"/>
        </w:rPr>
        <w:t>技术文件</w:t>
      </w:r>
      <w:r>
        <w:rPr>
          <w:rFonts w:hint="eastAsia" w:ascii="Times New Roman" w:hAnsi="Times New Roman" w:eastAsia="宋体" w:cs="Times New Roman"/>
          <w:b/>
          <w:bCs/>
          <w:snapToGrid w:val="0"/>
          <w:color w:val="auto"/>
          <w:kern w:val="0"/>
          <w:sz w:val="21"/>
          <w:szCs w:val="21"/>
          <w:u w:val="none"/>
          <w:lang w:eastAsia="zh-CN"/>
        </w:rPr>
        <w:t>（</w:t>
      </w:r>
      <w:r>
        <w:rPr>
          <w:rFonts w:hint="eastAsia" w:ascii="Times New Roman" w:hAnsi="Times New Roman" w:eastAsia="宋体" w:cs="Times New Roman"/>
          <w:b/>
          <w:bCs/>
          <w:snapToGrid w:val="0"/>
          <w:color w:val="auto"/>
          <w:kern w:val="0"/>
          <w:sz w:val="21"/>
          <w:szCs w:val="21"/>
          <w:u w:val="none"/>
          <w:lang w:val="en-US" w:eastAsia="zh-CN"/>
        </w:rPr>
        <w:t>第一信封</w:t>
      </w:r>
      <w:r>
        <w:rPr>
          <w:rFonts w:hint="eastAsia" w:ascii="Times New Roman" w:hAnsi="Times New Roman" w:eastAsia="宋体" w:cs="Times New Roman"/>
          <w:b/>
          <w:bCs/>
          <w:snapToGrid w:val="0"/>
          <w:color w:val="auto"/>
          <w:kern w:val="0"/>
          <w:sz w:val="21"/>
          <w:szCs w:val="21"/>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b/>
          <w:bCs/>
          <w:snapToGrid w:val="0"/>
          <w:color w:val="auto"/>
          <w:kern w:val="0"/>
          <w:sz w:val="21"/>
          <w:szCs w:val="21"/>
        </w:rPr>
      </w:pPr>
      <w:r>
        <w:rPr>
          <w:rFonts w:hint="default" w:ascii="Times New Roman" w:hAnsi="Times New Roman" w:eastAsia="宋体" w:cs="Times New Roman"/>
          <w:b/>
          <w:bCs/>
          <w:color w:val="auto"/>
          <w:sz w:val="21"/>
          <w:szCs w:val="21"/>
        </w:rPr>
        <w:t>在</w:t>
      </w:r>
      <w:r>
        <w:rPr>
          <w:rFonts w:hint="default" w:ascii="Times New Roman" w:hAnsi="Times New Roman" w:eastAsia="宋体" w:cs="Times New Roman"/>
          <w:b/>
          <w:bCs/>
          <w:color w:val="auto"/>
          <w:sz w:val="21"/>
          <w:szCs w:val="21"/>
          <w:u w:val="single"/>
          <w:lang w:val="en-US" w:eastAsia="zh-CN"/>
        </w:rPr>
        <w:t xml:space="preserve">  </w:t>
      </w:r>
      <w:r>
        <w:rPr>
          <w:rFonts w:hint="default" w:ascii="Times New Roman" w:hAnsi="Times New Roman" w:eastAsia="宋体" w:cs="Times New Roman"/>
          <w:b/>
          <w:bCs/>
          <w:color w:val="auto"/>
          <w:sz w:val="21"/>
          <w:szCs w:val="21"/>
          <w:u w:val="single"/>
        </w:rPr>
        <w:t xml:space="preserve">年 </w:t>
      </w:r>
      <w:r>
        <w:rPr>
          <w:rFonts w:hint="default" w:ascii="Times New Roman" w:hAnsi="Times New Roman" w:eastAsia="宋体" w:cs="Times New Roman"/>
          <w:b/>
          <w:bCs/>
          <w:color w:val="auto"/>
          <w:sz w:val="21"/>
          <w:szCs w:val="21"/>
          <w:u w:val="single"/>
          <w:lang w:val="en-US" w:eastAsia="zh-CN"/>
        </w:rPr>
        <w:t xml:space="preserve"> </w:t>
      </w:r>
      <w:r>
        <w:rPr>
          <w:rFonts w:hint="default" w:ascii="Times New Roman" w:hAnsi="Times New Roman" w:eastAsia="宋体" w:cs="Times New Roman"/>
          <w:b/>
          <w:bCs/>
          <w:color w:val="auto"/>
          <w:sz w:val="21"/>
          <w:szCs w:val="21"/>
          <w:u w:val="single"/>
        </w:rPr>
        <w:t xml:space="preserve">月 </w:t>
      </w:r>
      <w:r>
        <w:rPr>
          <w:rFonts w:hint="default" w:ascii="Times New Roman" w:hAnsi="Times New Roman" w:eastAsia="宋体" w:cs="Times New Roman"/>
          <w:b/>
          <w:bCs/>
          <w:color w:val="auto"/>
          <w:sz w:val="21"/>
          <w:szCs w:val="21"/>
          <w:u w:val="single"/>
          <w:lang w:val="en-US" w:eastAsia="zh-CN"/>
        </w:rPr>
        <w:t xml:space="preserve"> </w:t>
      </w:r>
      <w:r>
        <w:rPr>
          <w:rFonts w:hint="default" w:ascii="Times New Roman" w:hAnsi="Times New Roman" w:eastAsia="宋体" w:cs="Times New Roman"/>
          <w:b/>
          <w:bCs/>
          <w:color w:val="auto"/>
          <w:sz w:val="21"/>
          <w:szCs w:val="21"/>
          <w:u w:val="single"/>
        </w:rPr>
        <w:t xml:space="preserve">日 </w:t>
      </w:r>
      <w:r>
        <w:rPr>
          <w:rFonts w:hint="default" w:ascii="Times New Roman" w:hAnsi="Times New Roman" w:eastAsia="宋体" w:cs="Times New Roman"/>
          <w:b/>
          <w:bCs/>
          <w:color w:val="auto"/>
          <w:sz w:val="21"/>
          <w:szCs w:val="21"/>
          <w:u w:val="single"/>
          <w:lang w:val="en-US" w:eastAsia="zh-CN"/>
        </w:rPr>
        <w:t xml:space="preserve"> </w:t>
      </w:r>
      <w:r>
        <w:rPr>
          <w:rFonts w:hint="default" w:ascii="Times New Roman" w:hAnsi="Times New Roman" w:eastAsia="宋体" w:cs="Times New Roman"/>
          <w:b/>
          <w:bCs/>
          <w:color w:val="auto"/>
          <w:sz w:val="21"/>
          <w:szCs w:val="21"/>
          <w:u w:val="single"/>
        </w:rPr>
        <w:t xml:space="preserve"> 时 </w:t>
      </w:r>
      <w:r>
        <w:rPr>
          <w:rFonts w:hint="default" w:ascii="Times New Roman" w:hAnsi="Times New Roman" w:eastAsia="宋体" w:cs="Times New Roman"/>
          <w:b/>
          <w:bCs/>
          <w:color w:val="auto"/>
          <w:sz w:val="21"/>
          <w:szCs w:val="21"/>
          <w:u w:val="single"/>
          <w:lang w:val="en-US" w:eastAsia="zh-CN"/>
        </w:rPr>
        <w:t xml:space="preserve"> </w:t>
      </w:r>
      <w:r>
        <w:rPr>
          <w:rFonts w:hint="default" w:ascii="Times New Roman" w:hAnsi="Times New Roman" w:eastAsia="宋体" w:cs="Times New Roman"/>
          <w:b/>
          <w:bCs/>
          <w:color w:val="auto"/>
          <w:sz w:val="21"/>
          <w:szCs w:val="21"/>
          <w:u w:val="single"/>
        </w:rPr>
        <w:t>分</w:t>
      </w:r>
      <w:r>
        <w:rPr>
          <w:rFonts w:hint="default" w:ascii="Times New Roman" w:hAnsi="Times New Roman" w:eastAsia="宋体" w:cs="Times New Roman"/>
          <w:b/>
          <w:bCs/>
          <w:color w:val="auto"/>
          <w:sz w:val="21"/>
          <w:szCs w:val="21"/>
        </w:rPr>
        <w:t>（递交响应文件的截止时间）前不得</w:t>
      </w:r>
      <w:r>
        <w:rPr>
          <w:rFonts w:hint="default" w:ascii="Times New Roman" w:hAnsi="Times New Roman" w:eastAsia="宋体" w:cs="Times New Roman"/>
          <w:b/>
          <w:bCs/>
          <w:snapToGrid w:val="0"/>
          <w:color w:val="auto"/>
          <w:kern w:val="0"/>
          <w:sz w:val="21"/>
          <w:szCs w:val="21"/>
        </w:rPr>
        <w:t>开启</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（2）报价文件</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b/>
          <w:bCs/>
          <w:snapToGrid w:val="0"/>
          <w:color w:val="auto"/>
          <w:kern w:val="0"/>
          <w:sz w:val="21"/>
          <w:szCs w:val="21"/>
          <w:lang w:val="en-US" w:eastAsia="zh-CN"/>
        </w:rPr>
      </w:pPr>
      <w:r>
        <w:rPr>
          <w:rFonts w:hint="default" w:ascii="Times New Roman" w:hAnsi="Times New Roman" w:eastAsia="宋体" w:cs="Times New Roman"/>
          <w:b/>
          <w:bCs/>
          <w:snapToGrid w:val="0"/>
          <w:color w:val="auto"/>
          <w:kern w:val="0"/>
          <w:sz w:val="21"/>
          <w:szCs w:val="21"/>
        </w:rPr>
        <w:t>供应商名称：</w:t>
      </w:r>
      <w:r>
        <w:rPr>
          <w:rFonts w:hint="default" w:ascii="Times New Roman" w:hAnsi="Times New Roman" w:eastAsia="宋体" w:cs="Times New Roman"/>
          <w:b/>
          <w:bCs/>
          <w:snapToGrid w:val="0"/>
          <w:color w:val="auto"/>
          <w:kern w:val="0"/>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b/>
          <w:bCs/>
          <w:snapToGrid w:val="0"/>
          <w:color w:val="auto"/>
          <w:kern w:val="0"/>
          <w:sz w:val="21"/>
          <w:szCs w:val="21"/>
          <w:u w:val="none"/>
        </w:rPr>
      </w:pPr>
      <w:r>
        <w:rPr>
          <w:rFonts w:hint="default" w:ascii="Times New Roman" w:hAnsi="Times New Roman" w:eastAsia="宋体" w:cs="Times New Roman"/>
          <w:b/>
          <w:bCs/>
          <w:snapToGrid w:val="0"/>
          <w:color w:val="auto"/>
          <w:kern w:val="0"/>
          <w:sz w:val="21"/>
          <w:szCs w:val="21"/>
          <w:u w:val="single"/>
          <w:lang w:val="en-US" w:eastAsia="zh-CN"/>
        </w:rPr>
        <w:t xml:space="preserve">                      </w:t>
      </w:r>
      <w:r>
        <w:rPr>
          <w:rFonts w:hint="eastAsia" w:ascii="Times New Roman" w:hAnsi="Times New Roman" w:eastAsia="宋体" w:cs="Times New Roman"/>
          <w:b/>
          <w:bCs/>
          <w:snapToGrid w:val="0"/>
          <w:color w:val="auto"/>
          <w:kern w:val="0"/>
          <w:sz w:val="21"/>
          <w:szCs w:val="21"/>
          <w:u w:val="single"/>
          <w:lang w:val="en-US" w:eastAsia="zh-CN"/>
        </w:rPr>
        <w:t xml:space="preserve"> </w:t>
      </w:r>
      <w:r>
        <w:rPr>
          <w:rFonts w:hint="default" w:ascii="Times New Roman" w:hAnsi="Times New Roman" w:eastAsia="宋体" w:cs="Times New Roman"/>
          <w:b/>
          <w:bCs/>
          <w:snapToGrid w:val="0"/>
          <w:color w:val="auto"/>
          <w:kern w:val="0"/>
          <w:sz w:val="21"/>
          <w:szCs w:val="21"/>
          <w:u w:val="single"/>
          <w:lang w:val="en-US" w:eastAsia="zh-CN"/>
        </w:rPr>
        <w:t>（项目名称）</w:t>
      </w:r>
      <w:r>
        <w:rPr>
          <w:rFonts w:hint="default" w:ascii="Times New Roman" w:hAnsi="Times New Roman" w:eastAsia="宋体" w:cs="Times New Roman"/>
          <w:b/>
          <w:bCs/>
          <w:snapToGrid w:val="0"/>
          <w:color w:val="auto"/>
          <w:kern w:val="0"/>
          <w:sz w:val="21"/>
          <w:szCs w:val="21"/>
          <w:u w:val="none"/>
          <w:lang w:val="en-US" w:eastAsia="zh-CN"/>
        </w:rPr>
        <w:t>报价</w:t>
      </w:r>
      <w:r>
        <w:rPr>
          <w:rFonts w:hint="default" w:ascii="Times New Roman" w:hAnsi="Times New Roman" w:eastAsia="宋体" w:cs="Times New Roman"/>
          <w:b/>
          <w:bCs/>
          <w:snapToGrid w:val="0"/>
          <w:color w:val="auto"/>
          <w:kern w:val="0"/>
          <w:sz w:val="21"/>
          <w:szCs w:val="21"/>
          <w:u w:val="none"/>
        </w:rPr>
        <w:t>文件</w:t>
      </w:r>
      <w:r>
        <w:rPr>
          <w:rFonts w:hint="eastAsia" w:ascii="Times New Roman" w:hAnsi="Times New Roman" w:eastAsia="宋体" w:cs="Times New Roman"/>
          <w:b/>
          <w:bCs/>
          <w:snapToGrid w:val="0"/>
          <w:color w:val="auto"/>
          <w:kern w:val="0"/>
          <w:sz w:val="21"/>
          <w:szCs w:val="21"/>
          <w:u w:val="none"/>
          <w:lang w:eastAsia="zh-CN"/>
        </w:rPr>
        <w:t>（</w:t>
      </w:r>
      <w:r>
        <w:rPr>
          <w:rFonts w:hint="eastAsia" w:ascii="Times New Roman" w:hAnsi="Times New Roman" w:eastAsia="宋体" w:cs="Times New Roman"/>
          <w:b/>
          <w:bCs/>
          <w:snapToGrid w:val="0"/>
          <w:color w:val="auto"/>
          <w:kern w:val="0"/>
          <w:sz w:val="21"/>
          <w:szCs w:val="21"/>
          <w:u w:val="none"/>
          <w:lang w:val="en-US" w:eastAsia="zh-CN"/>
        </w:rPr>
        <w:t>第二信封</w:t>
      </w:r>
      <w:r>
        <w:rPr>
          <w:rFonts w:hint="eastAsia" w:ascii="Times New Roman" w:hAnsi="Times New Roman" w:eastAsia="宋体" w:cs="Times New Roman"/>
          <w:b/>
          <w:bCs/>
          <w:snapToGrid w:val="0"/>
          <w:color w:val="auto"/>
          <w:kern w:val="0"/>
          <w:sz w:val="21"/>
          <w:szCs w:val="21"/>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color w:val="auto"/>
          <w:sz w:val="21"/>
          <w:szCs w:val="21"/>
        </w:rPr>
        <w:t>在</w:t>
      </w:r>
      <w:r>
        <w:rPr>
          <w:rFonts w:hint="default" w:ascii="Times New Roman" w:hAnsi="Times New Roman" w:eastAsia="宋体" w:cs="Times New Roman"/>
          <w:b/>
          <w:bCs/>
          <w:color w:val="auto"/>
          <w:sz w:val="21"/>
          <w:szCs w:val="21"/>
          <w:u w:val="single"/>
          <w:lang w:val="en-US" w:eastAsia="zh-CN"/>
        </w:rPr>
        <w:t xml:space="preserve">  </w:t>
      </w:r>
      <w:r>
        <w:rPr>
          <w:rFonts w:hint="default" w:ascii="Times New Roman" w:hAnsi="Times New Roman" w:eastAsia="宋体" w:cs="Times New Roman"/>
          <w:b/>
          <w:bCs/>
          <w:color w:val="auto"/>
          <w:sz w:val="21"/>
          <w:szCs w:val="21"/>
          <w:u w:val="single"/>
        </w:rPr>
        <w:t xml:space="preserve">年 </w:t>
      </w:r>
      <w:r>
        <w:rPr>
          <w:rFonts w:hint="default" w:ascii="Times New Roman" w:hAnsi="Times New Roman" w:eastAsia="宋体" w:cs="Times New Roman"/>
          <w:b/>
          <w:bCs/>
          <w:color w:val="auto"/>
          <w:sz w:val="21"/>
          <w:szCs w:val="21"/>
          <w:u w:val="single"/>
          <w:lang w:val="en-US" w:eastAsia="zh-CN"/>
        </w:rPr>
        <w:t xml:space="preserve"> </w:t>
      </w:r>
      <w:r>
        <w:rPr>
          <w:rFonts w:hint="default" w:ascii="Times New Roman" w:hAnsi="Times New Roman" w:eastAsia="宋体" w:cs="Times New Roman"/>
          <w:b/>
          <w:bCs/>
          <w:color w:val="auto"/>
          <w:sz w:val="21"/>
          <w:szCs w:val="21"/>
          <w:u w:val="single"/>
        </w:rPr>
        <w:t xml:space="preserve">月 </w:t>
      </w:r>
      <w:r>
        <w:rPr>
          <w:rFonts w:hint="default" w:ascii="Times New Roman" w:hAnsi="Times New Roman" w:eastAsia="宋体" w:cs="Times New Roman"/>
          <w:b/>
          <w:bCs/>
          <w:color w:val="auto"/>
          <w:sz w:val="21"/>
          <w:szCs w:val="21"/>
          <w:u w:val="single"/>
          <w:lang w:val="en-US" w:eastAsia="zh-CN"/>
        </w:rPr>
        <w:t xml:space="preserve"> </w:t>
      </w:r>
      <w:r>
        <w:rPr>
          <w:rFonts w:hint="default" w:ascii="Times New Roman" w:hAnsi="Times New Roman" w:eastAsia="宋体" w:cs="Times New Roman"/>
          <w:b/>
          <w:bCs/>
          <w:color w:val="auto"/>
          <w:sz w:val="21"/>
          <w:szCs w:val="21"/>
          <w:u w:val="single"/>
        </w:rPr>
        <w:t xml:space="preserve">日 </w:t>
      </w:r>
      <w:r>
        <w:rPr>
          <w:rFonts w:hint="default" w:ascii="Times New Roman" w:hAnsi="Times New Roman" w:eastAsia="宋体" w:cs="Times New Roman"/>
          <w:b/>
          <w:bCs/>
          <w:color w:val="auto"/>
          <w:sz w:val="21"/>
          <w:szCs w:val="21"/>
          <w:u w:val="single"/>
          <w:lang w:val="en-US" w:eastAsia="zh-CN"/>
        </w:rPr>
        <w:t xml:space="preserve"> </w:t>
      </w:r>
      <w:r>
        <w:rPr>
          <w:rFonts w:hint="default" w:ascii="Times New Roman" w:hAnsi="Times New Roman" w:eastAsia="宋体" w:cs="Times New Roman"/>
          <w:b/>
          <w:bCs/>
          <w:color w:val="auto"/>
          <w:sz w:val="21"/>
          <w:szCs w:val="21"/>
          <w:u w:val="single"/>
        </w:rPr>
        <w:t xml:space="preserve"> 时 </w:t>
      </w:r>
      <w:r>
        <w:rPr>
          <w:rFonts w:hint="default" w:ascii="Times New Roman" w:hAnsi="Times New Roman" w:eastAsia="宋体" w:cs="Times New Roman"/>
          <w:b/>
          <w:bCs/>
          <w:color w:val="auto"/>
          <w:sz w:val="21"/>
          <w:szCs w:val="21"/>
          <w:u w:val="single"/>
          <w:lang w:val="en-US" w:eastAsia="zh-CN"/>
        </w:rPr>
        <w:t xml:space="preserve"> </w:t>
      </w:r>
      <w:r>
        <w:rPr>
          <w:rFonts w:hint="default" w:ascii="Times New Roman" w:hAnsi="Times New Roman" w:eastAsia="宋体" w:cs="Times New Roman"/>
          <w:b/>
          <w:bCs/>
          <w:color w:val="auto"/>
          <w:sz w:val="21"/>
          <w:szCs w:val="21"/>
          <w:u w:val="single"/>
        </w:rPr>
        <w:t>分</w:t>
      </w:r>
      <w:r>
        <w:rPr>
          <w:rFonts w:hint="default" w:ascii="Times New Roman" w:hAnsi="Times New Roman" w:eastAsia="宋体" w:cs="Times New Roman"/>
          <w:b/>
          <w:bCs/>
          <w:color w:val="auto"/>
          <w:sz w:val="21"/>
          <w:szCs w:val="21"/>
        </w:rPr>
        <w:t>（递交响应文件</w:t>
      </w:r>
      <w:r>
        <w:rPr>
          <w:rFonts w:hint="default" w:ascii="Times New Roman" w:hAnsi="Times New Roman" w:eastAsia="宋体" w:cs="Times New Roman"/>
          <w:b/>
          <w:bCs/>
          <w:snapToGrid w:val="0"/>
          <w:color w:val="auto"/>
          <w:kern w:val="0"/>
          <w:sz w:val="21"/>
          <w:szCs w:val="21"/>
        </w:rPr>
        <w:t>的截止时间）前不得开启</w:t>
      </w:r>
    </w:p>
    <w:p>
      <w:pPr>
        <w:spacing w:line="440" w:lineRule="exact"/>
        <w:ind w:firstLine="420"/>
        <w:rPr>
          <w:rFonts w:ascii="Times New Roman" w:hAnsi="Times New Roman" w:cs="Times New Roman"/>
        </w:rPr>
      </w:pPr>
      <w:r>
        <w:rPr>
          <w:rFonts w:ascii="Times New Roman" w:hAnsi="Times New Roman" w:cs="Times New Roman"/>
        </w:rPr>
        <w:t>4.1.2未按本章第4.1.1项要求密封的响应文件，采购人将予以拒收。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4.2.1供应商应当按照第一章“</w:t>
      </w:r>
      <w:r>
        <w:rPr>
          <w:rFonts w:ascii="Times New Roman" w:hAnsi="Times New Roman" w:cs="Times New Roman"/>
          <w:szCs w:val="21"/>
        </w:rPr>
        <w:t>采购公告</w:t>
      </w:r>
      <w:r>
        <w:rPr>
          <w:rFonts w:ascii="Times New Roman" w:hAnsi="Times New Roman" w:cs="Times New Roman"/>
        </w:rPr>
        <w:t>”</w:t>
      </w:r>
      <w:r>
        <w:rPr>
          <w:rFonts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4.2.2 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ascii="Times New Roman" w:hAnsi="Times New Roman" w:cs="Times New Roman"/>
        </w:rPr>
        <w:t>4.2.3 除第4.2.2项规定外，供应商所递交的响应文件不予退还。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采购人在本章第4.2.1项规定的响应文件递交截止时间（启封时间），按照第一章“</w:t>
      </w:r>
      <w:r>
        <w:rPr>
          <w:rFonts w:ascii="Times New Roman" w:hAnsi="Times New Roman" w:cs="Times New Roman"/>
          <w:szCs w:val="21"/>
        </w:rPr>
        <w:t>采购公告</w:t>
      </w:r>
      <w:r>
        <w:rPr>
          <w:rFonts w:ascii="Times New Roman" w:hAnsi="Times New Roman" w:cs="Times New Roman"/>
        </w:rPr>
        <w:t>”</w:t>
      </w:r>
      <w:r>
        <w:rPr>
          <w:rFonts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5.2启封程序</w:t>
      </w:r>
    </w:p>
    <w:p>
      <w:pPr>
        <w:spacing w:line="440" w:lineRule="exact"/>
        <w:ind w:firstLine="420"/>
        <w:rPr>
          <w:rFonts w:ascii="Times New Roman" w:hAnsi="Times New Roman" w:cs="Times New Roman"/>
        </w:rPr>
      </w:pPr>
      <w:r>
        <w:rPr>
          <w:rFonts w:ascii="Times New Roman" w:hAnsi="Times New Roman" w:cs="Times New Roman"/>
        </w:rPr>
        <w:t xml:space="preserve">5.2.1主持人按下列程序进行启封： </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（1）公布在响应文件递交截止时间前递交响应文件的供应商名称；</w:t>
      </w:r>
    </w:p>
    <w:p>
      <w:pPr>
        <w:spacing w:line="440" w:lineRule="exact"/>
        <w:ind w:firstLine="420"/>
        <w:rPr>
          <w:rFonts w:ascii="Times New Roman" w:hAnsi="Times New Roman" w:cs="Times New Roman"/>
        </w:rPr>
      </w:pPr>
      <w:r>
        <w:rPr>
          <w:rFonts w:ascii="Times New Roman" w:hAnsi="Times New Roman" w:cs="Times New Roman"/>
        </w:rPr>
        <w:t xml:space="preserve">（2）由供应商推选的代表检查响应文件的密封情况； </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对响应文件进行启封，公布供应商名称、合同包名称、报价、质量目标、工期、响应保证金递交情况及其他内容；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（4）</w:t>
      </w:r>
      <w:r>
        <w:rPr>
          <w:rFonts w:ascii="Times New Roman" w:hAnsi="Times New Roman" w:cs="Times New Roman"/>
        </w:rPr>
        <w:t>供应商代表、采购人代表等有关人员在启封记录上签名确认；</w:t>
      </w:r>
    </w:p>
    <w:p>
      <w:pPr>
        <w:spacing w:line="440" w:lineRule="exact"/>
        <w:ind w:firstLine="420"/>
        <w:rPr>
          <w:rFonts w:ascii="Times New Roman" w:hAnsi="Times New Roman" w:cs="Times New Roman"/>
          <w:bCs/>
        </w:rPr>
      </w:pPr>
      <w:r>
        <w:rPr>
          <w:rFonts w:ascii="Times New Roman" w:hAnsi="Times New Roman" w:cs="Times New Roman"/>
          <w:bCs/>
        </w:rPr>
        <w:t>（5）启封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供应商在启封过程中有疑问的，应当在现场提出，采购人将当场作出答复。</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6. 评审</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6.1评审小组</w:t>
      </w:r>
    </w:p>
    <w:p>
      <w:pPr>
        <w:spacing w:line="440" w:lineRule="exact"/>
        <w:ind w:firstLine="420"/>
        <w:rPr>
          <w:rFonts w:ascii="Times New Roman" w:hAnsi="Times New Roman" w:cs="Times New Roman"/>
        </w:rPr>
      </w:pPr>
      <w:r>
        <w:rPr>
          <w:rFonts w:ascii="Times New Roman" w:hAnsi="Times New Roman" w:cs="Times New Roman"/>
        </w:rPr>
        <w:t>评审由采购人自行组建的评审小组负责。评审小组人数：3~7人（单数）。</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6.2评审</w:t>
      </w:r>
    </w:p>
    <w:p>
      <w:pPr>
        <w:spacing w:line="440" w:lineRule="exact"/>
        <w:ind w:firstLine="420"/>
        <w:rPr>
          <w:rFonts w:ascii="Times New Roman" w:hAnsi="Times New Roman" w:cs="Times New Roman"/>
        </w:rPr>
      </w:pPr>
      <w:r>
        <w:rPr>
          <w:rFonts w:ascii="Times New Roman" w:hAnsi="Times New Roman" w:cs="Times New Roman"/>
        </w:rPr>
        <w:t>6.2.1评审小组按照第三章“评审办法”规定的方法、评审因素、标准和程序对响应文件进行评审。</w:t>
      </w:r>
    </w:p>
    <w:p>
      <w:pPr>
        <w:spacing w:line="440" w:lineRule="exact"/>
        <w:ind w:firstLine="420"/>
        <w:rPr>
          <w:rFonts w:ascii="Times New Roman" w:hAnsi="Times New Roman" w:cs="Times New Roman"/>
        </w:rPr>
      </w:pPr>
      <w:r>
        <w:rPr>
          <w:rFonts w:ascii="Times New Roman" w:hAnsi="Times New Roman" w:cs="Times New Roman"/>
        </w:rPr>
        <w:t>6.2.2评审完成后，评审小组应向采购人提交书面评审报告和成交候选人名单。评审小组推荐成交候选人的人数为：3人（如不足3人，可以按实际数量推荐）。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7. 合同授予</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7.1成交候选人公示</w:t>
      </w:r>
    </w:p>
    <w:p>
      <w:pPr>
        <w:spacing w:line="440" w:lineRule="exact"/>
        <w:ind w:firstLine="420"/>
        <w:rPr>
          <w:rFonts w:ascii="Times New Roman" w:hAnsi="Times New Roman" w:cs="Times New Roman"/>
        </w:rPr>
      </w:pPr>
      <w:r>
        <w:rPr>
          <w:rFonts w:ascii="Times New Roman" w:hAnsi="Times New Roman" w:cs="Times New Roman"/>
        </w:rPr>
        <w:t>公示期2日。</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7.2评审结果异议</w:t>
      </w:r>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7.3成交候选人履约能力审查</w:t>
      </w:r>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成交候选人的经营、财务状况发生较大变化或存在违法行为，采购人认为可能影响其履约能力的，将在发出成交通知书前提请原评审小组按照询比文件规定的标准和方法进行审查确认。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7.4履约保证金</w:t>
      </w:r>
    </w:p>
    <w:p>
      <w:pPr>
        <w:spacing w:line="440" w:lineRule="exact"/>
        <w:ind w:firstLine="420"/>
        <w:rPr>
          <w:rFonts w:ascii="Times New Roman" w:hAnsi="Times New Roman" w:cs="Times New Roman"/>
        </w:rPr>
      </w:pPr>
      <w:r>
        <w:rPr>
          <w:rFonts w:ascii="Times New Roman" w:hAnsi="Times New Roman" w:cs="Times New Roman"/>
        </w:rPr>
        <w:t>7.4.1在签订合同前，成交人应向采购人提交5%中标额的履约保证金。</w:t>
      </w:r>
    </w:p>
    <w:p>
      <w:pPr>
        <w:spacing w:line="440" w:lineRule="exact"/>
        <w:ind w:firstLine="420"/>
        <w:rPr>
          <w:rFonts w:ascii="Times New Roman" w:hAnsi="Times New Roman" w:cs="Times New Roman"/>
        </w:rPr>
      </w:pPr>
      <w:r>
        <w:rPr>
          <w:rFonts w:ascii="Times New Roman" w:hAnsi="Times New Roman" w:cs="Times New Roman"/>
        </w:rPr>
        <w:t>7.4.2 成交人不能按本章第7.4.1项要求提交履约保证金的，视为放弃成交候选人，其响应保证金不予退还，给采购人造成的损失超过响应保证金数额的，成交人还应当对超过部分予以赔偿。</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7.5签订合同</w:t>
      </w:r>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8. 纪律和监督</w:t>
      </w:r>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供应商不得相互串通报价或与采购人串通报价，不得向采购人或评审小组成员行贿谋取成交，不得以他人名义报价或以其他方式弄虚作假骗取成交；供应商不得以任何方式干扰、影响评审工作。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9. 需要补充的其他内容</w:t>
      </w:r>
    </w:p>
    <w:p>
      <w:pPr>
        <w:spacing w:line="440" w:lineRule="exact"/>
        <w:ind w:firstLine="420"/>
        <w:rPr>
          <w:rFonts w:ascii="Times New Roman" w:hAnsi="Times New Roman" w:cs="Times New Roman"/>
        </w:rPr>
      </w:pPr>
      <w:r>
        <w:rPr>
          <w:rFonts w:ascii="Times New Roman" w:hAnsi="Times New Roman" w:cs="Times New Roman"/>
        </w:rPr>
        <w:t>9.1 供应商或其他利害关系人认为询比活动不符合法律法规规定的，可以自挂网之日起5日内向有关监督部门投诉。投诉应有明确的请求和必要的证明材料。</w:t>
      </w:r>
    </w:p>
    <w:p>
      <w:pPr>
        <w:pStyle w:val="2"/>
        <w:rPr>
          <w:rFonts w:ascii="Times New Roman" w:hAnsi="Times New Roman" w:cs="Times New Roman"/>
        </w:rPr>
      </w:pPr>
    </w:p>
    <w:p>
      <w:pPr>
        <w:widowControl/>
        <w:spacing w:line="280" w:lineRule="exact"/>
        <w:ind w:firstLine="420" w:firstLineChars="200"/>
        <w:jc w:val="left"/>
        <w:textAlignment w:val="center"/>
        <w:rPr>
          <w:rFonts w:ascii="Times New Roman" w:hAnsi="Times New Roman" w:cs="Times New Roman"/>
        </w:rPr>
      </w:pPr>
      <w:r>
        <w:rPr>
          <w:rFonts w:ascii="Times New Roman" w:hAnsi="Times New Roman" w:cs="Times New Roman"/>
        </w:rPr>
        <w:t>9.2 部门及联系方式：</w:t>
      </w:r>
    </w:p>
    <w:p>
      <w:pPr>
        <w:widowControl/>
        <w:spacing w:line="440" w:lineRule="exact"/>
        <w:ind w:firstLine="420"/>
        <w:jc w:val="left"/>
        <w:rPr>
          <w:rFonts w:ascii="Times New Roman" w:hAnsi="Times New Roman" w:cs="Times New Roman"/>
          <w:lang w:bidi="ar"/>
        </w:rPr>
      </w:pPr>
      <w:r>
        <w:rPr>
          <w:rFonts w:ascii="Times New Roman" w:hAnsi="Times New Roman" w:cs="Times New Roman"/>
        </w:rPr>
        <w:t>（1）部门：</w:t>
      </w:r>
      <w:r>
        <w:rPr>
          <w:rFonts w:ascii="Times New Roman" w:hAnsi="Times New Roman" w:cs="Times New Roman"/>
          <w:u w:val="single"/>
          <w:lang w:bidi="ar"/>
        </w:rPr>
        <w:t>安徽省高速公路试验检测科研中心有限公司党群工作部</w:t>
      </w:r>
    </w:p>
    <w:p>
      <w:pPr>
        <w:spacing w:line="440" w:lineRule="exact"/>
        <w:ind w:firstLine="420"/>
        <w:rPr>
          <w:rFonts w:ascii="Times New Roman" w:hAnsi="Times New Roman" w:cs="Times New Roman"/>
        </w:rPr>
      </w:pPr>
      <w:r>
        <w:rPr>
          <w:rFonts w:ascii="Times New Roman" w:hAnsi="Times New Roman" w:cs="Times New Roman"/>
          <w:lang w:bidi="ar"/>
        </w:rPr>
        <w:t>（2）联系方式：</w:t>
      </w:r>
      <w:r>
        <w:rPr>
          <w:rFonts w:ascii="Times New Roman" w:hAnsi="Times New Roman" w:cs="Times New Roman"/>
          <w:u w:val="single"/>
          <w:lang w:bidi="ar"/>
        </w:rPr>
        <w:t xml:space="preserve">0551-63813025 </w:t>
      </w:r>
      <w:r>
        <w:rPr>
          <w:rFonts w:ascii="Times New Roman" w:hAnsi="Times New Roman" w:cs="Times New Roman"/>
        </w:rPr>
        <w:t>。</w:t>
      </w:r>
    </w:p>
    <w:bookmarkEnd w:id="46"/>
    <w:bookmarkEnd w:id="47"/>
    <w:bookmarkEnd w:id="48"/>
    <w:p>
      <w:pPr>
        <w:widowControl/>
        <w:jc w:val="left"/>
        <w:rPr>
          <w:rFonts w:ascii="Times New Roman" w:hAnsi="Times New Roman" w:cs="Times New Roman"/>
        </w:rPr>
      </w:pPr>
      <w:r>
        <w:rPr>
          <w:rFonts w:ascii="Times New Roman" w:hAnsi="Times New Roman" w:cs="Times New Roman"/>
        </w:rPr>
        <w:br w:type="page"/>
      </w:r>
    </w:p>
    <w:p>
      <w:pPr>
        <w:pStyle w:val="4"/>
        <w:numPr>
          <w:ilvl w:val="0"/>
          <w:numId w:val="0"/>
        </w:numPr>
        <w:spacing w:before="312" w:after="312"/>
        <w:rPr>
          <w:rFonts w:ascii="Times New Roman" w:hAnsi="Times New Roman" w:eastAsia="宋体" w:cs="Times New Roman"/>
        </w:rPr>
      </w:pPr>
      <w:bookmarkStart w:id="51" w:name="_Toc19702_WPSOffice_Level1"/>
      <w:bookmarkStart w:id="52" w:name="_Toc29320"/>
      <w:r>
        <w:rPr>
          <w:rFonts w:ascii="Times New Roman" w:hAnsi="Times New Roman" w:eastAsia="宋体" w:cs="Times New Roman"/>
        </w:rPr>
        <w:t>第三章 评审办法</w:t>
      </w:r>
      <w:bookmarkEnd w:id="51"/>
      <w:bookmarkEnd w:id="52"/>
    </w:p>
    <w:p>
      <w:pPr>
        <w:rPr>
          <w:rFonts w:ascii="Times New Roman" w:hAnsi="Times New Roman" w:eastAsia="宋体" w:cs="Times New Roman"/>
        </w:rPr>
      </w:pP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评审办法前附表（综合评分法）</w:t>
      </w:r>
    </w:p>
    <w:tbl>
      <w:tblPr>
        <w:tblStyle w:val="20"/>
        <w:tblW w:w="501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622"/>
        <w:gridCol w:w="965"/>
        <w:gridCol w:w="1613"/>
        <w:gridCol w:w="51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49" w:type="pct"/>
            <w:gridSpan w:val="2"/>
            <w:tcBorders>
              <w:tl2br w:val="nil"/>
              <w:tr2bl w:val="nil"/>
            </w:tcBorders>
            <w:vAlign w:val="center"/>
          </w:tcPr>
          <w:p>
            <w:pPr>
              <w:widowControl/>
              <w:jc w:val="center"/>
              <w:rPr>
                <w:rFonts w:ascii="Times New Roman" w:hAnsi="Times New Roman" w:cs="Times New Roman"/>
                <w:kern w:val="0"/>
                <w:szCs w:val="21"/>
              </w:rPr>
            </w:pPr>
            <w:r>
              <w:rPr>
                <w:rFonts w:ascii="Times New Roman" w:hAnsi="Times New Roman" w:cs="Times New Roman"/>
                <w:b/>
                <w:bCs/>
                <w:kern w:val="0"/>
                <w:szCs w:val="21"/>
              </w:rPr>
              <w:t>条款号</w:t>
            </w:r>
          </w:p>
        </w:tc>
        <w:tc>
          <w:tcPr>
            <w:tcW w:w="964" w:type="pct"/>
            <w:tcBorders>
              <w:tl2br w:val="nil"/>
              <w:tr2bl w:val="nil"/>
            </w:tcBorders>
            <w:vAlign w:val="center"/>
          </w:tcPr>
          <w:p>
            <w:pPr>
              <w:widowControl/>
              <w:ind w:firstLine="105" w:firstLineChars="50"/>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3086" w:type="pct"/>
            <w:tcBorders>
              <w:tl2br w:val="nil"/>
              <w:tr2bl w:val="nil"/>
            </w:tcBorders>
            <w:vAlign w:val="center"/>
          </w:tcPr>
          <w:p>
            <w:pPr>
              <w:widowControl/>
              <w:ind w:firstLine="105" w:firstLineChars="50"/>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72" w:type="pct"/>
            <w:tcBorders>
              <w:tl2br w:val="nil"/>
              <w:tr2bl w:val="nil"/>
            </w:tcBorders>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c>
          <w:tcPr>
            <w:tcW w:w="576" w:type="pct"/>
            <w:tcBorders>
              <w:tl2br w:val="nil"/>
              <w:tr2bl w:val="nil"/>
            </w:tcBorders>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评审方法</w:t>
            </w:r>
          </w:p>
        </w:tc>
        <w:tc>
          <w:tcPr>
            <w:tcW w:w="964" w:type="pct"/>
            <w:tcBorders>
              <w:tl2br w:val="nil"/>
              <w:tr2bl w:val="nil"/>
            </w:tcBorders>
            <w:tcMar>
              <w:left w:w="75" w:type="dxa"/>
            </w:tcMar>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成交候选人</w:t>
            </w:r>
          </w:p>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排序方法</w:t>
            </w:r>
          </w:p>
        </w:tc>
        <w:tc>
          <w:tcPr>
            <w:tcW w:w="3086" w:type="pct"/>
            <w:tcBorders>
              <w:tl2br w:val="nil"/>
              <w:tr2bl w:val="nil"/>
            </w:tcBorders>
            <w:tcMar>
              <w:left w:w="75" w:type="dxa"/>
            </w:tcMar>
            <w:vAlign w:val="center"/>
          </w:tcPr>
          <w:p>
            <w:pPr>
              <w:widowControl/>
              <w:adjustRightInd w:val="0"/>
              <w:snapToGrid w:val="0"/>
              <w:jc w:val="left"/>
              <w:rPr>
                <w:rFonts w:ascii="Times New Roman" w:hAnsi="Times New Roman" w:cs="Times New Roman"/>
              </w:rPr>
            </w:pPr>
            <w:r>
              <w:rPr>
                <w:rFonts w:ascii="Times New Roman" w:hAnsi="Times New Roman" w:cs="Times New Roman"/>
              </w:rPr>
              <w:t>按综合得分由高到低的顺序依次推荐成交候选人：</w:t>
            </w:r>
          </w:p>
          <w:p>
            <w:pPr>
              <w:widowControl/>
              <w:adjustRightInd w:val="0"/>
              <w:snapToGrid w:val="0"/>
              <w:jc w:val="left"/>
              <w:rPr>
                <w:rFonts w:ascii="Times New Roman" w:hAnsi="Times New Roman" w:cs="Times New Roman"/>
              </w:rPr>
            </w:pPr>
            <w:r>
              <w:rPr>
                <w:rFonts w:ascii="Times New Roman" w:hAnsi="Times New Roman" w:cs="Times New Roman"/>
              </w:rPr>
              <w:t>当综合得分相等时，以评</w:t>
            </w:r>
            <w:r>
              <w:rPr>
                <w:rFonts w:hint="eastAsia" w:ascii="Times New Roman" w:hAnsi="Times New Roman" w:cs="Times New Roman"/>
              </w:rPr>
              <w:t>标</w:t>
            </w:r>
            <w:r>
              <w:rPr>
                <w:rFonts w:ascii="Times New Roman" w:hAnsi="Times New Roman" w:cs="Times New Roman"/>
              </w:rPr>
              <w:t>价得分高的优先；评</w:t>
            </w:r>
            <w:r>
              <w:rPr>
                <w:rFonts w:hint="eastAsia" w:ascii="Times New Roman" w:hAnsi="Times New Roman" w:cs="Times New Roman"/>
              </w:rPr>
              <w:t>标</w:t>
            </w:r>
            <w:r>
              <w:rPr>
                <w:rFonts w:ascii="Times New Roman" w:hAnsi="Times New Roman" w:cs="Times New Roman"/>
              </w:rPr>
              <w:t>价得分也相等的，以评</w:t>
            </w:r>
            <w:r>
              <w:rPr>
                <w:rFonts w:hint="eastAsia" w:ascii="Times New Roman" w:hAnsi="Times New Roman" w:cs="Times New Roman"/>
              </w:rPr>
              <w:t>标</w:t>
            </w:r>
            <w:r>
              <w:rPr>
                <w:rFonts w:ascii="Times New Roman" w:hAnsi="Times New Roman" w:cs="Times New Roman"/>
              </w:rPr>
              <w:t>价低的优先；评</w:t>
            </w:r>
            <w:r>
              <w:rPr>
                <w:rFonts w:hint="eastAsia" w:ascii="Times New Roman" w:hAnsi="Times New Roman" w:cs="Times New Roman"/>
              </w:rPr>
              <w:t>标</w:t>
            </w:r>
            <w:r>
              <w:rPr>
                <w:rFonts w:ascii="Times New Roman" w:hAnsi="Times New Roman" w:cs="Times New Roman"/>
              </w:rPr>
              <w:t>价也相等的，以递交响应文件在前的优先。</w:t>
            </w:r>
          </w:p>
        </w:tc>
      </w:tr>
    </w:tbl>
    <w:p>
      <w:pPr>
        <w:pStyle w:val="2"/>
        <w:spacing w:after="0"/>
        <w:jc w:val="left"/>
        <w:rPr>
          <w:rFonts w:ascii="Times New Roman" w:hAnsi="Times New Roman" w:eastAsia="黑体" w:cs="Times New Roman"/>
          <w:sz w:val="24"/>
        </w:rPr>
      </w:pPr>
    </w:p>
    <w:tbl>
      <w:tblPr>
        <w:tblStyle w:val="20"/>
        <w:tblW w:w="508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619"/>
        <w:gridCol w:w="1002"/>
        <w:gridCol w:w="1606"/>
        <w:gridCol w:w="52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56" w:type="pct"/>
            <w:gridSpan w:val="2"/>
            <w:tcBorders>
              <w:tl2br w:val="nil"/>
              <w:tr2bl w:val="nil"/>
            </w:tcBorders>
            <w:vAlign w:val="center"/>
          </w:tcPr>
          <w:p>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条款号</w:t>
            </w:r>
          </w:p>
        </w:tc>
        <w:tc>
          <w:tcPr>
            <w:tcW w:w="947" w:type="pct"/>
            <w:tcBorders>
              <w:tl2br w:val="nil"/>
              <w:tr2bl w:val="nil"/>
            </w:tcBorders>
            <w:vAlign w:val="center"/>
          </w:tcPr>
          <w:p>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3095" w:type="pct"/>
            <w:tcBorders>
              <w:tl2br w:val="nil"/>
              <w:tr2bl w:val="nil"/>
            </w:tcBorders>
            <w:vAlign w:val="center"/>
          </w:tcPr>
          <w:p>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65" w:type="pct"/>
            <w:vMerge w:val="restart"/>
            <w:tcBorders>
              <w:tl2br w:val="nil"/>
              <w:tr2bl w:val="nil"/>
            </w:tcBorders>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3.1.1</w:t>
            </w:r>
          </w:p>
        </w:tc>
        <w:tc>
          <w:tcPr>
            <w:tcW w:w="590" w:type="pct"/>
            <w:vMerge w:val="restart"/>
            <w:tcBorders>
              <w:tl2br w:val="nil"/>
              <w:tr2bl w:val="nil"/>
            </w:tcBorders>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形式评审标准</w:t>
            </w:r>
          </w:p>
        </w:tc>
        <w:tc>
          <w:tcPr>
            <w:tcW w:w="947" w:type="pct"/>
            <w:tcBorders>
              <w:tl2br w:val="nil"/>
              <w:tr2bl w:val="nil"/>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供应商名称</w:t>
            </w:r>
          </w:p>
        </w:tc>
        <w:tc>
          <w:tcPr>
            <w:tcW w:w="3095" w:type="pct"/>
            <w:tcBorders>
              <w:tl2br w:val="nil"/>
              <w:tr2bl w:val="nil"/>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与营业执照一致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65" w:type="pct"/>
            <w:vMerge w:val="continue"/>
            <w:tcBorders>
              <w:tl2br w:val="nil"/>
              <w:tr2bl w:val="nil"/>
            </w:tcBorders>
            <w:vAlign w:val="center"/>
          </w:tcPr>
          <w:p>
            <w:pPr>
              <w:widowControl/>
              <w:adjustRightInd w:val="0"/>
              <w:snapToGrid w:val="0"/>
              <w:spacing w:line="360" w:lineRule="atLeast"/>
              <w:jc w:val="center"/>
              <w:rPr>
                <w:rFonts w:ascii="Times New Roman" w:hAnsi="Times New Roman" w:cs="Times New Roman"/>
                <w:kern w:val="0"/>
                <w:szCs w:val="21"/>
              </w:rPr>
            </w:pPr>
          </w:p>
        </w:tc>
        <w:tc>
          <w:tcPr>
            <w:tcW w:w="590" w:type="pct"/>
            <w:vMerge w:val="continue"/>
            <w:tcBorders>
              <w:tl2br w:val="nil"/>
              <w:tr2bl w:val="nil"/>
            </w:tcBorders>
            <w:vAlign w:val="center"/>
          </w:tcPr>
          <w:p>
            <w:pPr>
              <w:widowControl/>
              <w:adjustRightInd w:val="0"/>
              <w:snapToGrid w:val="0"/>
              <w:spacing w:line="360" w:lineRule="atLeast"/>
              <w:jc w:val="center"/>
              <w:rPr>
                <w:rFonts w:ascii="Times New Roman" w:hAnsi="Times New Roman" w:cs="Times New Roman"/>
                <w:kern w:val="0"/>
                <w:szCs w:val="21"/>
              </w:rPr>
            </w:pPr>
          </w:p>
        </w:tc>
        <w:tc>
          <w:tcPr>
            <w:tcW w:w="947" w:type="pct"/>
            <w:tcBorders>
              <w:tl2br w:val="nil"/>
              <w:tr2bl w:val="nil"/>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响应文件格式</w:t>
            </w:r>
          </w:p>
        </w:tc>
        <w:tc>
          <w:tcPr>
            <w:tcW w:w="3095" w:type="pct"/>
            <w:tcBorders>
              <w:tl2br w:val="nil"/>
              <w:tr2bl w:val="nil"/>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符合第六章“响应文件格式”的规定，关键字迹清晰可辨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65" w:type="pct"/>
            <w:vMerge w:val="continue"/>
            <w:tcBorders>
              <w:tl2br w:val="nil"/>
              <w:tr2bl w:val="nil"/>
            </w:tcBorders>
            <w:vAlign w:val="center"/>
          </w:tcPr>
          <w:p>
            <w:pPr>
              <w:widowControl/>
              <w:adjustRightInd w:val="0"/>
              <w:snapToGrid w:val="0"/>
              <w:spacing w:line="360" w:lineRule="atLeast"/>
              <w:jc w:val="center"/>
              <w:rPr>
                <w:rFonts w:ascii="Times New Roman" w:hAnsi="Times New Roman" w:cs="Times New Roman"/>
                <w:kern w:val="0"/>
                <w:szCs w:val="21"/>
              </w:rPr>
            </w:pPr>
          </w:p>
        </w:tc>
        <w:tc>
          <w:tcPr>
            <w:tcW w:w="590" w:type="pct"/>
            <w:vMerge w:val="continue"/>
            <w:tcBorders>
              <w:tl2br w:val="nil"/>
              <w:tr2bl w:val="nil"/>
            </w:tcBorders>
            <w:vAlign w:val="center"/>
          </w:tcPr>
          <w:p>
            <w:pPr>
              <w:widowControl/>
              <w:adjustRightInd w:val="0"/>
              <w:snapToGrid w:val="0"/>
              <w:spacing w:line="360" w:lineRule="atLeast"/>
              <w:jc w:val="center"/>
              <w:rPr>
                <w:rFonts w:ascii="Times New Roman" w:hAnsi="Times New Roman" w:cs="Times New Roman"/>
                <w:kern w:val="0"/>
                <w:szCs w:val="21"/>
              </w:rPr>
            </w:pPr>
          </w:p>
        </w:tc>
        <w:tc>
          <w:tcPr>
            <w:tcW w:w="947" w:type="pct"/>
            <w:tcBorders>
              <w:tl2br w:val="nil"/>
              <w:tr2bl w:val="nil"/>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签名盖章</w:t>
            </w:r>
          </w:p>
        </w:tc>
        <w:tc>
          <w:tcPr>
            <w:tcW w:w="3095" w:type="pct"/>
            <w:tcBorders>
              <w:tl2br w:val="nil"/>
              <w:tr2bl w:val="nil"/>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符合第二章“供应商须知”第3.6.3项的规定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65" w:type="pct"/>
            <w:tcBorders>
              <w:tl2br w:val="nil"/>
              <w:tr2bl w:val="nil"/>
            </w:tcBorders>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3.1.2</w:t>
            </w:r>
          </w:p>
        </w:tc>
        <w:tc>
          <w:tcPr>
            <w:tcW w:w="590" w:type="pct"/>
            <w:tcBorders>
              <w:tl2br w:val="nil"/>
              <w:tr2bl w:val="nil"/>
            </w:tcBorders>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资格评审标准</w:t>
            </w:r>
          </w:p>
        </w:tc>
        <w:tc>
          <w:tcPr>
            <w:tcW w:w="947" w:type="pct"/>
            <w:tcBorders>
              <w:tl2br w:val="nil"/>
              <w:tr2bl w:val="nil"/>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资质条件、能力、信誉、其他要求</w:t>
            </w:r>
          </w:p>
        </w:tc>
        <w:tc>
          <w:tcPr>
            <w:tcW w:w="3095" w:type="pct"/>
            <w:tcBorders>
              <w:tl2br w:val="nil"/>
              <w:tr2bl w:val="nil"/>
            </w:tcBorders>
            <w:tcMar>
              <w:left w:w="75" w:type="dxa"/>
            </w:tcMar>
            <w:vAlign w:val="center"/>
          </w:tcPr>
          <w:p>
            <w:pPr>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符合第二章“供应商须知”第1.2.1项、第1.2.2项规定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65" w:type="pct"/>
            <w:vMerge w:val="restart"/>
            <w:tcBorders>
              <w:tl2br w:val="nil"/>
              <w:tr2bl w:val="nil"/>
            </w:tcBorders>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3.1.3</w:t>
            </w:r>
          </w:p>
        </w:tc>
        <w:tc>
          <w:tcPr>
            <w:tcW w:w="590" w:type="pct"/>
            <w:vMerge w:val="restart"/>
            <w:tcBorders>
              <w:tl2br w:val="nil"/>
              <w:tr2bl w:val="nil"/>
            </w:tcBorders>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响应性评审标准</w:t>
            </w:r>
          </w:p>
        </w:tc>
        <w:tc>
          <w:tcPr>
            <w:tcW w:w="947" w:type="pct"/>
            <w:tcBorders>
              <w:tl2br w:val="nil"/>
              <w:tr2bl w:val="nil"/>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报价内容</w:t>
            </w:r>
          </w:p>
        </w:tc>
        <w:tc>
          <w:tcPr>
            <w:tcW w:w="3095" w:type="pct"/>
            <w:tcBorders>
              <w:tl2br w:val="nil"/>
              <w:tr2bl w:val="nil"/>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rPr>
              <w:t>符合第一章“</w:t>
            </w:r>
            <w:r>
              <w:rPr>
                <w:rFonts w:ascii="Times New Roman" w:hAnsi="Times New Roman" w:cs="Times New Roman"/>
                <w:szCs w:val="21"/>
              </w:rPr>
              <w:t>采购公告</w:t>
            </w:r>
            <w:r>
              <w:rPr>
                <w:rFonts w:ascii="Times New Roman" w:hAnsi="Times New Roman" w:cs="Times New Roman"/>
              </w:rPr>
              <w:t>”规定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65" w:type="pct"/>
            <w:vMerge w:val="continue"/>
            <w:tcBorders>
              <w:tl2br w:val="nil"/>
              <w:tr2bl w:val="nil"/>
            </w:tcBorders>
            <w:vAlign w:val="center"/>
          </w:tcPr>
          <w:p>
            <w:pPr>
              <w:widowControl/>
              <w:adjustRightInd w:val="0"/>
              <w:snapToGrid w:val="0"/>
              <w:spacing w:line="360" w:lineRule="atLeast"/>
              <w:jc w:val="center"/>
              <w:rPr>
                <w:rFonts w:ascii="Times New Roman" w:hAnsi="Times New Roman" w:cs="Times New Roman"/>
                <w:kern w:val="0"/>
                <w:szCs w:val="21"/>
              </w:rPr>
            </w:pPr>
          </w:p>
        </w:tc>
        <w:tc>
          <w:tcPr>
            <w:tcW w:w="590" w:type="pct"/>
            <w:vMerge w:val="continue"/>
            <w:tcBorders>
              <w:tl2br w:val="nil"/>
              <w:tr2bl w:val="nil"/>
            </w:tcBorders>
            <w:vAlign w:val="center"/>
          </w:tcPr>
          <w:p>
            <w:pPr>
              <w:widowControl/>
              <w:adjustRightInd w:val="0"/>
              <w:snapToGrid w:val="0"/>
              <w:spacing w:line="360" w:lineRule="atLeast"/>
              <w:jc w:val="center"/>
              <w:rPr>
                <w:rFonts w:ascii="Times New Roman" w:hAnsi="Times New Roman" w:cs="Times New Roman"/>
                <w:kern w:val="0"/>
                <w:szCs w:val="21"/>
              </w:rPr>
            </w:pPr>
          </w:p>
        </w:tc>
        <w:tc>
          <w:tcPr>
            <w:tcW w:w="947" w:type="pct"/>
            <w:tcBorders>
              <w:tl2br w:val="nil"/>
              <w:tr2bl w:val="nil"/>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工期</w:t>
            </w:r>
          </w:p>
        </w:tc>
        <w:tc>
          <w:tcPr>
            <w:tcW w:w="3095" w:type="pct"/>
            <w:tcBorders>
              <w:tl2br w:val="nil"/>
              <w:tr2bl w:val="nil"/>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rPr>
              <w:t>符合第一章“</w:t>
            </w:r>
            <w:r>
              <w:rPr>
                <w:rFonts w:ascii="Times New Roman" w:hAnsi="Times New Roman" w:cs="Times New Roman"/>
                <w:szCs w:val="21"/>
              </w:rPr>
              <w:t>采购公告</w:t>
            </w:r>
            <w:r>
              <w:rPr>
                <w:rFonts w:ascii="Times New Roman" w:hAnsi="Times New Roman" w:cs="Times New Roman"/>
              </w:rPr>
              <w:t>”规定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65" w:type="pct"/>
            <w:vMerge w:val="continue"/>
            <w:tcBorders>
              <w:tl2br w:val="nil"/>
              <w:tr2bl w:val="nil"/>
            </w:tcBorders>
            <w:vAlign w:val="center"/>
          </w:tcPr>
          <w:p>
            <w:pPr>
              <w:widowControl/>
              <w:adjustRightInd w:val="0"/>
              <w:snapToGrid w:val="0"/>
              <w:spacing w:line="360" w:lineRule="atLeast"/>
              <w:jc w:val="center"/>
              <w:rPr>
                <w:rFonts w:ascii="Times New Roman" w:hAnsi="Times New Roman" w:cs="Times New Roman"/>
                <w:kern w:val="0"/>
                <w:szCs w:val="21"/>
              </w:rPr>
            </w:pPr>
          </w:p>
        </w:tc>
        <w:tc>
          <w:tcPr>
            <w:tcW w:w="590" w:type="pct"/>
            <w:vMerge w:val="continue"/>
            <w:tcBorders>
              <w:tl2br w:val="nil"/>
              <w:tr2bl w:val="nil"/>
            </w:tcBorders>
            <w:vAlign w:val="center"/>
          </w:tcPr>
          <w:p>
            <w:pPr>
              <w:widowControl/>
              <w:adjustRightInd w:val="0"/>
              <w:snapToGrid w:val="0"/>
              <w:spacing w:line="360" w:lineRule="atLeast"/>
              <w:jc w:val="center"/>
              <w:rPr>
                <w:rFonts w:ascii="Times New Roman" w:hAnsi="Times New Roman" w:cs="Times New Roman"/>
                <w:kern w:val="0"/>
                <w:szCs w:val="21"/>
              </w:rPr>
            </w:pPr>
          </w:p>
        </w:tc>
        <w:tc>
          <w:tcPr>
            <w:tcW w:w="947" w:type="pct"/>
            <w:tcBorders>
              <w:tl2br w:val="nil"/>
              <w:tr2bl w:val="nil"/>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质量要求</w:t>
            </w:r>
          </w:p>
        </w:tc>
        <w:tc>
          <w:tcPr>
            <w:tcW w:w="3095" w:type="pct"/>
            <w:tcBorders>
              <w:tl2br w:val="nil"/>
              <w:tr2bl w:val="nil"/>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符合第二章“供应商须知”第1.1项规定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65" w:type="pct"/>
            <w:vMerge w:val="continue"/>
            <w:tcBorders>
              <w:tl2br w:val="nil"/>
              <w:tr2bl w:val="nil"/>
            </w:tcBorders>
            <w:vAlign w:val="center"/>
          </w:tcPr>
          <w:p>
            <w:pPr>
              <w:widowControl/>
              <w:adjustRightInd w:val="0"/>
              <w:snapToGrid w:val="0"/>
              <w:spacing w:line="360" w:lineRule="atLeast"/>
              <w:jc w:val="center"/>
              <w:rPr>
                <w:rFonts w:ascii="Times New Roman" w:hAnsi="Times New Roman" w:cs="Times New Roman"/>
                <w:kern w:val="0"/>
                <w:szCs w:val="21"/>
              </w:rPr>
            </w:pPr>
          </w:p>
        </w:tc>
        <w:tc>
          <w:tcPr>
            <w:tcW w:w="590" w:type="pct"/>
            <w:vMerge w:val="continue"/>
            <w:tcBorders>
              <w:tl2br w:val="nil"/>
              <w:tr2bl w:val="nil"/>
            </w:tcBorders>
            <w:vAlign w:val="center"/>
          </w:tcPr>
          <w:p>
            <w:pPr>
              <w:widowControl/>
              <w:adjustRightInd w:val="0"/>
              <w:snapToGrid w:val="0"/>
              <w:spacing w:line="360" w:lineRule="atLeast"/>
              <w:jc w:val="center"/>
              <w:rPr>
                <w:rFonts w:ascii="Times New Roman" w:hAnsi="Times New Roman" w:cs="Times New Roman"/>
                <w:kern w:val="0"/>
                <w:szCs w:val="21"/>
              </w:rPr>
            </w:pPr>
          </w:p>
        </w:tc>
        <w:tc>
          <w:tcPr>
            <w:tcW w:w="947" w:type="pct"/>
            <w:tcBorders>
              <w:tl2br w:val="nil"/>
              <w:tr2bl w:val="nil"/>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响应有效期</w:t>
            </w:r>
          </w:p>
        </w:tc>
        <w:tc>
          <w:tcPr>
            <w:tcW w:w="3095" w:type="pct"/>
            <w:tcBorders>
              <w:tl2br w:val="nil"/>
              <w:tr2bl w:val="nil"/>
            </w:tcBorders>
            <w:tcMar>
              <w:left w:w="75" w:type="dxa"/>
            </w:tcMar>
            <w:vAlign w:val="center"/>
          </w:tcPr>
          <w:p>
            <w:pPr>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符合第二章“供应商须知”第3.3.1项规定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65" w:type="pct"/>
            <w:vMerge w:val="continue"/>
            <w:tcBorders>
              <w:tl2br w:val="nil"/>
              <w:tr2bl w:val="nil"/>
            </w:tcBorders>
            <w:vAlign w:val="center"/>
          </w:tcPr>
          <w:p>
            <w:pPr>
              <w:widowControl/>
              <w:adjustRightInd w:val="0"/>
              <w:snapToGrid w:val="0"/>
              <w:spacing w:line="360" w:lineRule="atLeast"/>
              <w:jc w:val="center"/>
              <w:rPr>
                <w:rFonts w:ascii="Times New Roman" w:hAnsi="Times New Roman" w:cs="Times New Roman"/>
                <w:kern w:val="0"/>
                <w:szCs w:val="21"/>
              </w:rPr>
            </w:pPr>
          </w:p>
        </w:tc>
        <w:tc>
          <w:tcPr>
            <w:tcW w:w="590" w:type="pct"/>
            <w:vMerge w:val="continue"/>
            <w:tcBorders>
              <w:tl2br w:val="nil"/>
              <w:tr2bl w:val="nil"/>
            </w:tcBorders>
            <w:vAlign w:val="center"/>
          </w:tcPr>
          <w:p>
            <w:pPr>
              <w:widowControl/>
              <w:adjustRightInd w:val="0"/>
              <w:snapToGrid w:val="0"/>
              <w:spacing w:line="360" w:lineRule="atLeast"/>
              <w:jc w:val="center"/>
              <w:rPr>
                <w:rFonts w:ascii="Times New Roman" w:hAnsi="Times New Roman" w:cs="Times New Roman"/>
                <w:kern w:val="0"/>
                <w:szCs w:val="21"/>
              </w:rPr>
            </w:pPr>
          </w:p>
        </w:tc>
        <w:tc>
          <w:tcPr>
            <w:tcW w:w="947" w:type="pct"/>
            <w:tcBorders>
              <w:tl2br w:val="nil"/>
              <w:tr2bl w:val="nil"/>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响应保证金</w:t>
            </w:r>
          </w:p>
        </w:tc>
        <w:tc>
          <w:tcPr>
            <w:tcW w:w="3095" w:type="pct"/>
            <w:tcBorders>
              <w:tl2br w:val="nil"/>
              <w:tr2bl w:val="nil"/>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符合第二章“供应商须知”第3.4.1项规定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65" w:type="pct"/>
            <w:vMerge w:val="continue"/>
            <w:tcBorders>
              <w:tl2br w:val="nil"/>
              <w:tr2bl w:val="nil"/>
            </w:tcBorders>
            <w:vAlign w:val="center"/>
          </w:tcPr>
          <w:p>
            <w:pPr>
              <w:widowControl/>
              <w:adjustRightInd w:val="0"/>
              <w:snapToGrid w:val="0"/>
              <w:spacing w:line="360" w:lineRule="atLeast"/>
              <w:jc w:val="center"/>
              <w:rPr>
                <w:rFonts w:ascii="Times New Roman" w:hAnsi="Times New Roman" w:cs="Times New Roman"/>
                <w:kern w:val="0"/>
                <w:szCs w:val="21"/>
              </w:rPr>
            </w:pPr>
          </w:p>
        </w:tc>
        <w:tc>
          <w:tcPr>
            <w:tcW w:w="590" w:type="pct"/>
            <w:vMerge w:val="continue"/>
            <w:tcBorders>
              <w:tl2br w:val="nil"/>
              <w:tr2bl w:val="nil"/>
            </w:tcBorders>
            <w:vAlign w:val="center"/>
          </w:tcPr>
          <w:p>
            <w:pPr>
              <w:widowControl/>
              <w:adjustRightInd w:val="0"/>
              <w:snapToGrid w:val="0"/>
              <w:spacing w:line="360" w:lineRule="atLeast"/>
              <w:jc w:val="center"/>
              <w:rPr>
                <w:rFonts w:ascii="Times New Roman" w:hAnsi="Times New Roman" w:cs="Times New Roman"/>
                <w:kern w:val="0"/>
                <w:szCs w:val="21"/>
              </w:rPr>
            </w:pPr>
          </w:p>
        </w:tc>
        <w:tc>
          <w:tcPr>
            <w:tcW w:w="947" w:type="pct"/>
            <w:tcBorders>
              <w:tl2br w:val="nil"/>
              <w:tr2bl w:val="nil"/>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权利义务</w:t>
            </w:r>
          </w:p>
        </w:tc>
        <w:tc>
          <w:tcPr>
            <w:tcW w:w="3095" w:type="pct"/>
            <w:tcBorders>
              <w:tl2br w:val="nil"/>
              <w:tr2bl w:val="nil"/>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符合询比文件规定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65" w:type="pct"/>
            <w:vMerge w:val="continue"/>
            <w:tcBorders>
              <w:tl2br w:val="nil"/>
              <w:tr2bl w:val="nil"/>
            </w:tcBorders>
            <w:vAlign w:val="center"/>
          </w:tcPr>
          <w:p>
            <w:pPr>
              <w:widowControl/>
              <w:adjustRightInd w:val="0"/>
              <w:snapToGrid w:val="0"/>
              <w:spacing w:line="360" w:lineRule="atLeast"/>
              <w:jc w:val="center"/>
              <w:rPr>
                <w:rFonts w:ascii="Times New Roman" w:hAnsi="Times New Roman" w:cs="Times New Roman"/>
                <w:kern w:val="0"/>
                <w:szCs w:val="21"/>
              </w:rPr>
            </w:pPr>
          </w:p>
        </w:tc>
        <w:tc>
          <w:tcPr>
            <w:tcW w:w="590" w:type="pct"/>
            <w:vMerge w:val="continue"/>
            <w:tcBorders>
              <w:tl2br w:val="nil"/>
              <w:tr2bl w:val="nil"/>
            </w:tcBorders>
            <w:vAlign w:val="center"/>
          </w:tcPr>
          <w:p>
            <w:pPr>
              <w:widowControl/>
              <w:adjustRightInd w:val="0"/>
              <w:snapToGrid w:val="0"/>
              <w:spacing w:line="360" w:lineRule="atLeast"/>
              <w:jc w:val="center"/>
              <w:rPr>
                <w:rFonts w:ascii="Times New Roman" w:hAnsi="Times New Roman" w:cs="Times New Roman"/>
                <w:kern w:val="0"/>
                <w:szCs w:val="21"/>
              </w:rPr>
            </w:pPr>
          </w:p>
        </w:tc>
        <w:tc>
          <w:tcPr>
            <w:tcW w:w="947" w:type="pct"/>
            <w:tcBorders>
              <w:tl2br w:val="nil"/>
              <w:tr2bl w:val="nil"/>
            </w:tcBorders>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询比文件的获取</w:t>
            </w:r>
          </w:p>
        </w:tc>
        <w:tc>
          <w:tcPr>
            <w:tcW w:w="3095" w:type="pct"/>
            <w:tcBorders>
              <w:tl2br w:val="nil"/>
              <w:tr2bl w:val="nil"/>
            </w:tcBorders>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符合</w:t>
            </w:r>
            <w:r>
              <w:rPr>
                <w:rFonts w:ascii="Times New Roman" w:hAnsi="Times New Roman" w:cs="Times New Roman"/>
              </w:rPr>
              <w:t>第一章“</w:t>
            </w:r>
            <w:r>
              <w:rPr>
                <w:rFonts w:ascii="Times New Roman" w:hAnsi="Times New Roman" w:cs="Times New Roman"/>
                <w:szCs w:val="21"/>
              </w:rPr>
              <w:t>采购公告</w:t>
            </w:r>
            <w:r>
              <w:rPr>
                <w:rFonts w:ascii="Times New Roman" w:hAnsi="Times New Roman" w:cs="Times New Roman"/>
              </w:rPr>
              <w:t>”</w:t>
            </w:r>
            <w:r>
              <w:rPr>
                <w:rFonts w:ascii="Times New Roman" w:hAnsi="Times New Roman" w:cs="Times New Roman"/>
                <w:bCs/>
                <w:kern w:val="0"/>
                <w:szCs w:val="21"/>
              </w:rPr>
              <w:t>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65" w:type="pct"/>
            <w:vMerge w:val="continue"/>
            <w:tcBorders>
              <w:tl2br w:val="nil"/>
              <w:tr2bl w:val="nil"/>
            </w:tcBorders>
            <w:vAlign w:val="center"/>
          </w:tcPr>
          <w:p>
            <w:pPr>
              <w:widowControl/>
              <w:adjustRightInd w:val="0"/>
              <w:snapToGrid w:val="0"/>
              <w:spacing w:line="360" w:lineRule="atLeast"/>
              <w:jc w:val="center"/>
              <w:rPr>
                <w:rFonts w:ascii="Times New Roman" w:hAnsi="Times New Roman" w:cs="Times New Roman"/>
                <w:kern w:val="0"/>
                <w:szCs w:val="21"/>
              </w:rPr>
            </w:pPr>
          </w:p>
        </w:tc>
        <w:tc>
          <w:tcPr>
            <w:tcW w:w="590" w:type="pct"/>
            <w:vMerge w:val="continue"/>
            <w:tcBorders>
              <w:tl2br w:val="nil"/>
              <w:tr2bl w:val="nil"/>
            </w:tcBorders>
            <w:vAlign w:val="center"/>
          </w:tcPr>
          <w:p>
            <w:pPr>
              <w:widowControl/>
              <w:adjustRightInd w:val="0"/>
              <w:snapToGrid w:val="0"/>
              <w:spacing w:line="360" w:lineRule="atLeast"/>
              <w:jc w:val="center"/>
              <w:rPr>
                <w:rFonts w:ascii="Times New Roman" w:hAnsi="Times New Roman" w:cs="Times New Roman"/>
                <w:kern w:val="0"/>
                <w:szCs w:val="21"/>
              </w:rPr>
            </w:pPr>
          </w:p>
        </w:tc>
        <w:tc>
          <w:tcPr>
            <w:tcW w:w="947" w:type="pct"/>
            <w:tcBorders>
              <w:tl2br w:val="nil"/>
              <w:tr2bl w:val="nil"/>
            </w:tcBorders>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联合体</w:t>
            </w:r>
          </w:p>
        </w:tc>
        <w:tc>
          <w:tcPr>
            <w:tcW w:w="3095" w:type="pct"/>
            <w:tcBorders>
              <w:tl2br w:val="nil"/>
              <w:tr2bl w:val="nil"/>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未以联合体形式报价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65" w:type="pct"/>
            <w:vMerge w:val="continue"/>
            <w:tcBorders>
              <w:tl2br w:val="nil"/>
              <w:tr2bl w:val="nil"/>
            </w:tcBorders>
            <w:vAlign w:val="center"/>
          </w:tcPr>
          <w:p>
            <w:pPr>
              <w:widowControl/>
              <w:adjustRightInd w:val="0"/>
              <w:snapToGrid w:val="0"/>
              <w:spacing w:line="360" w:lineRule="atLeast"/>
              <w:jc w:val="center"/>
              <w:rPr>
                <w:rFonts w:ascii="Times New Roman" w:hAnsi="Times New Roman" w:cs="Times New Roman"/>
                <w:kern w:val="0"/>
                <w:szCs w:val="21"/>
              </w:rPr>
            </w:pPr>
          </w:p>
        </w:tc>
        <w:tc>
          <w:tcPr>
            <w:tcW w:w="590" w:type="pct"/>
            <w:vMerge w:val="continue"/>
            <w:tcBorders>
              <w:tl2br w:val="nil"/>
              <w:tr2bl w:val="nil"/>
            </w:tcBorders>
            <w:vAlign w:val="center"/>
          </w:tcPr>
          <w:p>
            <w:pPr>
              <w:widowControl/>
              <w:adjustRightInd w:val="0"/>
              <w:snapToGrid w:val="0"/>
              <w:spacing w:line="360" w:lineRule="atLeast"/>
              <w:jc w:val="center"/>
              <w:rPr>
                <w:rFonts w:ascii="Times New Roman" w:hAnsi="Times New Roman" w:cs="Times New Roman"/>
                <w:kern w:val="0"/>
                <w:szCs w:val="21"/>
              </w:rPr>
            </w:pPr>
          </w:p>
        </w:tc>
        <w:tc>
          <w:tcPr>
            <w:tcW w:w="947" w:type="pct"/>
            <w:tcBorders>
              <w:tl2br w:val="nil"/>
              <w:tr2bl w:val="nil"/>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分包</w:t>
            </w:r>
          </w:p>
        </w:tc>
        <w:tc>
          <w:tcPr>
            <w:tcW w:w="3095" w:type="pct"/>
            <w:tcBorders>
              <w:tl2br w:val="nil"/>
              <w:tr2bl w:val="nil"/>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没有分包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65" w:type="pct"/>
            <w:vMerge w:val="continue"/>
            <w:tcBorders>
              <w:tl2br w:val="nil"/>
              <w:tr2bl w:val="nil"/>
            </w:tcBorders>
            <w:vAlign w:val="center"/>
          </w:tcPr>
          <w:p>
            <w:pPr>
              <w:widowControl/>
              <w:adjustRightInd w:val="0"/>
              <w:snapToGrid w:val="0"/>
              <w:spacing w:line="360" w:lineRule="atLeast"/>
              <w:jc w:val="center"/>
              <w:rPr>
                <w:rFonts w:ascii="Times New Roman" w:hAnsi="Times New Roman" w:cs="Times New Roman"/>
                <w:kern w:val="0"/>
                <w:szCs w:val="21"/>
              </w:rPr>
            </w:pPr>
          </w:p>
        </w:tc>
        <w:tc>
          <w:tcPr>
            <w:tcW w:w="590" w:type="pct"/>
            <w:vMerge w:val="continue"/>
            <w:tcBorders>
              <w:tl2br w:val="nil"/>
              <w:tr2bl w:val="nil"/>
            </w:tcBorders>
            <w:vAlign w:val="center"/>
          </w:tcPr>
          <w:p>
            <w:pPr>
              <w:widowControl/>
              <w:adjustRightInd w:val="0"/>
              <w:snapToGrid w:val="0"/>
              <w:spacing w:line="360" w:lineRule="atLeast"/>
              <w:jc w:val="center"/>
              <w:rPr>
                <w:rFonts w:ascii="Times New Roman" w:hAnsi="Times New Roman" w:cs="Times New Roman"/>
                <w:kern w:val="0"/>
                <w:szCs w:val="21"/>
              </w:rPr>
            </w:pPr>
          </w:p>
        </w:tc>
        <w:tc>
          <w:tcPr>
            <w:tcW w:w="947" w:type="pct"/>
            <w:tcBorders>
              <w:tl2br w:val="nil"/>
              <w:tr2bl w:val="nil"/>
            </w:tcBorders>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kern w:val="0"/>
                <w:szCs w:val="21"/>
              </w:rPr>
              <w:t>报价</w:t>
            </w:r>
          </w:p>
        </w:tc>
        <w:tc>
          <w:tcPr>
            <w:tcW w:w="3095" w:type="pct"/>
            <w:tcBorders>
              <w:tl2br w:val="nil"/>
              <w:tr2bl w:val="nil"/>
            </w:tcBorders>
            <w:tcMar>
              <w:left w:w="75" w:type="dxa"/>
            </w:tcMar>
            <w:vAlign w:val="center"/>
          </w:tcPr>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（1）报价未超过询比文件设定的最高限价。</w:t>
            </w:r>
          </w:p>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（2）已标价的工程量清单总报价和报价函的报价一致（四舍五入除外）。</w:t>
            </w:r>
          </w:p>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（3）报价的大写数值能确定具体数值，未出现数量级错误、报价金额单位错误。</w:t>
            </w:r>
          </w:p>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（4）同一供应商未递交两个以上不同的报价。</w:t>
            </w:r>
          </w:p>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（5）供应商按采购人提供的书面工程量清单填写了报价，且未修改工程量清单说明、工程数量等实质性内容。</w:t>
            </w:r>
          </w:p>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（6）已标价</w:t>
            </w:r>
            <w:r>
              <w:rPr>
                <w:rFonts w:ascii="Times New Roman" w:hAnsi="Times New Roman" w:cs="Times New Roman"/>
                <w:kern w:val="0"/>
                <w:szCs w:val="21"/>
              </w:rPr>
              <w:t>工程量清单中未更改询比文件确定的暂列金额。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65" w:type="pct"/>
            <w:vMerge w:val="continue"/>
            <w:tcBorders>
              <w:tl2br w:val="nil"/>
              <w:tr2bl w:val="nil"/>
            </w:tcBorders>
            <w:vAlign w:val="center"/>
          </w:tcPr>
          <w:p>
            <w:pPr>
              <w:widowControl/>
              <w:adjustRightInd w:val="0"/>
              <w:snapToGrid w:val="0"/>
              <w:spacing w:line="360" w:lineRule="atLeast"/>
              <w:jc w:val="center"/>
              <w:rPr>
                <w:rFonts w:ascii="Times New Roman" w:hAnsi="Times New Roman" w:cs="Times New Roman"/>
                <w:kern w:val="0"/>
                <w:szCs w:val="21"/>
              </w:rPr>
            </w:pPr>
          </w:p>
        </w:tc>
        <w:tc>
          <w:tcPr>
            <w:tcW w:w="590" w:type="pct"/>
            <w:vMerge w:val="continue"/>
            <w:tcBorders>
              <w:tl2br w:val="nil"/>
              <w:tr2bl w:val="nil"/>
            </w:tcBorders>
            <w:vAlign w:val="center"/>
          </w:tcPr>
          <w:p>
            <w:pPr>
              <w:widowControl/>
              <w:adjustRightInd w:val="0"/>
              <w:snapToGrid w:val="0"/>
              <w:spacing w:line="360" w:lineRule="atLeast"/>
              <w:jc w:val="center"/>
              <w:rPr>
                <w:rFonts w:ascii="Times New Roman" w:hAnsi="Times New Roman" w:cs="Times New Roman"/>
                <w:kern w:val="0"/>
                <w:szCs w:val="21"/>
              </w:rPr>
            </w:pPr>
          </w:p>
        </w:tc>
        <w:tc>
          <w:tcPr>
            <w:tcW w:w="947" w:type="pct"/>
            <w:tcBorders>
              <w:tl2br w:val="nil"/>
              <w:tr2bl w:val="nil"/>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其他实质性要求</w:t>
            </w:r>
          </w:p>
        </w:tc>
        <w:tc>
          <w:tcPr>
            <w:tcW w:w="3095" w:type="pct"/>
            <w:tcBorders>
              <w:tl2br w:val="nil"/>
              <w:tr2bl w:val="nil"/>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符合询比文件的其他实质性要求和条件</w:t>
            </w:r>
          </w:p>
        </w:tc>
      </w:tr>
    </w:tbl>
    <w:p>
      <w:pPr>
        <w:pStyle w:val="2"/>
        <w:spacing w:after="0"/>
        <w:rPr>
          <w:rFonts w:ascii="Times New Roman" w:hAnsi="Times New Roman" w:cs="Times New Roman"/>
          <w:sz w:val="20"/>
          <w:szCs w:val="22"/>
        </w:rPr>
      </w:pPr>
    </w:p>
    <w:tbl>
      <w:tblPr>
        <w:tblStyle w:val="21"/>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1841"/>
        <w:gridCol w:w="55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39" w:type="pct"/>
            <w:tcBorders>
              <w:tl2br w:val="nil"/>
              <w:tr2bl w:val="nil"/>
            </w:tcBorders>
            <w:vAlign w:val="center"/>
          </w:tcPr>
          <w:p>
            <w:pPr>
              <w:jc w:val="center"/>
              <w:rPr>
                <w:rFonts w:ascii="Times New Roman" w:hAnsi="Times New Roman" w:eastAsia="宋体" w:cs="Times New Roman"/>
              </w:rPr>
            </w:pPr>
            <w:r>
              <w:rPr>
                <w:rFonts w:ascii="Times New Roman" w:hAnsi="Times New Roman" w:eastAsia="宋体" w:cs="Times New Roman"/>
              </w:rPr>
              <w:t>条款号</w:t>
            </w:r>
          </w:p>
        </w:tc>
        <w:tc>
          <w:tcPr>
            <w:tcW w:w="1080" w:type="pct"/>
            <w:tcBorders>
              <w:tl2br w:val="nil"/>
              <w:tr2bl w:val="nil"/>
            </w:tcBorders>
            <w:vAlign w:val="center"/>
          </w:tcPr>
          <w:p>
            <w:pPr>
              <w:jc w:val="center"/>
              <w:rPr>
                <w:rFonts w:ascii="Times New Roman" w:hAnsi="Times New Roman" w:eastAsia="宋体" w:cs="Times New Roman"/>
              </w:rPr>
            </w:pPr>
            <w:r>
              <w:rPr>
                <w:rFonts w:ascii="Times New Roman" w:hAnsi="Times New Roman" w:eastAsia="宋体" w:cs="Times New Roman"/>
              </w:rPr>
              <w:t>条款内容</w:t>
            </w:r>
          </w:p>
        </w:tc>
        <w:tc>
          <w:tcPr>
            <w:tcW w:w="3280" w:type="pct"/>
            <w:tcBorders>
              <w:tl2br w:val="nil"/>
              <w:tr2bl w:val="nil"/>
            </w:tcBorders>
            <w:vAlign w:val="center"/>
          </w:tcPr>
          <w:p>
            <w:pPr>
              <w:jc w:val="center"/>
              <w:rPr>
                <w:rFonts w:ascii="Times New Roman" w:hAnsi="Times New Roman" w:eastAsia="宋体" w:cs="Times New Roman"/>
              </w:rPr>
            </w:pPr>
            <w:r>
              <w:rPr>
                <w:rFonts w:ascii="Times New Roman" w:hAnsi="Times New Roman" w:eastAsia="宋体" w:cs="Times New Roman"/>
              </w:rPr>
              <w:t>编列内容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39" w:type="pct"/>
            <w:tcBorders>
              <w:tl2br w:val="nil"/>
              <w:tr2bl w:val="nil"/>
            </w:tcBorders>
            <w:vAlign w:val="center"/>
          </w:tcPr>
          <w:p>
            <w:pPr>
              <w:jc w:val="center"/>
              <w:rPr>
                <w:rFonts w:ascii="Times New Roman" w:hAnsi="Times New Roman" w:eastAsia="宋体" w:cs="Times New Roman"/>
              </w:rPr>
            </w:pPr>
            <w:r>
              <w:rPr>
                <w:rFonts w:ascii="Times New Roman" w:hAnsi="Times New Roman" w:eastAsia="宋体" w:cs="Times New Roman"/>
              </w:rPr>
              <w:t>3.2.1</w:t>
            </w:r>
          </w:p>
        </w:tc>
        <w:tc>
          <w:tcPr>
            <w:tcW w:w="1080" w:type="pct"/>
            <w:tcBorders>
              <w:tl2br w:val="nil"/>
              <w:tr2bl w:val="nil"/>
            </w:tcBorders>
            <w:vAlign w:val="center"/>
          </w:tcPr>
          <w:p>
            <w:pPr>
              <w:jc w:val="center"/>
              <w:rPr>
                <w:rFonts w:ascii="Times New Roman" w:hAnsi="Times New Roman" w:eastAsia="宋体" w:cs="Times New Roman"/>
              </w:rPr>
            </w:pPr>
            <w:r>
              <w:rPr>
                <w:rFonts w:ascii="Times New Roman" w:hAnsi="Times New Roman" w:eastAsia="宋体" w:cs="Times New Roman"/>
              </w:rPr>
              <w:t>分值构成</w:t>
            </w:r>
          </w:p>
          <w:p>
            <w:pPr>
              <w:jc w:val="center"/>
              <w:rPr>
                <w:rFonts w:ascii="Times New Roman" w:hAnsi="Times New Roman" w:eastAsia="宋体" w:cs="Times New Roman"/>
              </w:rPr>
            </w:pPr>
            <w:r>
              <w:rPr>
                <w:rFonts w:ascii="Times New Roman" w:hAnsi="Times New Roman" w:eastAsia="宋体" w:cs="Times New Roman"/>
              </w:rPr>
              <w:t>（总分100分）</w:t>
            </w:r>
          </w:p>
        </w:tc>
        <w:tc>
          <w:tcPr>
            <w:tcW w:w="3280" w:type="pct"/>
            <w:tcBorders>
              <w:tl2br w:val="nil"/>
              <w:tr2bl w:val="nil"/>
            </w:tcBorders>
            <w:vAlign w:val="center"/>
          </w:tcPr>
          <w:p>
            <w:pPr>
              <w:jc w:val="left"/>
              <w:rPr>
                <w:rFonts w:ascii="Times New Roman" w:hAnsi="Times New Roman" w:eastAsia="宋体" w:cs="Times New Roman"/>
              </w:rPr>
            </w:pPr>
            <w:r>
              <w:rPr>
                <w:rFonts w:ascii="Times New Roman" w:hAnsi="Times New Roman" w:eastAsia="宋体" w:cs="Times New Roman"/>
              </w:rPr>
              <w:t>投标人业绩：</w:t>
            </w:r>
            <w:r>
              <w:rPr>
                <w:rFonts w:ascii="Times New Roman" w:hAnsi="Times New Roman" w:eastAsia="宋体" w:cs="Times New Roman"/>
                <w:u w:val="single"/>
              </w:rPr>
              <w:t xml:space="preserve"> 30 </w:t>
            </w:r>
            <w:r>
              <w:rPr>
                <w:rFonts w:ascii="Times New Roman" w:hAnsi="Times New Roman" w:eastAsia="宋体" w:cs="Times New Roman"/>
              </w:rPr>
              <w:t>分</w:t>
            </w:r>
          </w:p>
          <w:p>
            <w:pPr>
              <w:jc w:val="left"/>
              <w:rPr>
                <w:rFonts w:ascii="Times New Roman" w:hAnsi="Times New Roman" w:eastAsia="宋体" w:cs="Times New Roman"/>
              </w:rPr>
            </w:pPr>
            <w:r>
              <w:rPr>
                <w:rFonts w:hint="eastAsia" w:ascii="Times New Roman" w:hAnsi="Times New Roman" w:eastAsia="宋体" w:cs="Times New Roman"/>
              </w:rPr>
              <w:t>技术</w:t>
            </w:r>
            <w:r>
              <w:rPr>
                <w:rFonts w:ascii="Times New Roman" w:hAnsi="Times New Roman" w:eastAsia="宋体" w:cs="Times New Roman"/>
              </w:rPr>
              <w:t>方案：</w:t>
            </w:r>
            <w:r>
              <w:rPr>
                <w:rFonts w:ascii="Times New Roman" w:hAnsi="Times New Roman" w:eastAsia="宋体" w:cs="Times New Roman"/>
                <w:u w:val="single"/>
              </w:rPr>
              <w:t xml:space="preserve"> 50 </w:t>
            </w:r>
            <w:r>
              <w:rPr>
                <w:rFonts w:ascii="Times New Roman" w:hAnsi="Times New Roman" w:eastAsia="宋体" w:cs="Times New Roman"/>
              </w:rPr>
              <w:t>分</w:t>
            </w:r>
          </w:p>
          <w:p>
            <w:pPr>
              <w:jc w:val="left"/>
              <w:rPr>
                <w:rFonts w:ascii="Times New Roman" w:hAnsi="Times New Roman" w:eastAsia="宋体" w:cs="Times New Roman"/>
              </w:rPr>
            </w:pPr>
            <w:r>
              <w:rPr>
                <w:rFonts w:ascii="Times New Roman" w:hAnsi="Times New Roman" w:eastAsia="宋体" w:cs="Times New Roman"/>
              </w:rPr>
              <w:t>评标价：</w:t>
            </w:r>
            <w:r>
              <w:rPr>
                <w:rFonts w:ascii="Times New Roman" w:hAnsi="Times New Roman" w:eastAsia="宋体" w:cs="Times New Roman"/>
                <w:u w:val="single"/>
              </w:rPr>
              <w:t xml:space="preserve"> 20 </w:t>
            </w:r>
            <w:r>
              <w:rPr>
                <w:rFonts w:ascii="Times New Roman" w:hAnsi="Times New Roman" w:eastAsia="宋体" w:cs="Times New Roman"/>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39" w:type="pct"/>
            <w:tcBorders>
              <w:tl2br w:val="nil"/>
              <w:tr2bl w:val="nil"/>
            </w:tcBorders>
            <w:vAlign w:val="center"/>
          </w:tcPr>
          <w:p>
            <w:pPr>
              <w:jc w:val="center"/>
              <w:rPr>
                <w:rFonts w:ascii="Times New Roman" w:hAnsi="Times New Roman" w:eastAsia="宋体" w:cs="Times New Roman"/>
              </w:rPr>
            </w:pPr>
            <w:r>
              <w:rPr>
                <w:rFonts w:ascii="Times New Roman" w:hAnsi="Times New Roman" w:eastAsia="宋体" w:cs="Times New Roman"/>
              </w:rPr>
              <w:t>3.2.2</w:t>
            </w:r>
          </w:p>
        </w:tc>
        <w:tc>
          <w:tcPr>
            <w:tcW w:w="1080" w:type="pct"/>
            <w:tcBorders>
              <w:tl2br w:val="nil"/>
              <w:tr2bl w:val="nil"/>
            </w:tcBorders>
            <w:vAlign w:val="center"/>
          </w:tcPr>
          <w:p>
            <w:pPr>
              <w:jc w:val="center"/>
              <w:rPr>
                <w:rFonts w:ascii="Times New Roman" w:hAnsi="Times New Roman" w:eastAsia="宋体" w:cs="Times New Roman"/>
              </w:rPr>
            </w:pPr>
            <w:r>
              <w:rPr>
                <w:rFonts w:ascii="Times New Roman" w:hAnsi="Times New Roman" w:eastAsia="宋体" w:cs="Times New Roman"/>
              </w:rPr>
              <w:t>评标基准价</w:t>
            </w:r>
          </w:p>
          <w:p>
            <w:pPr>
              <w:jc w:val="center"/>
              <w:rPr>
                <w:rFonts w:ascii="Times New Roman" w:hAnsi="Times New Roman" w:eastAsia="宋体" w:cs="Times New Roman"/>
              </w:rPr>
            </w:pPr>
            <w:r>
              <w:rPr>
                <w:rFonts w:ascii="Times New Roman" w:hAnsi="Times New Roman" w:eastAsia="宋体" w:cs="Times New Roman"/>
              </w:rPr>
              <w:t>计算方式</w:t>
            </w:r>
          </w:p>
        </w:tc>
        <w:tc>
          <w:tcPr>
            <w:tcW w:w="3280" w:type="pct"/>
            <w:tcBorders>
              <w:tl2br w:val="nil"/>
              <w:tr2bl w:val="nil"/>
            </w:tcBorders>
            <w:vAlign w:val="center"/>
          </w:tcPr>
          <w:p>
            <w:pPr>
              <w:spacing w:line="360" w:lineRule="atLeast"/>
              <w:rPr>
                <w:rFonts w:ascii="Times New Roman" w:hAnsi="Times New Roman" w:cs="Times New Roman"/>
              </w:rPr>
            </w:pPr>
            <w:r>
              <w:rPr>
                <w:rFonts w:ascii="Times New Roman" w:hAnsi="Times New Roman" w:cs="Times New Roman"/>
              </w:rPr>
              <w:t xml:space="preserve">评标基准价的计算： </w:t>
            </w:r>
          </w:p>
          <w:p>
            <w:pPr>
              <w:spacing w:line="360" w:lineRule="atLeast"/>
              <w:rPr>
                <w:rFonts w:ascii="Times New Roman" w:hAnsi="Times New Roman" w:cs="Times New Roman"/>
              </w:rPr>
            </w:pPr>
            <w:r>
              <w:rPr>
                <w:rFonts w:ascii="Times New Roman" w:hAnsi="Times New Roman" w:cs="Times New Roman"/>
              </w:rPr>
              <w:t>（1）评</w:t>
            </w:r>
            <w:r>
              <w:rPr>
                <w:rFonts w:hint="eastAsia" w:ascii="Times New Roman" w:hAnsi="Times New Roman" w:cs="Times New Roman"/>
              </w:rPr>
              <w:t>标</w:t>
            </w:r>
            <w:r>
              <w:rPr>
                <w:rFonts w:ascii="Times New Roman" w:hAnsi="Times New Roman" w:cs="Times New Roman"/>
              </w:rPr>
              <w:t>价的确定：</w:t>
            </w:r>
          </w:p>
          <w:p>
            <w:pPr>
              <w:spacing w:line="360" w:lineRule="atLeast"/>
              <w:rPr>
                <w:rFonts w:ascii="Times New Roman" w:hAnsi="Times New Roman" w:cs="Times New Roman"/>
              </w:rPr>
            </w:pPr>
            <w:r>
              <w:rPr>
                <w:rFonts w:ascii="Times New Roman" w:hAnsi="Times New Roman" w:cs="Times New Roman"/>
              </w:rPr>
              <w:t>评</w:t>
            </w:r>
            <w:r>
              <w:rPr>
                <w:rFonts w:hint="eastAsia" w:ascii="Times New Roman" w:hAnsi="Times New Roman" w:cs="Times New Roman"/>
              </w:rPr>
              <w:t>标</w:t>
            </w:r>
            <w:r>
              <w:rPr>
                <w:rFonts w:ascii="Times New Roman" w:hAnsi="Times New Roman" w:cs="Times New Roman"/>
              </w:rPr>
              <w:t>价＝修正后的报价</w:t>
            </w:r>
          </w:p>
          <w:p>
            <w:pPr>
              <w:spacing w:line="360" w:lineRule="atLeast"/>
              <w:rPr>
                <w:rFonts w:ascii="Times New Roman" w:hAnsi="Times New Roman" w:cs="Times New Roman"/>
              </w:rPr>
            </w:pPr>
            <w:r>
              <w:rPr>
                <w:rFonts w:ascii="Times New Roman" w:hAnsi="Times New Roman" w:cs="Times New Roman"/>
              </w:rPr>
              <w:t>（2）评</w:t>
            </w:r>
            <w:r>
              <w:rPr>
                <w:rFonts w:hint="eastAsia" w:ascii="Times New Roman" w:hAnsi="Times New Roman" w:cs="Times New Roman"/>
              </w:rPr>
              <w:t>标</w:t>
            </w:r>
            <w:r>
              <w:rPr>
                <w:rFonts w:ascii="Times New Roman" w:hAnsi="Times New Roman" w:cs="Times New Roman"/>
              </w:rPr>
              <w:t>价平均值的计算：</w:t>
            </w:r>
          </w:p>
          <w:p>
            <w:pPr>
              <w:spacing w:line="360" w:lineRule="atLeast"/>
              <w:rPr>
                <w:rFonts w:ascii="Times New Roman" w:hAnsi="Times New Roman" w:cs="Times New Roman"/>
              </w:rPr>
            </w:pPr>
            <w:r>
              <w:rPr>
                <w:rFonts w:ascii="Times New Roman" w:hAnsi="Times New Roman" w:cs="Times New Roman"/>
              </w:rPr>
              <w:t>所有通过初步评审的供应商的评</w:t>
            </w:r>
            <w:r>
              <w:rPr>
                <w:rFonts w:hint="eastAsia" w:ascii="Times New Roman" w:hAnsi="Times New Roman" w:cs="Times New Roman"/>
              </w:rPr>
              <w:t>标</w:t>
            </w:r>
            <w:r>
              <w:rPr>
                <w:rFonts w:ascii="Times New Roman" w:hAnsi="Times New Roman" w:cs="Times New Roman"/>
              </w:rPr>
              <w:t>价去掉一个最高值和一个最低值后的算术平均值即为评</w:t>
            </w:r>
            <w:r>
              <w:rPr>
                <w:rFonts w:hint="eastAsia" w:ascii="Times New Roman" w:hAnsi="Times New Roman" w:cs="Times New Roman"/>
              </w:rPr>
              <w:t>标</w:t>
            </w:r>
            <w:r>
              <w:rPr>
                <w:rFonts w:ascii="Times New Roman" w:hAnsi="Times New Roman" w:cs="Times New Roman"/>
              </w:rPr>
              <w:t>价平均值（如果参与评</w:t>
            </w:r>
            <w:r>
              <w:rPr>
                <w:rFonts w:hint="eastAsia" w:ascii="Times New Roman" w:hAnsi="Times New Roman" w:cs="Times New Roman"/>
              </w:rPr>
              <w:t>标</w:t>
            </w:r>
            <w:r>
              <w:rPr>
                <w:rFonts w:ascii="Times New Roman" w:hAnsi="Times New Roman" w:cs="Times New Roman"/>
              </w:rPr>
              <w:t>价平均值计算的有效供应商少于5家时，则计算评</w:t>
            </w:r>
            <w:r>
              <w:rPr>
                <w:rFonts w:hint="eastAsia" w:ascii="Times New Roman" w:hAnsi="Times New Roman" w:cs="Times New Roman"/>
              </w:rPr>
              <w:t>标</w:t>
            </w:r>
            <w:r>
              <w:rPr>
                <w:rFonts w:ascii="Times New Roman" w:hAnsi="Times New Roman" w:cs="Times New Roman"/>
              </w:rPr>
              <w:t>价平均值时不去掉最高值和最低值）。</w:t>
            </w:r>
          </w:p>
          <w:p>
            <w:pPr>
              <w:spacing w:line="360" w:lineRule="atLeast"/>
              <w:rPr>
                <w:rFonts w:ascii="Times New Roman" w:hAnsi="Times New Roman" w:cs="Times New Roman"/>
              </w:rPr>
            </w:pPr>
            <w:r>
              <w:rPr>
                <w:rFonts w:ascii="Times New Roman" w:hAnsi="Times New Roman" w:cs="Times New Roman"/>
              </w:rPr>
              <w:t xml:space="preserve">（3）评标基准价的确定： </w:t>
            </w:r>
          </w:p>
          <w:p>
            <w:pPr>
              <w:spacing w:line="360" w:lineRule="atLeast"/>
              <w:rPr>
                <w:rFonts w:ascii="Times New Roman" w:hAnsi="Times New Roman" w:cs="Times New Roman"/>
              </w:rPr>
            </w:pPr>
            <w:r>
              <w:rPr>
                <w:rFonts w:ascii="Times New Roman" w:hAnsi="Times New Roman" w:cs="Times New Roman"/>
              </w:rPr>
              <w:t xml:space="preserve">评标基准价=评标价平均值*C 值 </w:t>
            </w:r>
          </w:p>
          <w:p>
            <w:pPr>
              <w:spacing w:line="360" w:lineRule="atLeast"/>
              <w:rPr>
                <w:rFonts w:ascii="Times New Roman" w:hAnsi="Times New Roman" w:cs="Times New Roman"/>
              </w:rPr>
            </w:pPr>
            <w:r>
              <w:rPr>
                <w:rFonts w:ascii="Times New Roman" w:hAnsi="Times New Roman" w:cs="Times New Roman"/>
              </w:rPr>
              <w:t xml:space="preserve">C 值确定如下： </w:t>
            </w:r>
          </w:p>
          <w:p>
            <w:pPr>
              <w:spacing w:line="360" w:lineRule="atLeast"/>
              <w:rPr>
                <w:rFonts w:ascii="Times New Roman" w:hAnsi="Times New Roman" w:cs="Times New Roman"/>
              </w:rPr>
            </w:pPr>
            <w:r>
              <w:rPr>
                <w:rFonts w:ascii="Times New Roman" w:hAnsi="Times New Roman" w:cs="Times New Roman"/>
              </w:rPr>
              <w:t xml:space="preserve">将在投标截止时间后成功接收投标文件的投标人总数除以 3，根据余数对应取C值。余数0对应0.96、余数1对应0.97、余数2对应0.98。 </w:t>
            </w:r>
          </w:p>
          <w:p>
            <w:pPr>
              <w:spacing w:line="360" w:lineRule="atLeast"/>
              <w:rPr>
                <w:rFonts w:ascii="Times New Roman" w:hAnsi="Times New Roman" w:cs="Times New Roman"/>
              </w:rPr>
            </w:pPr>
          </w:p>
          <w:p>
            <w:pPr>
              <w:spacing w:line="360" w:lineRule="atLeast"/>
              <w:rPr>
                <w:rFonts w:ascii="Times New Roman" w:hAnsi="Times New Roman" w:cs="Times New Roman"/>
              </w:rPr>
            </w:pPr>
            <w:r>
              <w:rPr>
                <w:rFonts w:ascii="Times New Roman" w:hAnsi="Times New Roman" w:cs="Times New Roman"/>
              </w:rPr>
              <w:t xml:space="preserve">在评标过程中，评标委员会应对评标基准价进行复核，存在计算错误的应予以修正并在评标报告中作出说明。除此之外，评标基准价在整个评标期间保持不变，不随任何因素发生变化。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639" w:type="pct"/>
            <w:tcBorders>
              <w:tl2br w:val="nil"/>
              <w:tr2bl w:val="nil"/>
            </w:tcBorders>
            <w:vAlign w:val="center"/>
          </w:tcPr>
          <w:p>
            <w:pPr>
              <w:jc w:val="center"/>
              <w:rPr>
                <w:rFonts w:ascii="Times New Roman" w:hAnsi="Times New Roman" w:eastAsia="宋体" w:cs="Times New Roman"/>
              </w:rPr>
            </w:pPr>
            <w:r>
              <w:rPr>
                <w:rFonts w:ascii="Times New Roman" w:hAnsi="Times New Roman" w:eastAsia="宋体" w:cs="Times New Roman"/>
              </w:rPr>
              <w:t>3.2.3</w:t>
            </w:r>
          </w:p>
        </w:tc>
        <w:tc>
          <w:tcPr>
            <w:tcW w:w="1080" w:type="pct"/>
            <w:tcBorders>
              <w:tl2br w:val="nil"/>
              <w:tr2bl w:val="nil"/>
            </w:tcBorders>
            <w:vAlign w:val="center"/>
          </w:tcPr>
          <w:p>
            <w:pPr>
              <w:jc w:val="center"/>
              <w:rPr>
                <w:rFonts w:ascii="Times New Roman" w:hAnsi="Times New Roman" w:eastAsia="宋体" w:cs="Times New Roman"/>
              </w:rPr>
            </w:pPr>
            <w:r>
              <w:rPr>
                <w:rFonts w:ascii="Times New Roman" w:hAnsi="Times New Roman" w:eastAsia="宋体" w:cs="Times New Roman"/>
              </w:rPr>
              <w:t>评标价的偏差率</w:t>
            </w:r>
          </w:p>
          <w:p>
            <w:pPr>
              <w:jc w:val="center"/>
              <w:rPr>
                <w:rFonts w:ascii="Times New Roman" w:hAnsi="Times New Roman" w:eastAsia="宋体" w:cs="Times New Roman"/>
              </w:rPr>
            </w:pPr>
            <w:r>
              <w:rPr>
                <w:rFonts w:ascii="Times New Roman" w:hAnsi="Times New Roman" w:eastAsia="宋体" w:cs="Times New Roman"/>
              </w:rPr>
              <w:t>计算方式</w:t>
            </w:r>
          </w:p>
        </w:tc>
        <w:tc>
          <w:tcPr>
            <w:tcW w:w="3280" w:type="pct"/>
            <w:tcBorders>
              <w:tl2br w:val="nil"/>
              <w:tr2bl w:val="nil"/>
            </w:tcBorders>
            <w:vAlign w:val="center"/>
          </w:tcPr>
          <w:p>
            <w:pPr>
              <w:spacing w:line="360" w:lineRule="atLeast"/>
              <w:rPr>
                <w:rFonts w:ascii="Times New Roman" w:hAnsi="Times New Roman" w:cs="Times New Roman"/>
                <w:szCs w:val="21"/>
              </w:rPr>
            </w:pPr>
            <w:r>
              <w:rPr>
                <w:rFonts w:ascii="Times New Roman" w:hAnsi="Times New Roman" w:cs="Times New Roman"/>
                <w:szCs w:val="21"/>
              </w:rPr>
              <w:t xml:space="preserve">偏差率=100% ×（投标人评标价－评标基准价）/评标基准价 </w:t>
            </w:r>
          </w:p>
          <w:p>
            <w:pPr>
              <w:spacing w:line="360" w:lineRule="atLeast"/>
              <w:rPr>
                <w:rFonts w:ascii="Times New Roman" w:hAnsi="Times New Roman" w:cs="Times New Roman"/>
                <w:szCs w:val="21"/>
              </w:rPr>
            </w:pPr>
            <w:r>
              <w:rPr>
                <w:rFonts w:ascii="Times New Roman" w:hAnsi="Times New Roman" w:cs="Times New Roman"/>
                <w:szCs w:val="21"/>
              </w:rPr>
              <w:t>偏差率保留 2 位小数</w:t>
            </w:r>
          </w:p>
        </w:tc>
      </w:tr>
    </w:tbl>
    <w:p>
      <w:pPr>
        <w:rPr>
          <w:rFonts w:ascii="Times New Roman" w:hAnsi="Times New Roman" w:cs="Times New Roman"/>
          <w:b/>
          <w:bCs/>
          <w:spacing w:val="4"/>
          <w:sz w:val="24"/>
        </w:rPr>
      </w:pPr>
    </w:p>
    <w:p>
      <w:pPr>
        <w:pStyle w:val="2"/>
      </w:pPr>
    </w:p>
    <w:tbl>
      <w:tblPr>
        <w:tblStyle w:val="21"/>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89"/>
        <w:gridCol w:w="1300"/>
        <w:gridCol w:w="1604"/>
        <w:gridCol w:w="1595"/>
        <w:gridCol w:w="806"/>
        <w:gridCol w:w="2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80" w:type="pct"/>
            <w:vMerge w:val="restart"/>
            <w:tcBorders>
              <w:tl2br w:val="nil"/>
              <w:tr2bl w:val="nil"/>
            </w:tcBorders>
            <w:vAlign w:val="center"/>
          </w:tcPr>
          <w:p>
            <w:pPr>
              <w:pStyle w:val="2"/>
              <w:spacing w:after="0"/>
              <w:jc w:val="center"/>
              <w:rPr>
                <w:rFonts w:ascii="Times New Roman" w:hAnsi="Times New Roman" w:cs="Times New Roman"/>
              </w:rPr>
            </w:pPr>
            <w:r>
              <w:rPr>
                <w:rFonts w:ascii="Times New Roman" w:hAnsi="Times New Roman" w:cs="Times New Roman"/>
              </w:rPr>
              <w:t>条款号</w:t>
            </w:r>
          </w:p>
        </w:tc>
        <w:tc>
          <w:tcPr>
            <w:tcW w:w="3113" w:type="pct"/>
            <w:gridSpan w:val="4"/>
            <w:tcBorders>
              <w:tl2br w:val="nil"/>
              <w:tr2bl w:val="nil"/>
            </w:tcBorders>
            <w:vAlign w:val="center"/>
          </w:tcPr>
          <w:p>
            <w:pPr>
              <w:pStyle w:val="2"/>
              <w:spacing w:after="0"/>
              <w:jc w:val="center"/>
              <w:rPr>
                <w:rFonts w:ascii="Times New Roman" w:hAnsi="Times New Roman" w:cs="Times New Roman"/>
              </w:rPr>
            </w:pPr>
            <w:r>
              <w:rPr>
                <w:rFonts w:ascii="Times New Roman" w:hAnsi="Times New Roman" w:cs="Times New Roman"/>
              </w:rPr>
              <w:t>评分因素与权重分值</w:t>
            </w:r>
          </w:p>
        </w:tc>
        <w:tc>
          <w:tcPr>
            <w:tcW w:w="1307" w:type="pct"/>
            <w:vMerge w:val="restart"/>
            <w:tcBorders>
              <w:tl2br w:val="nil"/>
              <w:tr2bl w:val="nil"/>
            </w:tcBorders>
            <w:vAlign w:val="center"/>
          </w:tcPr>
          <w:p>
            <w:pPr>
              <w:pStyle w:val="2"/>
              <w:spacing w:after="0"/>
              <w:jc w:val="center"/>
              <w:rPr>
                <w:rFonts w:ascii="Times New Roman" w:hAnsi="Times New Roman" w:cs="Times New Roman"/>
              </w:rPr>
            </w:pPr>
            <w:r>
              <w:rPr>
                <w:rFonts w:ascii="Times New Roman" w:hAnsi="Times New Roman" w:cs="Times New Roman"/>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80" w:type="pct"/>
            <w:vMerge w:val="continue"/>
            <w:tcBorders>
              <w:tl2br w:val="nil"/>
              <w:tr2bl w:val="nil"/>
            </w:tcBorders>
            <w:vAlign w:val="center"/>
          </w:tcPr>
          <w:p>
            <w:pPr>
              <w:pStyle w:val="2"/>
              <w:spacing w:after="0"/>
              <w:jc w:val="center"/>
              <w:rPr>
                <w:rFonts w:ascii="Times New Roman" w:hAnsi="Times New Roman" w:cs="Times New Roman"/>
              </w:rPr>
            </w:pPr>
          </w:p>
        </w:tc>
        <w:tc>
          <w:tcPr>
            <w:tcW w:w="763" w:type="pct"/>
            <w:tcBorders>
              <w:tl2br w:val="nil"/>
              <w:tr2bl w:val="nil"/>
            </w:tcBorders>
            <w:vAlign w:val="center"/>
          </w:tcPr>
          <w:p>
            <w:pPr>
              <w:pStyle w:val="2"/>
              <w:spacing w:after="0"/>
              <w:jc w:val="center"/>
              <w:rPr>
                <w:rFonts w:ascii="Times New Roman" w:hAnsi="Times New Roman" w:cs="Times New Roman"/>
              </w:rPr>
            </w:pPr>
            <w:r>
              <w:rPr>
                <w:rFonts w:ascii="Times New Roman" w:hAnsi="Times New Roman" w:cs="Times New Roman"/>
              </w:rPr>
              <w:t>评分因素</w:t>
            </w:r>
          </w:p>
        </w:tc>
        <w:tc>
          <w:tcPr>
            <w:tcW w:w="941" w:type="pct"/>
            <w:tcBorders>
              <w:tl2br w:val="nil"/>
              <w:tr2bl w:val="nil"/>
            </w:tcBorders>
            <w:vAlign w:val="center"/>
          </w:tcPr>
          <w:p>
            <w:pPr>
              <w:pStyle w:val="2"/>
              <w:spacing w:after="0"/>
              <w:jc w:val="center"/>
              <w:rPr>
                <w:rFonts w:ascii="Times New Roman" w:hAnsi="Times New Roman" w:cs="Times New Roman"/>
              </w:rPr>
            </w:pPr>
            <w:r>
              <w:rPr>
                <w:rFonts w:ascii="Times New Roman" w:hAnsi="Times New Roman" w:cs="Times New Roman"/>
              </w:rPr>
              <w:t>评分因素权重分值</w:t>
            </w:r>
          </w:p>
        </w:tc>
        <w:tc>
          <w:tcPr>
            <w:tcW w:w="936" w:type="pct"/>
            <w:tcBorders>
              <w:tl2br w:val="nil"/>
              <w:tr2bl w:val="nil"/>
            </w:tcBorders>
            <w:vAlign w:val="center"/>
          </w:tcPr>
          <w:p>
            <w:pPr>
              <w:pStyle w:val="2"/>
              <w:spacing w:after="0"/>
              <w:jc w:val="center"/>
              <w:rPr>
                <w:rFonts w:ascii="Times New Roman" w:hAnsi="Times New Roman" w:cs="Times New Roman"/>
              </w:rPr>
            </w:pPr>
            <w:r>
              <w:rPr>
                <w:rFonts w:ascii="Times New Roman" w:hAnsi="Times New Roman" w:cs="Times New Roman"/>
              </w:rPr>
              <w:t>各评分因素细分项</w:t>
            </w:r>
          </w:p>
        </w:tc>
        <w:tc>
          <w:tcPr>
            <w:tcW w:w="473" w:type="pct"/>
            <w:tcBorders>
              <w:tl2br w:val="nil"/>
              <w:tr2bl w:val="nil"/>
            </w:tcBorders>
            <w:vAlign w:val="center"/>
          </w:tcPr>
          <w:p>
            <w:pPr>
              <w:pStyle w:val="2"/>
              <w:spacing w:after="0"/>
              <w:jc w:val="center"/>
              <w:rPr>
                <w:rFonts w:ascii="Times New Roman" w:hAnsi="Times New Roman" w:cs="Times New Roman"/>
              </w:rPr>
            </w:pPr>
            <w:r>
              <w:rPr>
                <w:rFonts w:ascii="Times New Roman" w:hAnsi="Times New Roman" w:cs="Times New Roman"/>
              </w:rPr>
              <w:t>分值</w:t>
            </w:r>
          </w:p>
        </w:tc>
        <w:tc>
          <w:tcPr>
            <w:tcW w:w="1307" w:type="pct"/>
            <w:vMerge w:val="continue"/>
            <w:tcBorders>
              <w:tl2br w:val="nil"/>
              <w:tr2bl w:val="nil"/>
            </w:tcBorders>
            <w:vAlign w:val="center"/>
          </w:tcPr>
          <w:p>
            <w:pPr>
              <w:pStyle w:val="2"/>
              <w:spacing w:after="0"/>
              <w:jc w:val="cente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80" w:type="pct"/>
            <w:tcBorders>
              <w:tl2br w:val="nil"/>
              <w:tr2bl w:val="nil"/>
            </w:tcBorders>
            <w:vAlign w:val="center"/>
          </w:tcPr>
          <w:p>
            <w:pPr>
              <w:pStyle w:val="2"/>
              <w:spacing w:after="0"/>
              <w:jc w:val="center"/>
              <w:rPr>
                <w:rFonts w:ascii="Times New Roman" w:hAnsi="Times New Roman" w:cs="Times New Roman"/>
                <w:szCs w:val="22"/>
              </w:rPr>
            </w:pPr>
            <w:r>
              <w:rPr>
                <w:rFonts w:ascii="Times New Roman" w:hAnsi="Times New Roman" w:cs="Times New Roman"/>
              </w:rPr>
              <w:t>3.3.1</w:t>
            </w:r>
          </w:p>
        </w:tc>
        <w:tc>
          <w:tcPr>
            <w:tcW w:w="763" w:type="pct"/>
            <w:tcBorders>
              <w:tl2br w:val="nil"/>
              <w:tr2bl w:val="nil"/>
            </w:tcBorders>
            <w:vAlign w:val="center"/>
          </w:tcPr>
          <w:p>
            <w:pPr>
              <w:pStyle w:val="2"/>
              <w:spacing w:after="0"/>
              <w:jc w:val="center"/>
              <w:rPr>
                <w:rFonts w:ascii="Times New Roman" w:hAnsi="Times New Roman" w:cs="Times New Roman"/>
              </w:rPr>
            </w:pPr>
            <w:r>
              <w:rPr>
                <w:rFonts w:ascii="Times New Roman" w:hAnsi="Times New Roman" w:cs="Times New Roman"/>
              </w:rPr>
              <w:t>投标人业绩</w:t>
            </w:r>
          </w:p>
        </w:tc>
        <w:tc>
          <w:tcPr>
            <w:tcW w:w="941" w:type="pct"/>
            <w:tcBorders>
              <w:tl2br w:val="nil"/>
              <w:tr2bl w:val="nil"/>
            </w:tcBorders>
            <w:vAlign w:val="center"/>
          </w:tcPr>
          <w:p>
            <w:pPr>
              <w:pStyle w:val="2"/>
              <w:spacing w:after="0"/>
              <w:jc w:val="center"/>
              <w:rPr>
                <w:rFonts w:ascii="Times New Roman" w:hAnsi="Times New Roman" w:cs="Times New Roman"/>
              </w:rPr>
            </w:pPr>
            <w:r>
              <w:rPr>
                <w:rFonts w:ascii="Times New Roman" w:hAnsi="Times New Roman" w:cs="Times New Roman"/>
              </w:rPr>
              <w:t>30分</w:t>
            </w:r>
          </w:p>
        </w:tc>
        <w:tc>
          <w:tcPr>
            <w:tcW w:w="936" w:type="pct"/>
            <w:tcBorders>
              <w:tl2br w:val="nil"/>
              <w:tr2bl w:val="nil"/>
            </w:tcBorders>
            <w:vAlign w:val="center"/>
          </w:tcPr>
          <w:p>
            <w:pPr>
              <w:pStyle w:val="2"/>
              <w:spacing w:after="0"/>
              <w:jc w:val="center"/>
              <w:rPr>
                <w:rFonts w:ascii="Times New Roman" w:hAnsi="Times New Roman" w:cs="Times New Roman"/>
              </w:rPr>
            </w:pPr>
            <w:r>
              <w:rPr>
                <w:rFonts w:ascii="Times New Roman" w:hAnsi="Times New Roman" w:cs="Times New Roman"/>
              </w:rPr>
              <w:t>投标人业绩</w:t>
            </w:r>
          </w:p>
        </w:tc>
        <w:tc>
          <w:tcPr>
            <w:tcW w:w="473" w:type="pct"/>
            <w:tcBorders>
              <w:tl2br w:val="nil"/>
              <w:tr2bl w:val="nil"/>
            </w:tcBorders>
            <w:vAlign w:val="center"/>
          </w:tcPr>
          <w:p>
            <w:pPr>
              <w:pStyle w:val="2"/>
              <w:spacing w:after="0"/>
              <w:jc w:val="center"/>
              <w:rPr>
                <w:rFonts w:ascii="Times New Roman" w:hAnsi="Times New Roman" w:cs="Times New Roman"/>
              </w:rPr>
            </w:pPr>
            <w:r>
              <w:rPr>
                <w:rFonts w:ascii="Times New Roman" w:hAnsi="Times New Roman" w:cs="Times New Roman"/>
              </w:rPr>
              <w:t>30分</w:t>
            </w:r>
          </w:p>
        </w:tc>
        <w:tc>
          <w:tcPr>
            <w:tcW w:w="1307" w:type="pct"/>
            <w:tcBorders>
              <w:tl2br w:val="nil"/>
              <w:tr2bl w:val="nil"/>
            </w:tcBorders>
            <w:vAlign w:val="center"/>
          </w:tcPr>
          <w:p>
            <w:pPr>
              <w:pStyle w:val="2"/>
              <w:spacing w:after="0"/>
              <w:jc w:val="left"/>
              <w:rPr>
                <w:rFonts w:ascii="Times New Roman" w:hAnsi="Times New Roman" w:cs="Times New Roman"/>
              </w:rPr>
            </w:pPr>
            <w:r>
              <w:rPr>
                <w:rFonts w:ascii="Times New Roman" w:hAnsi="Times New Roman" w:cs="Times New Roman"/>
              </w:rPr>
              <w:t>（1）投标人满足资格审查业绩，得基本分18分；</w:t>
            </w:r>
          </w:p>
          <w:p>
            <w:pPr>
              <w:pStyle w:val="2"/>
              <w:spacing w:after="0"/>
              <w:jc w:val="left"/>
              <w:rPr>
                <w:rFonts w:ascii="Times New Roman" w:hAnsi="Times New Roman" w:cs="Times New Roman"/>
                <w:szCs w:val="21"/>
              </w:rPr>
            </w:pPr>
            <w:r>
              <w:rPr>
                <w:rFonts w:ascii="Times New Roman" w:hAnsi="Times New Roman" w:cs="Times New Roman"/>
                <w:szCs w:val="21"/>
              </w:rPr>
              <w:t>（2）满足资格审查业绩外，每增加一个30万元以上试（实）验室装饰装修（改造）项目业绩的，得4分。满分12分。</w:t>
            </w:r>
          </w:p>
          <w:p>
            <w:pPr>
              <w:pStyle w:val="3"/>
              <w:spacing w:before="0" w:after="0"/>
              <w:jc w:val="both"/>
              <w:rPr>
                <w:rFonts w:ascii="Times New Roman" w:hAnsi="Times New Roman" w:cs="Times New Roman"/>
              </w:rPr>
            </w:pPr>
            <w:bookmarkStart w:id="53" w:name="_Toc2859"/>
            <w:r>
              <w:rPr>
                <w:rFonts w:ascii="Times New Roman" w:hAnsi="Times New Roman" w:cs="Times New Roman"/>
                <w:kern w:val="2"/>
                <w:sz w:val="21"/>
                <w:szCs w:val="21"/>
              </w:rPr>
              <w:t>注：业绩证明材料需提供合同协议书扫描件</w:t>
            </w:r>
            <w:bookmarkEnd w:id="5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90" w:hRule="atLeast"/>
        </w:trPr>
        <w:tc>
          <w:tcPr>
            <w:tcW w:w="580" w:type="pct"/>
            <w:vMerge w:val="restart"/>
            <w:tcBorders>
              <w:tl2br w:val="nil"/>
              <w:tr2bl w:val="nil"/>
            </w:tcBorders>
            <w:vAlign w:val="center"/>
          </w:tcPr>
          <w:p>
            <w:pPr>
              <w:pStyle w:val="2"/>
              <w:spacing w:after="0"/>
              <w:jc w:val="center"/>
              <w:rPr>
                <w:rFonts w:ascii="Times New Roman" w:hAnsi="Times New Roman" w:cs="Times New Roman"/>
              </w:rPr>
            </w:pPr>
            <w:r>
              <w:rPr>
                <w:rFonts w:ascii="Times New Roman" w:hAnsi="Times New Roman" w:cs="Times New Roman"/>
              </w:rPr>
              <w:t>3.3.2</w:t>
            </w:r>
          </w:p>
        </w:tc>
        <w:tc>
          <w:tcPr>
            <w:tcW w:w="763" w:type="pct"/>
            <w:vMerge w:val="restart"/>
            <w:tcBorders>
              <w:tl2br w:val="nil"/>
              <w:tr2bl w:val="nil"/>
            </w:tcBorders>
            <w:vAlign w:val="center"/>
          </w:tcPr>
          <w:p>
            <w:pPr>
              <w:pStyle w:val="2"/>
              <w:spacing w:after="0"/>
              <w:jc w:val="center"/>
              <w:rPr>
                <w:rFonts w:ascii="Times New Roman" w:hAnsi="Times New Roman" w:cs="Times New Roman"/>
              </w:rPr>
            </w:pPr>
            <w:r>
              <w:rPr>
                <w:rFonts w:hint="eastAsia" w:ascii="Times New Roman" w:hAnsi="Times New Roman" w:cs="Times New Roman"/>
              </w:rPr>
              <w:t>技术方案</w:t>
            </w:r>
          </w:p>
        </w:tc>
        <w:tc>
          <w:tcPr>
            <w:tcW w:w="941" w:type="pct"/>
            <w:vMerge w:val="restart"/>
            <w:tcBorders>
              <w:tl2br w:val="nil"/>
              <w:tr2bl w:val="nil"/>
            </w:tcBorders>
            <w:vAlign w:val="center"/>
          </w:tcPr>
          <w:p>
            <w:pPr>
              <w:pStyle w:val="2"/>
              <w:spacing w:after="0"/>
              <w:jc w:val="center"/>
              <w:rPr>
                <w:rFonts w:ascii="Times New Roman" w:hAnsi="Times New Roman" w:cs="Times New Roman"/>
              </w:rPr>
            </w:pPr>
            <w:r>
              <w:rPr>
                <w:rFonts w:ascii="Times New Roman" w:hAnsi="Times New Roman" w:cs="Times New Roman"/>
              </w:rPr>
              <w:t>50分</w:t>
            </w:r>
          </w:p>
        </w:tc>
        <w:tc>
          <w:tcPr>
            <w:tcW w:w="936" w:type="pct"/>
            <w:tcBorders>
              <w:tl2br w:val="nil"/>
              <w:tr2bl w:val="nil"/>
            </w:tcBorders>
            <w:vAlign w:val="center"/>
          </w:tcPr>
          <w:p>
            <w:pPr>
              <w:pStyle w:val="2"/>
              <w:spacing w:after="0"/>
              <w:jc w:val="center"/>
              <w:rPr>
                <w:rFonts w:ascii="Times New Roman" w:hAnsi="Times New Roman" w:cs="Times New Roman"/>
              </w:rPr>
            </w:pPr>
            <w:r>
              <w:rPr>
                <w:rFonts w:hint="eastAsia" w:ascii="Times New Roman" w:hAnsi="Times New Roman" w:cs="Times New Roman"/>
              </w:rPr>
              <w:t>装修改造</w:t>
            </w:r>
            <w:r>
              <w:rPr>
                <w:rFonts w:ascii="Times New Roman" w:hAnsi="Times New Roman" w:cs="Times New Roman"/>
              </w:rPr>
              <w:t>方案</w:t>
            </w:r>
          </w:p>
        </w:tc>
        <w:tc>
          <w:tcPr>
            <w:tcW w:w="473" w:type="pct"/>
            <w:tcBorders>
              <w:tl2br w:val="nil"/>
              <w:tr2bl w:val="nil"/>
            </w:tcBorders>
            <w:vAlign w:val="center"/>
          </w:tcPr>
          <w:p>
            <w:pPr>
              <w:pStyle w:val="2"/>
              <w:spacing w:after="0"/>
              <w:jc w:val="center"/>
              <w:rPr>
                <w:rFonts w:ascii="Times New Roman" w:hAnsi="Times New Roman" w:cs="Times New Roman"/>
              </w:rPr>
            </w:pPr>
            <w:r>
              <w:rPr>
                <w:rFonts w:ascii="Times New Roman" w:hAnsi="Times New Roman" w:cs="Times New Roman"/>
              </w:rPr>
              <w:t>35分</w:t>
            </w:r>
          </w:p>
        </w:tc>
        <w:tc>
          <w:tcPr>
            <w:tcW w:w="1307" w:type="pct"/>
            <w:tcBorders>
              <w:tl2br w:val="nil"/>
              <w:tr2bl w:val="nil"/>
            </w:tcBorders>
            <w:vAlign w:val="center"/>
          </w:tcPr>
          <w:p>
            <w:pPr>
              <w:pStyle w:val="2"/>
              <w:spacing w:after="0"/>
              <w:rPr>
                <w:rFonts w:ascii="Times New Roman" w:hAnsi="Times New Roman" w:cs="Times New Roman"/>
              </w:rPr>
            </w:pPr>
            <w:r>
              <w:rPr>
                <w:rFonts w:hint="eastAsia" w:ascii="Times New Roman" w:hAnsi="Times New Roman" w:cs="Times New Roman"/>
              </w:rPr>
              <w:t>装修改造</w:t>
            </w:r>
            <w:r>
              <w:rPr>
                <w:rFonts w:ascii="Times New Roman" w:hAnsi="Times New Roman" w:cs="Times New Roman"/>
              </w:rPr>
              <w:t>方案应内容齐全合理，须载明人员、材料进出场计划，且应与装修改造总工期相适应，有质量、安全、进度及施工环境保证措施等，得基本分21分；</w:t>
            </w:r>
          </w:p>
          <w:p>
            <w:pPr>
              <w:pStyle w:val="2"/>
              <w:spacing w:after="0"/>
              <w:rPr>
                <w:rFonts w:ascii="Times New Roman" w:hAnsi="Times New Roman" w:cs="Times New Roman"/>
              </w:rPr>
            </w:pPr>
            <w:r>
              <w:rPr>
                <w:rFonts w:ascii="Times New Roman" w:hAnsi="Times New Roman" w:cs="Times New Roman"/>
              </w:rPr>
              <w:t>针对试验场地装修改造有详细的施工方案。方案应具有可操作性、实用性、亮点突出的，加0~7分。</w:t>
            </w:r>
          </w:p>
          <w:p>
            <w:pPr>
              <w:pStyle w:val="2"/>
              <w:spacing w:after="0"/>
              <w:rPr>
                <w:rFonts w:ascii="Times New Roman" w:hAnsi="Times New Roman" w:cs="Times New Roman"/>
              </w:rPr>
            </w:pPr>
            <w:r>
              <w:rPr>
                <w:rFonts w:hint="eastAsia" w:ascii="Times New Roman" w:hAnsi="Times New Roman" w:cs="Times New Roman"/>
              </w:rPr>
              <w:t>对功能室布局、</w:t>
            </w:r>
            <w:r>
              <w:rPr>
                <w:rFonts w:ascii="Times New Roman" w:hAnsi="Times New Roman" w:cs="Times New Roman"/>
              </w:rPr>
              <w:t>结构设计和施工工艺流程进行重点阐述，方案科学合理、安全可行、内容详尽的，加0~7分</w:t>
            </w:r>
            <w:r>
              <w:rPr>
                <w:rFonts w:hint="eastAsia" w:ascii="Times New Roman" w:hAnsi="Times New Roman" w:cs="Times New Roma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80" w:type="pct"/>
            <w:vMerge w:val="continue"/>
            <w:tcBorders>
              <w:tl2br w:val="nil"/>
              <w:tr2bl w:val="nil"/>
            </w:tcBorders>
            <w:vAlign w:val="center"/>
          </w:tcPr>
          <w:p>
            <w:pPr>
              <w:pStyle w:val="2"/>
              <w:spacing w:after="0"/>
              <w:jc w:val="center"/>
              <w:rPr>
                <w:rFonts w:ascii="Times New Roman" w:hAnsi="Times New Roman" w:cs="Times New Roman"/>
              </w:rPr>
            </w:pPr>
          </w:p>
        </w:tc>
        <w:tc>
          <w:tcPr>
            <w:tcW w:w="763" w:type="pct"/>
            <w:vMerge w:val="continue"/>
            <w:tcBorders>
              <w:tl2br w:val="nil"/>
              <w:tr2bl w:val="nil"/>
            </w:tcBorders>
            <w:vAlign w:val="center"/>
          </w:tcPr>
          <w:p>
            <w:pPr>
              <w:pStyle w:val="2"/>
              <w:spacing w:after="0"/>
              <w:jc w:val="center"/>
              <w:rPr>
                <w:rFonts w:ascii="Times New Roman" w:hAnsi="Times New Roman" w:cs="Times New Roman"/>
              </w:rPr>
            </w:pPr>
          </w:p>
        </w:tc>
        <w:tc>
          <w:tcPr>
            <w:tcW w:w="941" w:type="pct"/>
            <w:vMerge w:val="continue"/>
            <w:tcBorders>
              <w:tl2br w:val="nil"/>
              <w:tr2bl w:val="nil"/>
            </w:tcBorders>
            <w:vAlign w:val="center"/>
          </w:tcPr>
          <w:p>
            <w:pPr>
              <w:pStyle w:val="2"/>
              <w:spacing w:after="0"/>
              <w:jc w:val="center"/>
              <w:rPr>
                <w:rFonts w:ascii="Times New Roman" w:hAnsi="Times New Roman" w:cs="Times New Roman"/>
              </w:rPr>
            </w:pPr>
          </w:p>
        </w:tc>
        <w:tc>
          <w:tcPr>
            <w:tcW w:w="936" w:type="pct"/>
            <w:tcBorders>
              <w:tl2br w:val="nil"/>
              <w:tr2bl w:val="nil"/>
            </w:tcBorders>
            <w:vAlign w:val="center"/>
          </w:tcPr>
          <w:p>
            <w:pPr>
              <w:pStyle w:val="2"/>
              <w:spacing w:after="0"/>
              <w:jc w:val="center"/>
              <w:rPr>
                <w:rFonts w:ascii="Times New Roman" w:hAnsi="Times New Roman" w:cs="Times New Roman"/>
              </w:rPr>
            </w:pPr>
            <w:r>
              <w:rPr>
                <w:rFonts w:ascii="Times New Roman" w:hAnsi="Times New Roman" w:cs="Times New Roman"/>
              </w:rPr>
              <w:t>合理化建议</w:t>
            </w:r>
          </w:p>
        </w:tc>
        <w:tc>
          <w:tcPr>
            <w:tcW w:w="473" w:type="pct"/>
            <w:tcBorders>
              <w:tl2br w:val="nil"/>
              <w:tr2bl w:val="nil"/>
            </w:tcBorders>
            <w:vAlign w:val="center"/>
          </w:tcPr>
          <w:p>
            <w:pPr>
              <w:pStyle w:val="2"/>
              <w:spacing w:after="0"/>
              <w:jc w:val="center"/>
              <w:rPr>
                <w:rFonts w:ascii="Times New Roman" w:hAnsi="Times New Roman" w:cs="Times New Roman"/>
              </w:rPr>
            </w:pPr>
            <w:r>
              <w:rPr>
                <w:rFonts w:ascii="Times New Roman" w:hAnsi="Times New Roman" w:cs="Times New Roman"/>
              </w:rPr>
              <w:t>10分</w:t>
            </w:r>
          </w:p>
        </w:tc>
        <w:tc>
          <w:tcPr>
            <w:tcW w:w="1307" w:type="pct"/>
            <w:tcBorders>
              <w:tl2br w:val="nil"/>
              <w:tr2bl w:val="nil"/>
            </w:tcBorders>
            <w:vAlign w:val="center"/>
          </w:tcPr>
          <w:p>
            <w:pPr>
              <w:pStyle w:val="2"/>
              <w:spacing w:after="0"/>
              <w:jc w:val="left"/>
              <w:rPr>
                <w:rFonts w:ascii="Times New Roman" w:hAnsi="Times New Roman" w:cs="Times New Roman"/>
              </w:rPr>
            </w:pPr>
            <w:r>
              <w:rPr>
                <w:rFonts w:ascii="Times New Roman" w:hAnsi="Times New Roman" w:cs="Times New Roman"/>
              </w:rPr>
              <w:t>基本满足得6分，针对试验场地装修改造的技术建议有针对性、操作性、实用性等，加0~4分。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580" w:type="pct"/>
            <w:vMerge w:val="continue"/>
            <w:tcBorders>
              <w:tl2br w:val="nil"/>
              <w:tr2bl w:val="nil"/>
            </w:tcBorders>
            <w:vAlign w:val="center"/>
          </w:tcPr>
          <w:p>
            <w:pPr>
              <w:pStyle w:val="2"/>
              <w:spacing w:after="0"/>
              <w:jc w:val="center"/>
              <w:rPr>
                <w:rFonts w:ascii="Times New Roman" w:hAnsi="Times New Roman" w:cs="Times New Roman"/>
              </w:rPr>
            </w:pPr>
          </w:p>
        </w:tc>
        <w:tc>
          <w:tcPr>
            <w:tcW w:w="763" w:type="pct"/>
            <w:vMerge w:val="continue"/>
            <w:tcBorders>
              <w:tl2br w:val="nil"/>
              <w:tr2bl w:val="nil"/>
            </w:tcBorders>
            <w:vAlign w:val="center"/>
          </w:tcPr>
          <w:p>
            <w:pPr>
              <w:pStyle w:val="2"/>
              <w:spacing w:after="0"/>
              <w:jc w:val="center"/>
              <w:rPr>
                <w:rFonts w:ascii="Times New Roman" w:hAnsi="Times New Roman" w:cs="Times New Roman"/>
              </w:rPr>
            </w:pPr>
          </w:p>
        </w:tc>
        <w:tc>
          <w:tcPr>
            <w:tcW w:w="941" w:type="pct"/>
            <w:vMerge w:val="continue"/>
            <w:tcBorders>
              <w:tl2br w:val="nil"/>
              <w:tr2bl w:val="nil"/>
            </w:tcBorders>
            <w:vAlign w:val="center"/>
          </w:tcPr>
          <w:p>
            <w:pPr>
              <w:pStyle w:val="2"/>
              <w:spacing w:after="0"/>
              <w:jc w:val="center"/>
              <w:rPr>
                <w:rFonts w:ascii="Times New Roman" w:hAnsi="Times New Roman" w:cs="Times New Roman"/>
              </w:rPr>
            </w:pPr>
          </w:p>
        </w:tc>
        <w:tc>
          <w:tcPr>
            <w:tcW w:w="936" w:type="pct"/>
            <w:tcBorders>
              <w:tl2br w:val="nil"/>
              <w:tr2bl w:val="nil"/>
            </w:tcBorders>
            <w:vAlign w:val="center"/>
          </w:tcPr>
          <w:p>
            <w:pPr>
              <w:pStyle w:val="2"/>
              <w:spacing w:after="0"/>
              <w:jc w:val="center"/>
              <w:rPr>
                <w:rFonts w:ascii="Times New Roman" w:hAnsi="Times New Roman" w:cs="Times New Roman"/>
              </w:rPr>
            </w:pPr>
            <w:r>
              <w:rPr>
                <w:rFonts w:ascii="Times New Roman" w:hAnsi="Times New Roman" w:cs="Times New Roman"/>
              </w:rPr>
              <w:t>质量保修承诺</w:t>
            </w:r>
          </w:p>
        </w:tc>
        <w:tc>
          <w:tcPr>
            <w:tcW w:w="473" w:type="pct"/>
            <w:tcBorders>
              <w:tl2br w:val="nil"/>
              <w:tr2bl w:val="nil"/>
            </w:tcBorders>
            <w:vAlign w:val="center"/>
          </w:tcPr>
          <w:p>
            <w:pPr>
              <w:pStyle w:val="2"/>
              <w:spacing w:after="0"/>
              <w:jc w:val="center"/>
              <w:rPr>
                <w:rFonts w:ascii="Times New Roman" w:hAnsi="Times New Roman" w:cs="Times New Roman"/>
              </w:rPr>
            </w:pPr>
            <w:r>
              <w:rPr>
                <w:rFonts w:ascii="Times New Roman" w:hAnsi="Times New Roman" w:cs="Times New Roman"/>
              </w:rPr>
              <w:t>5分</w:t>
            </w:r>
          </w:p>
        </w:tc>
        <w:tc>
          <w:tcPr>
            <w:tcW w:w="1307" w:type="pct"/>
            <w:tcBorders>
              <w:tl2br w:val="nil"/>
              <w:tr2bl w:val="nil"/>
            </w:tcBorders>
            <w:vAlign w:val="center"/>
          </w:tcPr>
          <w:p>
            <w:pPr>
              <w:pStyle w:val="2"/>
              <w:spacing w:after="0"/>
              <w:jc w:val="left"/>
              <w:rPr>
                <w:rFonts w:ascii="Times New Roman" w:hAnsi="Times New Roman" w:cs="Times New Roman"/>
              </w:rPr>
            </w:pPr>
            <w:r>
              <w:rPr>
                <w:rFonts w:ascii="Times New Roman" w:hAnsi="Times New Roman" w:cs="Times New Roman"/>
              </w:rPr>
              <w:t>基本满足得3分，内容全面的，加0-2分。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80" w:type="pct"/>
            <w:tcBorders>
              <w:tl2br w:val="nil"/>
              <w:tr2bl w:val="nil"/>
            </w:tcBorders>
            <w:vAlign w:val="center"/>
          </w:tcPr>
          <w:p>
            <w:pPr>
              <w:pStyle w:val="2"/>
              <w:spacing w:after="0"/>
              <w:jc w:val="center"/>
              <w:rPr>
                <w:rFonts w:ascii="Times New Roman" w:hAnsi="Times New Roman" w:cs="Times New Roman"/>
              </w:rPr>
            </w:pPr>
            <w:r>
              <w:rPr>
                <w:rFonts w:ascii="Times New Roman" w:hAnsi="Times New Roman" w:cs="Times New Roman"/>
              </w:rPr>
              <w:t>3.3.3</w:t>
            </w:r>
          </w:p>
        </w:tc>
        <w:tc>
          <w:tcPr>
            <w:tcW w:w="763" w:type="pct"/>
            <w:tcBorders>
              <w:tl2br w:val="nil"/>
              <w:tr2bl w:val="nil"/>
            </w:tcBorders>
            <w:vAlign w:val="center"/>
          </w:tcPr>
          <w:p>
            <w:pPr>
              <w:pStyle w:val="2"/>
              <w:spacing w:after="0"/>
              <w:jc w:val="center"/>
              <w:rPr>
                <w:rFonts w:ascii="Times New Roman" w:hAnsi="Times New Roman" w:cs="Times New Roman"/>
              </w:rPr>
            </w:pPr>
            <w:r>
              <w:rPr>
                <w:rFonts w:ascii="Times New Roman" w:hAnsi="Times New Roman" w:cs="Times New Roman"/>
              </w:rPr>
              <w:t>评标价</w:t>
            </w:r>
          </w:p>
        </w:tc>
        <w:tc>
          <w:tcPr>
            <w:tcW w:w="941" w:type="pct"/>
            <w:tcBorders>
              <w:tl2br w:val="nil"/>
              <w:tr2bl w:val="nil"/>
            </w:tcBorders>
            <w:vAlign w:val="center"/>
          </w:tcPr>
          <w:p>
            <w:pPr>
              <w:pStyle w:val="2"/>
              <w:spacing w:after="0"/>
              <w:jc w:val="center"/>
              <w:rPr>
                <w:rFonts w:ascii="Times New Roman" w:hAnsi="Times New Roman" w:cs="Times New Roman"/>
              </w:rPr>
            </w:pPr>
            <w:r>
              <w:rPr>
                <w:rFonts w:ascii="Times New Roman" w:hAnsi="Times New Roman" w:cs="Times New Roman"/>
              </w:rPr>
              <w:t>20分</w:t>
            </w:r>
          </w:p>
        </w:tc>
        <w:tc>
          <w:tcPr>
            <w:tcW w:w="2716" w:type="pct"/>
            <w:gridSpan w:val="3"/>
            <w:tcBorders>
              <w:tl2br w:val="nil"/>
              <w:tr2bl w:val="nil"/>
            </w:tcBorders>
            <w:vAlign w:val="center"/>
          </w:tcPr>
          <w:p>
            <w:pPr>
              <w:pStyle w:val="2"/>
              <w:spacing w:after="0"/>
              <w:jc w:val="left"/>
              <w:rPr>
                <w:rFonts w:ascii="Times New Roman" w:hAnsi="Times New Roman" w:cs="Times New Roman"/>
              </w:rPr>
            </w:pPr>
            <w:r>
              <w:rPr>
                <w:rFonts w:ascii="Times New Roman" w:hAnsi="Times New Roman" w:cs="Times New Roman"/>
              </w:rPr>
              <w:t xml:space="preserve">（1）如果投标人的评标价&gt;评标基准价，则评标价得分＝F－偏差率×100× E1； </w:t>
            </w:r>
          </w:p>
          <w:p>
            <w:pPr>
              <w:pStyle w:val="2"/>
              <w:spacing w:after="0"/>
              <w:jc w:val="left"/>
              <w:rPr>
                <w:rFonts w:ascii="Times New Roman" w:hAnsi="Times New Roman" w:cs="Times New Roman"/>
              </w:rPr>
            </w:pPr>
            <w:r>
              <w:rPr>
                <w:rFonts w:ascii="Times New Roman" w:hAnsi="Times New Roman" w:cs="Times New Roman"/>
              </w:rPr>
              <w:t xml:space="preserve">（2）如果投标人的评标价≤评标基准价，则评标价得分＝F＋偏差率× 100× E2。 </w:t>
            </w:r>
          </w:p>
          <w:p>
            <w:pPr>
              <w:pStyle w:val="2"/>
              <w:spacing w:after="0"/>
              <w:jc w:val="left"/>
              <w:rPr>
                <w:rFonts w:ascii="Times New Roman" w:hAnsi="Times New Roman" w:cs="Times New Roman"/>
              </w:rPr>
            </w:pPr>
            <w:r>
              <w:rPr>
                <w:rFonts w:ascii="Times New Roman" w:hAnsi="Times New Roman" w:cs="Times New Roman"/>
              </w:rPr>
              <w:t xml:space="preserve">其中：F 是评标价所占的权重分值，E1是评标价每高于评标基准价一个百分点的扣分值，E2 是评标价每低于评标基准价一个百分点的扣分值；本招标项目 </w:t>
            </w:r>
          </w:p>
          <w:p>
            <w:pPr>
              <w:pStyle w:val="2"/>
              <w:spacing w:after="0"/>
              <w:jc w:val="left"/>
              <w:rPr>
                <w:rFonts w:ascii="Times New Roman" w:hAnsi="Times New Roman" w:cs="Times New Roman"/>
              </w:rPr>
            </w:pPr>
            <w:r>
              <w:rPr>
                <w:rFonts w:ascii="Times New Roman" w:hAnsi="Times New Roman" w:cs="Times New Roman"/>
              </w:rPr>
              <w:t>E1=0.4， E2=0.2。</w:t>
            </w:r>
          </w:p>
          <w:p>
            <w:pPr>
              <w:pStyle w:val="2"/>
              <w:spacing w:after="0"/>
              <w:jc w:val="left"/>
              <w:rPr>
                <w:rFonts w:ascii="Times New Roman" w:hAnsi="Times New Roman" w:cs="Times New Roman"/>
              </w:rPr>
            </w:pPr>
            <w:r>
              <w:rPr>
                <w:rFonts w:ascii="Times New Roman" w:hAnsi="Times New Roman" w:cs="Times New Roman"/>
              </w:rPr>
              <w:t>（3）评标价得分最低为0分。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000" w:type="pct"/>
            <w:gridSpan w:val="6"/>
            <w:tcBorders>
              <w:tl2br w:val="nil"/>
              <w:tr2bl w:val="nil"/>
            </w:tcBorders>
            <w:vAlign w:val="center"/>
          </w:tcPr>
          <w:p>
            <w:pPr>
              <w:widowControl/>
              <w:jc w:val="left"/>
              <w:rPr>
                <w:rFonts w:ascii="Times New Roman" w:hAnsi="Times New Roman" w:cs="Times New Roman"/>
              </w:rPr>
            </w:pPr>
            <w:r>
              <w:rPr>
                <w:rFonts w:ascii="Times New Roman" w:hAnsi="Times New Roman" w:eastAsia="宋体" w:cs="Times New Roman"/>
                <w:b/>
                <w:bCs/>
                <w:color w:val="000000"/>
                <w:kern w:val="0"/>
                <w:sz w:val="22"/>
                <w:szCs w:val="22"/>
                <w:lang w:bidi="ar"/>
              </w:rPr>
              <w:t xml:space="preserve">需要补充的其他内容： </w:t>
            </w:r>
          </w:p>
          <w:p>
            <w:pPr>
              <w:pStyle w:val="2"/>
              <w:spacing w:after="0"/>
              <w:jc w:val="left"/>
              <w:rPr>
                <w:rFonts w:ascii="Times New Roman" w:hAnsi="Times New Roman" w:cs="Times New Roman"/>
              </w:rPr>
            </w:pPr>
            <w:r>
              <w:rPr>
                <w:rFonts w:ascii="Times New Roman" w:hAnsi="Times New Roman" w:cs="Times New Roman"/>
              </w:rPr>
              <w:t xml:space="preserve">（1）本办法没有列明的因素和标准不得作为评标的依据。 </w:t>
            </w:r>
          </w:p>
          <w:p>
            <w:pPr>
              <w:pStyle w:val="2"/>
              <w:spacing w:after="0"/>
              <w:jc w:val="left"/>
              <w:rPr>
                <w:rFonts w:ascii="Times New Roman" w:hAnsi="Times New Roman" w:cs="Times New Roman"/>
              </w:rPr>
            </w:pPr>
            <w:r>
              <w:rPr>
                <w:rFonts w:ascii="Times New Roman" w:hAnsi="Times New Roman" w:cs="Times New Roman"/>
              </w:rPr>
              <w:t xml:space="preserve">（2）各评分因素（技术能力、评标价、信用评价评分项除外）得分一般不低于其权重分值的 60%，且各评分因素得分应以评标委员会各成员的打分平均值确定，评标委员会成员对某一项评分因素的评分低于权重分值60%的，应在评标报告中作出说明。 </w:t>
            </w:r>
          </w:p>
          <w:p>
            <w:pPr>
              <w:pStyle w:val="2"/>
              <w:spacing w:after="0"/>
              <w:jc w:val="left"/>
              <w:rPr>
                <w:rFonts w:ascii="Times New Roman" w:hAnsi="Times New Roman" w:cs="Times New Roman"/>
              </w:rPr>
            </w:pPr>
            <w:r>
              <w:rPr>
                <w:rFonts w:ascii="Times New Roman" w:hAnsi="Times New Roman" w:cs="Times New Roman"/>
              </w:rPr>
              <w:t xml:space="preserve">（3）如投标人的评标价同时低于最高投标限价的80%和评标价平均值的85%时，应当启动澄清程序，评标委员会将要求该投标人作出书面说明并提供相应的证明材料。投标人不能合理说明或者不能提供相应证明材料的，评标委员会将认定该投标人以低于成本报价竞标，其投标将被否决。 </w:t>
            </w:r>
          </w:p>
          <w:p>
            <w:pPr>
              <w:pStyle w:val="2"/>
              <w:spacing w:after="0"/>
              <w:jc w:val="left"/>
              <w:rPr>
                <w:rFonts w:ascii="Times New Roman" w:hAnsi="Times New Roman" w:cs="Times New Roman"/>
              </w:rPr>
            </w:pPr>
            <w:r>
              <w:rPr>
                <w:rFonts w:ascii="Times New Roman" w:hAnsi="Times New Roman" w:cs="Times New Roman"/>
              </w:rPr>
              <w:t>（4）如投标人存在恶意低价竞标行为，招标人将其不良行为上报行业主管部门，作为不良记录纳入相关信用信息管理系统。</w:t>
            </w:r>
          </w:p>
        </w:tc>
      </w:tr>
    </w:tbl>
    <w:p>
      <w:pPr>
        <w:rPr>
          <w:rFonts w:ascii="Times New Roman" w:hAnsi="Times New Roman" w:cs="Times New Roman"/>
        </w:rPr>
      </w:pPr>
      <w:r>
        <w:rPr>
          <w:rFonts w:ascii="Times New Roman" w:hAnsi="Times New Roman" w:eastAsia="黑体" w:cs="Times New Roman"/>
          <w:sz w:val="29"/>
          <w:szCs w:val="29"/>
        </w:rPr>
        <w:br w:type="page"/>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评审方法</w:t>
      </w:r>
    </w:p>
    <w:p>
      <w:pPr>
        <w:spacing w:line="440" w:lineRule="exact"/>
        <w:ind w:firstLine="420"/>
        <w:rPr>
          <w:rFonts w:ascii="Times New Roman" w:hAnsi="Times New Roman" w:cs="Times New Roman"/>
        </w:rPr>
      </w:pPr>
      <w:r>
        <w:rPr>
          <w:rFonts w:ascii="Times New Roman" w:hAnsi="Times New Roman" w:cs="Times New Roman"/>
        </w:rPr>
        <w:t>本次评审采用综合评分法。评审小组对满足询比文件实质性要求的响应文件按照本章第2.2款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cs="Times New Roman"/>
        </w:rPr>
      </w:pPr>
      <w:r>
        <w:rPr>
          <w:rFonts w:ascii="Times New Roman" w:hAnsi="Times New Roman" w:cs="Times New Roman"/>
        </w:rPr>
        <w:t>2.1.1 形式评审标准：见评审办法前附表。</w:t>
      </w:r>
    </w:p>
    <w:p>
      <w:pPr>
        <w:spacing w:line="440" w:lineRule="exact"/>
        <w:ind w:firstLine="420"/>
        <w:rPr>
          <w:rFonts w:ascii="Times New Roman" w:hAnsi="Times New Roman" w:cs="Times New Roman"/>
        </w:rPr>
      </w:pPr>
      <w:r>
        <w:rPr>
          <w:rFonts w:ascii="Times New Roman" w:hAnsi="Times New Roman" w:cs="Times New Roman"/>
        </w:rPr>
        <w:t>2.1.2 资格评审标准：见评审办法前附表。</w:t>
      </w:r>
    </w:p>
    <w:p>
      <w:pPr>
        <w:spacing w:line="440" w:lineRule="exact"/>
        <w:ind w:firstLine="420"/>
        <w:rPr>
          <w:rFonts w:ascii="Times New Roman" w:hAnsi="Times New Roman" w:cs="Times New Roman"/>
        </w:rPr>
      </w:pPr>
      <w:r>
        <w:rPr>
          <w:rFonts w:ascii="Times New Roman" w:hAnsi="Times New Roman"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cs="Times New Roman"/>
        </w:rPr>
      </w:pPr>
      <w:r>
        <w:rPr>
          <w:rFonts w:ascii="Times New Roman" w:hAnsi="Times New Roman" w:cs="Times New Roman"/>
        </w:rPr>
        <w:t>2.2.1分值构成：</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投标人业绩</w:t>
      </w:r>
      <w:r>
        <w:rPr>
          <w:rFonts w:ascii="Times New Roman" w:hAnsi="Times New Roman" w:cs="Times New Roman"/>
        </w:rPr>
        <w:t>：见评审办法前附表；</w:t>
      </w:r>
    </w:p>
    <w:p>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2</w:t>
      </w:r>
      <w:r>
        <w:rPr>
          <w:rFonts w:ascii="Times New Roman" w:hAnsi="Times New Roman" w:cs="Times New Roman"/>
        </w:rPr>
        <w:t>）</w:t>
      </w:r>
      <w:r>
        <w:rPr>
          <w:rFonts w:hint="eastAsia" w:ascii="Times New Roman" w:hAnsi="Times New Roman" w:cs="Times New Roman"/>
        </w:rPr>
        <w:t>技术方案</w:t>
      </w:r>
      <w:r>
        <w:rPr>
          <w:rFonts w:ascii="Times New Roman" w:hAnsi="Times New Roman" w:cs="Times New Roman"/>
        </w:rPr>
        <w:t>：见评审办法前附表；</w:t>
      </w:r>
    </w:p>
    <w:p>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3</w:t>
      </w:r>
      <w:r>
        <w:rPr>
          <w:rFonts w:ascii="Times New Roman" w:hAnsi="Times New Roman" w:cs="Times New Roman"/>
        </w:rPr>
        <w:t>）评</w:t>
      </w:r>
      <w:r>
        <w:rPr>
          <w:rFonts w:hint="eastAsia" w:ascii="Times New Roman" w:hAnsi="Times New Roman" w:cs="Times New Roman"/>
        </w:rPr>
        <w:t>标</w:t>
      </w:r>
      <w:r>
        <w:rPr>
          <w:rFonts w:ascii="Times New Roman" w:hAnsi="Times New Roman" w:cs="Times New Roman"/>
        </w:rPr>
        <w:t>价：见评审办法前附表。</w:t>
      </w:r>
    </w:p>
    <w:p>
      <w:pPr>
        <w:spacing w:line="440" w:lineRule="exact"/>
        <w:ind w:firstLine="420"/>
        <w:rPr>
          <w:rFonts w:ascii="Times New Roman" w:hAnsi="Times New Roman" w:cs="Times New Roman"/>
        </w:rPr>
      </w:pPr>
      <w:r>
        <w:rPr>
          <w:rFonts w:ascii="Times New Roman" w:hAnsi="Times New Roman" w:cs="Times New Roman"/>
        </w:rPr>
        <w:t>2.2.2 评审基准价计算</w:t>
      </w:r>
    </w:p>
    <w:p>
      <w:pPr>
        <w:spacing w:line="440" w:lineRule="exact"/>
        <w:ind w:firstLine="420"/>
        <w:rPr>
          <w:rFonts w:ascii="Times New Roman" w:hAnsi="Times New Roman" w:cs="Times New Roman"/>
        </w:rPr>
      </w:pPr>
      <w:r>
        <w:rPr>
          <w:rFonts w:ascii="Times New Roman" w:hAnsi="Times New Roman" w:cs="Times New Roman"/>
        </w:rPr>
        <w:t>评审基准价计算方法：见评审办法前附表。</w:t>
      </w:r>
    </w:p>
    <w:p>
      <w:pPr>
        <w:spacing w:line="440" w:lineRule="exact"/>
        <w:ind w:firstLine="420"/>
        <w:rPr>
          <w:rFonts w:ascii="Times New Roman" w:hAnsi="Times New Roman" w:cs="Times New Roman"/>
        </w:rPr>
      </w:pPr>
      <w:r>
        <w:rPr>
          <w:rFonts w:ascii="Times New Roman" w:hAnsi="Times New Roman" w:cs="Times New Roman"/>
        </w:rPr>
        <w:t>2.2.3 评</w:t>
      </w:r>
      <w:r>
        <w:rPr>
          <w:rFonts w:hint="eastAsia" w:ascii="Times New Roman" w:hAnsi="Times New Roman" w:cs="Times New Roman"/>
        </w:rPr>
        <w:t>标</w:t>
      </w:r>
      <w:r>
        <w:rPr>
          <w:rFonts w:ascii="Times New Roman" w:hAnsi="Times New Roman" w:cs="Times New Roman"/>
        </w:rPr>
        <w:t>价的偏差率计算</w:t>
      </w:r>
    </w:p>
    <w:p>
      <w:pPr>
        <w:spacing w:line="440" w:lineRule="exact"/>
        <w:ind w:firstLine="420"/>
        <w:rPr>
          <w:rFonts w:ascii="Times New Roman" w:hAnsi="Times New Roman" w:cs="Times New Roman"/>
        </w:rPr>
      </w:pPr>
      <w:r>
        <w:rPr>
          <w:rFonts w:ascii="Times New Roman" w:hAnsi="Times New Roman" w:cs="Times New Roman"/>
        </w:rPr>
        <w:t>评</w:t>
      </w:r>
      <w:r>
        <w:rPr>
          <w:rFonts w:hint="eastAsia" w:ascii="Times New Roman" w:hAnsi="Times New Roman" w:cs="Times New Roman"/>
        </w:rPr>
        <w:t>标</w:t>
      </w:r>
      <w:r>
        <w:rPr>
          <w:rFonts w:ascii="Times New Roman" w:hAnsi="Times New Roman" w:cs="Times New Roman"/>
        </w:rPr>
        <w:t>价的偏差率计算公式：见评审办法前附表。</w:t>
      </w:r>
    </w:p>
    <w:p>
      <w:pPr>
        <w:spacing w:line="440" w:lineRule="exact"/>
        <w:ind w:firstLine="420"/>
        <w:rPr>
          <w:rFonts w:ascii="Times New Roman" w:hAnsi="Times New Roman" w:cs="Times New Roman"/>
        </w:rPr>
      </w:pPr>
      <w:r>
        <w:rPr>
          <w:rFonts w:ascii="Times New Roman" w:hAnsi="Times New Roman" w:cs="Times New Roman"/>
        </w:rPr>
        <w:t>2.2.4评分标准：</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投标人业绩</w:t>
      </w:r>
      <w:r>
        <w:rPr>
          <w:rFonts w:ascii="Times New Roman" w:hAnsi="Times New Roman" w:cs="Times New Roman"/>
        </w:rPr>
        <w:t>评分标准：见评审办法前附表；</w:t>
      </w:r>
    </w:p>
    <w:p>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2</w:t>
      </w:r>
      <w:r>
        <w:rPr>
          <w:rFonts w:ascii="Times New Roman" w:hAnsi="Times New Roman" w:cs="Times New Roman"/>
        </w:rPr>
        <w:t>）</w:t>
      </w:r>
      <w:r>
        <w:rPr>
          <w:rFonts w:hint="eastAsia" w:ascii="Times New Roman" w:hAnsi="Times New Roman" w:cs="Times New Roman"/>
        </w:rPr>
        <w:t>技术方案</w:t>
      </w:r>
      <w:r>
        <w:rPr>
          <w:rFonts w:ascii="Times New Roman" w:hAnsi="Times New Roman" w:cs="Times New Roman"/>
        </w:rPr>
        <w:t>评分标准：见评审办法前附表；</w:t>
      </w:r>
    </w:p>
    <w:p>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3</w:t>
      </w:r>
      <w:r>
        <w:rPr>
          <w:rFonts w:ascii="Times New Roman" w:hAnsi="Times New Roman" w:cs="Times New Roman"/>
        </w:rPr>
        <w:t>）评</w:t>
      </w:r>
      <w:r>
        <w:rPr>
          <w:rFonts w:hint="eastAsia" w:ascii="Times New Roman" w:hAnsi="Times New Roman" w:cs="Times New Roman"/>
        </w:rPr>
        <w:t>标</w:t>
      </w:r>
      <w:r>
        <w:rPr>
          <w:rFonts w:ascii="Times New Roman" w:hAnsi="Times New Roman" w:cs="Times New Roman"/>
        </w:rPr>
        <w:t>价评分标准：见评审办法前附表。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cs="Times New Roman"/>
        </w:rPr>
      </w:pPr>
      <w:r>
        <w:rPr>
          <w:rFonts w:ascii="Times New Roman" w:hAnsi="Times New Roman" w:cs="Times New Roman"/>
        </w:rPr>
        <w:t>3.1.1评审小组依据本章第2.1.1项、第2.1.2项、第2.1.3项规定的标准对响应文件进行评审。有一项不符合评审标准的，评审小组应否决其响应文件。</w:t>
      </w:r>
    </w:p>
    <w:p>
      <w:pPr>
        <w:spacing w:line="440" w:lineRule="exact"/>
        <w:ind w:firstLine="420"/>
        <w:rPr>
          <w:rFonts w:ascii="Times New Roman" w:hAnsi="Times New Roman" w:cs="Times New Roman"/>
        </w:rPr>
      </w:pPr>
      <w:r>
        <w:rPr>
          <w:rFonts w:ascii="Times New Roman" w:hAnsi="Times New Roman" w:cs="Times New Roman"/>
        </w:rPr>
        <w:t>3.1.2 响应文件中填报的报价、工期、工程质量标准前后不一致，且报价函中填写的内容满足询比文件要求时，按细微偏差处理，并以报价函填报的为准。</w:t>
      </w:r>
    </w:p>
    <w:p>
      <w:pPr>
        <w:spacing w:line="440" w:lineRule="exact"/>
        <w:ind w:firstLine="420"/>
        <w:rPr>
          <w:rFonts w:ascii="Times New Roman" w:hAnsi="Times New Roman" w:cs="Times New Roman"/>
        </w:rPr>
      </w:pPr>
      <w:r>
        <w:rPr>
          <w:rFonts w:ascii="Times New Roman" w:hAnsi="Times New Roman" w:cs="Times New Roman"/>
        </w:rPr>
        <w:t>3.1.3报价存在以下细微偏差的，评审小组按以上原则对报价进行处理，并要求供应商书面澄清确认，供应商拒不澄清确认的，评审小组应当否决其报价。</w:t>
      </w:r>
    </w:p>
    <w:p>
      <w:pPr>
        <w:spacing w:line="440" w:lineRule="exact"/>
        <w:ind w:firstLine="420"/>
        <w:rPr>
          <w:rFonts w:ascii="Times New Roman" w:hAnsi="Times New Roman" w:cs="Times New Roman"/>
        </w:rPr>
      </w:pPr>
      <w:r>
        <w:rPr>
          <w:rFonts w:ascii="Times New Roman" w:hAnsi="Times New Roman" w:cs="Times New Roman"/>
        </w:rPr>
        <w:t>（1）报价有算术错误的，评审小组按以下原则对报价进行修正，修正的价格经供应商书面确认后具有约束力。供应商不接受修正价格的，评审小组应否决其报价。</w:t>
      </w:r>
    </w:p>
    <w:p>
      <w:pPr>
        <w:spacing w:line="440" w:lineRule="exact"/>
        <w:ind w:firstLine="420"/>
        <w:rPr>
          <w:rFonts w:ascii="Times New Roman" w:hAnsi="Times New Roman" w:cs="Times New Roman"/>
        </w:rPr>
      </w:pPr>
      <w:r>
        <w:rPr>
          <w:rFonts w:ascii="Times New Roman" w:hAnsi="Times New Roman" w:cs="Times New Roman"/>
        </w:rPr>
        <w:t>①响应文件中的大写金额与小写金额不一致的，以大写金额为准；</w:t>
      </w:r>
    </w:p>
    <w:p>
      <w:pPr>
        <w:spacing w:line="440" w:lineRule="exact"/>
        <w:ind w:firstLine="420"/>
        <w:rPr>
          <w:rFonts w:ascii="Times New Roman" w:hAnsi="Times New Roman" w:cs="Times New Roman"/>
        </w:rPr>
      </w:pPr>
      <w:r>
        <w:rPr>
          <w:rFonts w:ascii="Times New Roman" w:hAnsi="Times New Roman" w:cs="Times New Roman"/>
        </w:rPr>
        <w:t>②总价金额与依据单价计算出的结果不一致的，以单价金额为准修正总价，但单价金额小数点有明显错误的除外；</w:t>
      </w:r>
    </w:p>
    <w:p>
      <w:pPr>
        <w:spacing w:line="440" w:lineRule="exact"/>
        <w:ind w:firstLine="420"/>
        <w:rPr>
          <w:rFonts w:ascii="Times New Roman" w:hAnsi="Times New Roman" w:cs="Times New Roman"/>
        </w:rPr>
      </w:pPr>
      <w:r>
        <w:rPr>
          <w:rFonts w:ascii="Times New Roman" w:hAnsi="Times New Roman" w:cs="Times New Roman"/>
        </w:rPr>
        <w:t>③当单价与数量相乘不等于合价时，以单价计算为准，如果单价有明显的小数点位置差错，应以标出的合价为准，同时对单价予以修正；</w:t>
      </w:r>
    </w:p>
    <w:p>
      <w:pPr>
        <w:spacing w:line="440" w:lineRule="exact"/>
        <w:ind w:firstLine="420"/>
        <w:rPr>
          <w:rFonts w:ascii="Times New Roman" w:hAnsi="Times New Roman" w:cs="Times New Roman"/>
        </w:rPr>
      </w:pPr>
      <w:r>
        <w:rPr>
          <w:rFonts w:ascii="Times New Roman" w:hAnsi="Times New Roman" w:cs="Times New Roman"/>
        </w:rPr>
        <w:t>④当各子目的合价累计不等于总价时，应以各子目合价累计数为准，修正总价。</w:t>
      </w:r>
    </w:p>
    <w:p>
      <w:pPr>
        <w:spacing w:line="440" w:lineRule="exact"/>
        <w:ind w:firstLine="420"/>
        <w:rPr>
          <w:rFonts w:ascii="Times New Roman" w:hAnsi="Times New Roman" w:cs="Times New Roman"/>
        </w:rPr>
      </w:pPr>
      <w:r>
        <w:rPr>
          <w:rFonts w:ascii="Times New Roman" w:hAnsi="Times New Roman" w:cs="Times New Roman"/>
        </w:rPr>
        <w:t>（2）工程量清单中的报价有其他错误的，评审小组按以下原则对报价进行修正，修正的价格经供应商书面确认后具有约束力。供应商不接受修正价格的，评审小组应否决其报价。</w:t>
      </w:r>
    </w:p>
    <w:p>
      <w:pPr>
        <w:spacing w:line="440" w:lineRule="exact"/>
        <w:ind w:firstLine="420"/>
        <w:rPr>
          <w:rFonts w:ascii="Times New Roman" w:hAnsi="Times New Roman" w:cs="Times New Roman"/>
        </w:rPr>
      </w:pPr>
      <w:r>
        <w:rPr>
          <w:rFonts w:ascii="Times New Roman" w:hAnsi="Times New Roman" w:cs="Times New Roman"/>
        </w:rPr>
        <w:t>①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440" w:lineRule="exact"/>
        <w:ind w:firstLine="420"/>
        <w:rPr>
          <w:rFonts w:ascii="Times New Roman" w:hAnsi="Times New Roman" w:cs="Times New Roman"/>
        </w:rPr>
      </w:pPr>
      <w:r>
        <w:rPr>
          <w:rFonts w:ascii="Times New Roman" w:hAnsi="Times New Roman" w:cs="Times New Roman"/>
        </w:rPr>
        <w:t>②在采购人给定的工程量清单中多报了某个工程子目的单价、合价或总额价，或所报单价、合价或总额价增加了报价范围，则从报价中扣除多报的工程子目报价或工程子目报价中增加了报价范围的部分报价。</w:t>
      </w:r>
    </w:p>
    <w:p>
      <w:pPr>
        <w:spacing w:line="440" w:lineRule="exact"/>
        <w:ind w:firstLine="420"/>
        <w:rPr>
          <w:rFonts w:ascii="Times New Roman" w:hAnsi="Times New Roman" w:cs="Times New Roman"/>
        </w:rPr>
      </w:pPr>
      <w:r>
        <w:rPr>
          <w:rFonts w:ascii="Times New Roman" w:hAnsi="Times New Roman" w:cs="Times New Roman"/>
        </w:rPr>
        <w:t>③当单价与数量的乘积与合价（金额）虽然一致，但供应商修改了该子目的工程数量，则其合价按采购人给定的工程数量乘以供应商所报单价予以修正。</w:t>
      </w:r>
    </w:p>
    <w:p>
      <w:pPr>
        <w:spacing w:line="440" w:lineRule="exact"/>
        <w:ind w:firstLine="420"/>
        <w:rPr>
          <w:rFonts w:ascii="Times New Roman" w:hAnsi="Times New Roman" w:cs="Times New Roman"/>
        </w:rPr>
      </w:pPr>
      <w:r>
        <w:rPr>
          <w:rFonts w:ascii="Times New Roman" w:hAnsi="Times New Roman" w:cs="Times New Roman"/>
        </w:rPr>
        <w:t>④当各子目的合价累计不等于总价时，应以各子目合价累计数为准，修正总价。</w:t>
      </w:r>
    </w:p>
    <w:p>
      <w:pPr>
        <w:spacing w:line="440" w:lineRule="exact"/>
        <w:ind w:firstLine="420"/>
        <w:rPr>
          <w:rFonts w:ascii="Times New Roman" w:hAnsi="Times New Roman" w:cs="Times New Roman"/>
        </w:rPr>
      </w:pPr>
      <w:r>
        <w:rPr>
          <w:rFonts w:ascii="Times New Roman" w:hAnsi="Times New Roman" w:cs="Times New Roman"/>
        </w:rPr>
        <w:t>3.1.4 修正后的最终报价若超过最高限价（如有），评审小组应否决其报价。</w:t>
      </w:r>
    </w:p>
    <w:p>
      <w:pPr>
        <w:spacing w:line="440" w:lineRule="exact"/>
        <w:ind w:firstLine="420"/>
        <w:rPr>
          <w:rFonts w:ascii="Times New Roman" w:hAnsi="Times New Roman" w:cs="Times New Roman"/>
        </w:rPr>
      </w:pPr>
      <w:r>
        <w:rPr>
          <w:rFonts w:ascii="Times New Roman" w:hAnsi="Times New Roman" w:cs="Times New Roman"/>
        </w:rPr>
        <w:t xml:space="preserve">3.1.5 </w:t>
      </w:r>
      <w:r>
        <w:rPr>
          <w:rFonts w:ascii="Times New Roman" w:hAnsi="Times New Roman" w:cs="Times New Roman"/>
          <w:szCs w:val="21"/>
        </w:rPr>
        <w:t>修正后的</w:t>
      </w:r>
      <w:r>
        <w:rPr>
          <w:rFonts w:ascii="Times New Roman" w:hAnsi="Times New Roman" w:cs="Times New Roman"/>
        </w:rPr>
        <w:t>最终报价参与评</w:t>
      </w:r>
      <w:r>
        <w:rPr>
          <w:rFonts w:hint="eastAsia" w:ascii="Times New Roman" w:hAnsi="Times New Roman" w:cs="Times New Roman"/>
        </w:rPr>
        <w:t>标</w:t>
      </w:r>
      <w:r>
        <w:rPr>
          <w:rFonts w:ascii="Times New Roman" w:hAnsi="Times New Roman" w:cs="Times New Roman"/>
        </w:rPr>
        <w:t>价得分的计算，并作为签订合同的依据。</w:t>
      </w:r>
    </w:p>
    <w:p>
      <w:pPr>
        <w:keepNext/>
        <w:keepLines/>
        <w:spacing w:before="120" w:after="120"/>
        <w:outlineLvl w:val="2"/>
        <w:rPr>
          <w:rFonts w:ascii="Times New Roman" w:hAnsi="Times New Roman"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cs="Times New Roman"/>
        </w:rPr>
      </w:pPr>
      <w:r>
        <w:rPr>
          <w:rFonts w:ascii="Times New Roman" w:hAnsi="Times New Roman" w:cs="Times New Roman"/>
        </w:rPr>
        <w:t>3.2.1 评审小组按本章第2.2款规定的量化因素和分值进行打分，并计算出综合评估得分。</w:t>
      </w:r>
    </w:p>
    <w:p>
      <w:pPr>
        <w:spacing w:line="440" w:lineRule="exact"/>
        <w:ind w:firstLine="420"/>
        <w:rPr>
          <w:rFonts w:ascii="Times New Roman" w:hAnsi="Times New Roman" w:cs="Times New Roman"/>
        </w:rPr>
      </w:pPr>
      <w:r>
        <w:rPr>
          <w:rFonts w:ascii="Times New Roman" w:hAnsi="Times New Roman" w:cs="Times New Roman"/>
        </w:rPr>
        <w:t>（1）按本章第2.2.4(1)目规定的评审因素和分值对</w:t>
      </w:r>
      <w:r>
        <w:rPr>
          <w:rFonts w:hint="eastAsia" w:ascii="Times New Roman" w:hAnsi="Times New Roman" w:cs="Times New Roman"/>
        </w:rPr>
        <w:t>投标人业绩</w:t>
      </w:r>
      <w:r>
        <w:rPr>
          <w:rFonts w:ascii="Times New Roman" w:hAnsi="Times New Roman" w:cs="Times New Roman"/>
        </w:rPr>
        <w:t>计算出得分I；</w:t>
      </w:r>
    </w:p>
    <w:p>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2</w:t>
      </w:r>
      <w:r>
        <w:rPr>
          <w:rFonts w:ascii="Times New Roman" w:hAnsi="Times New Roman" w:cs="Times New Roman"/>
        </w:rPr>
        <w:t>）按本章第2.2.4(</w:t>
      </w:r>
      <w:r>
        <w:rPr>
          <w:rFonts w:hint="eastAsia" w:ascii="Times New Roman" w:hAnsi="Times New Roman" w:cs="Times New Roman"/>
        </w:rPr>
        <w:t>2</w:t>
      </w:r>
      <w:r>
        <w:rPr>
          <w:rFonts w:ascii="Times New Roman" w:hAnsi="Times New Roman" w:cs="Times New Roman"/>
        </w:rPr>
        <w:t>)目规定的评审因素和分值对</w:t>
      </w:r>
      <w:r>
        <w:rPr>
          <w:rFonts w:hint="eastAsia" w:ascii="Times New Roman" w:hAnsi="Times New Roman" w:cs="Times New Roman"/>
        </w:rPr>
        <w:t>技术方案</w:t>
      </w:r>
      <w:r>
        <w:rPr>
          <w:rFonts w:ascii="Times New Roman" w:hAnsi="Times New Roman" w:cs="Times New Roman"/>
        </w:rPr>
        <w:t>计算出得分</w:t>
      </w:r>
      <w:r>
        <w:rPr>
          <w:rFonts w:hint="eastAsia" w:ascii="Times New Roman" w:hAnsi="Times New Roman" w:cs="Times New Roman"/>
        </w:rPr>
        <w:t>II</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3</w:t>
      </w:r>
      <w:r>
        <w:rPr>
          <w:rFonts w:ascii="Times New Roman" w:hAnsi="Times New Roman" w:cs="Times New Roman"/>
        </w:rPr>
        <w:t>）按本章第2.2.4(</w:t>
      </w:r>
      <w:r>
        <w:rPr>
          <w:rFonts w:hint="eastAsia" w:ascii="Times New Roman" w:hAnsi="Times New Roman" w:cs="Times New Roman"/>
        </w:rPr>
        <w:t>3</w:t>
      </w:r>
      <w:r>
        <w:rPr>
          <w:rFonts w:ascii="Times New Roman" w:hAnsi="Times New Roman" w:cs="Times New Roman"/>
        </w:rPr>
        <w:t>)目规定的评审因素和分值对评</w:t>
      </w:r>
      <w:r>
        <w:rPr>
          <w:rFonts w:hint="eastAsia" w:ascii="Times New Roman" w:hAnsi="Times New Roman" w:cs="Times New Roman"/>
        </w:rPr>
        <w:t>标</w:t>
      </w:r>
      <w:r>
        <w:rPr>
          <w:rFonts w:ascii="Times New Roman" w:hAnsi="Times New Roman" w:cs="Times New Roman"/>
        </w:rPr>
        <w:t>价计算出得分</w:t>
      </w:r>
      <w:r>
        <w:rPr>
          <w:rFonts w:hint="eastAsia" w:ascii="Times New Roman" w:hAnsi="Times New Roman" w:cs="Times New Roman"/>
        </w:rPr>
        <w:t>III</w:t>
      </w:r>
      <w:r>
        <w:rPr>
          <w:rFonts w:ascii="Times New Roman" w:hAnsi="Times New Roman" w:cs="Times New Roman"/>
        </w:rPr>
        <w:t>。</w:t>
      </w:r>
    </w:p>
    <w:p>
      <w:pPr>
        <w:spacing w:line="400" w:lineRule="exact"/>
        <w:ind w:firstLine="420" w:firstLineChars="200"/>
        <w:rPr>
          <w:rFonts w:ascii="Times New Roman" w:hAnsi="Times New Roman" w:cs="Times New Roman"/>
        </w:rPr>
      </w:pPr>
      <w:r>
        <w:rPr>
          <w:rFonts w:ascii="Times New Roman" w:hAnsi="Times New Roman" w:cs="Times New Roman"/>
        </w:rPr>
        <w:t>3.2.2 评分分值计算保留小数点后两位，小数点后第三位“四舍五入”。</w:t>
      </w:r>
    </w:p>
    <w:p>
      <w:pPr>
        <w:spacing w:line="400" w:lineRule="exact"/>
        <w:ind w:firstLine="420" w:firstLineChars="200"/>
        <w:rPr>
          <w:rFonts w:ascii="Times New Roman" w:hAnsi="Times New Roman" w:cs="Times New Roman"/>
        </w:rPr>
      </w:pPr>
      <w:r>
        <w:rPr>
          <w:rFonts w:ascii="Times New Roman" w:hAnsi="Times New Roman" w:cs="Times New Roman"/>
        </w:rPr>
        <w:t>3.2.3 评审小组成员对供应商综合评分=I+II+III，供应商最终得分为各评审小组成员评分的算数平均值。</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 否决响应文件的其他情形</w:t>
      </w:r>
    </w:p>
    <w:p>
      <w:pPr>
        <w:spacing w:line="440" w:lineRule="exact"/>
        <w:ind w:firstLine="420"/>
        <w:rPr>
          <w:rFonts w:ascii="Times New Roman" w:hAnsi="Times New Roman" w:cs="Times New Roman"/>
        </w:rPr>
      </w:pPr>
      <w:r>
        <w:rPr>
          <w:rFonts w:ascii="Times New Roman" w:hAnsi="Times New Roman" w:cs="Times New Roman"/>
        </w:rPr>
        <w:t>对在评审过程中发现供应商存在串通报价、弄虚作假、行贿等违法行为的，评审小组应否决其响应文件。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cs="Times New Roman"/>
        </w:rPr>
      </w:pPr>
      <w:r>
        <w:rPr>
          <w:rFonts w:ascii="Times New Roman" w:hAnsi="Times New Roman" w:cs="Times New Roman"/>
        </w:rPr>
        <w:t>3.4.1 在评审过程中，评审小组可以书面形式要求供应商对响应文件中含义不明确、对同类问题表述不一致或者有明显文字错误的内容做必要的澄清。评审小组不接受供应商主动提出的澄清。</w:t>
      </w:r>
    </w:p>
    <w:p>
      <w:pPr>
        <w:spacing w:line="440" w:lineRule="exact"/>
        <w:ind w:firstLine="420"/>
        <w:rPr>
          <w:rFonts w:ascii="Times New Roman" w:hAnsi="Times New Roman" w:cs="Times New Roman"/>
          <w:strike/>
        </w:rPr>
      </w:pPr>
      <w:r>
        <w:rPr>
          <w:rFonts w:ascii="Times New Roman" w:hAnsi="Times New Roman"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3.5 评审结果</w:t>
      </w:r>
    </w:p>
    <w:p>
      <w:pPr>
        <w:spacing w:line="440" w:lineRule="exact"/>
        <w:ind w:firstLine="420"/>
        <w:rPr>
          <w:rFonts w:ascii="Times New Roman" w:hAnsi="Times New Roman" w:cs="Times New Roman"/>
        </w:rPr>
      </w:pPr>
      <w:r>
        <w:rPr>
          <w:rFonts w:ascii="Times New Roman" w:hAnsi="Times New Roman" w:cs="Times New Roman"/>
        </w:rPr>
        <w:t>评审小组完成评审后，应当向采购人提交评审报告。评审报告应当如实记载以下内容：</w:t>
      </w:r>
    </w:p>
    <w:p>
      <w:pPr>
        <w:spacing w:line="440" w:lineRule="exact"/>
        <w:ind w:firstLine="420"/>
        <w:rPr>
          <w:rFonts w:ascii="Times New Roman" w:hAnsi="Times New Roman" w:cs="Times New Roman"/>
        </w:rPr>
      </w:pPr>
      <w:r>
        <w:rPr>
          <w:rFonts w:ascii="Times New Roman" w:hAnsi="Times New Roman" w:cs="Times New Roman"/>
        </w:rPr>
        <w:t>（一）采购项目基本情况</w:t>
      </w:r>
    </w:p>
    <w:p>
      <w:pPr>
        <w:spacing w:line="440" w:lineRule="exact"/>
        <w:ind w:firstLine="420"/>
        <w:rPr>
          <w:rFonts w:ascii="Times New Roman" w:hAnsi="Times New Roman" w:cs="Times New Roman"/>
        </w:rPr>
      </w:pPr>
      <w:r>
        <w:rPr>
          <w:rFonts w:ascii="Times New Roman" w:hAnsi="Times New Roman" w:cs="Times New Roman"/>
        </w:rPr>
        <w:t>（二）采购过程回顾</w:t>
      </w:r>
    </w:p>
    <w:p>
      <w:pPr>
        <w:spacing w:line="440" w:lineRule="exact"/>
        <w:ind w:firstLine="420"/>
        <w:rPr>
          <w:rFonts w:ascii="Times New Roman" w:hAnsi="Times New Roman" w:cs="Times New Roman"/>
        </w:rPr>
      </w:pPr>
      <w:r>
        <w:rPr>
          <w:rFonts w:ascii="Times New Roman" w:hAnsi="Times New Roman" w:cs="Times New Roman"/>
        </w:rPr>
        <w:t>（三）评审小组成员名单</w:t>
      </w:r>
    </w:p>
    <w:p>
      <w:pPr>
        <w:spacing w:line="440" w:lineRule="exact"/>
        <w:ind w:firstLine="420"/>
        <w:rPr>
          <w:rFonts w:ascii="Times New Roman" w:hAnsi="Times New Roman" w:cs="Times New Roman"/>
        </w:rPr>
      </w:pPr>
      <w:r>
        <w:rPr>
          <w:rFonts w:ascii="Times New Roman" w:hAnsi="Times New Roman" w:cs="Times New Roman"/>
        </w:rPr>
        <w:t>（四）询比评审工作</w:t>
      </w:r>
    </w:p>
    <w:p>
      <w:pPr>
        <w:spacing w:line="440" w:lineRule="exact"/>
        <w:ind w:firstLine="420"/>
        <w:rPr>
          <w:rFonts w:ascii="Times New Roman" w:hAnsi="Times New Roman" w:cs="Times New Roman"/>
        </w:rPr>
      </w:pPr>
      <w:r>
        <w:rPr>
          <w:rFonts w:ascii="Times New Roman" w:hAnsi="Times New Roman" w:cs="Times New Roman"/>
        </w:rPr>
        <w:t>1、评审办法</w:t>
      </w:r>
    </w:p>
    <w:p>
      <w:pPr>
        <w:spacing w:line="440" w:lineRule="exact"/>
        <w:ind w:firstLine="420"/>
        <w:rPr>
          <w:rFonts w:ascii="Times New Roman" w:hAnsi="Times New Roman" w:cs="Times New Roman"/>
        </w:rPr>
      </w:pPr>
      <w:r>
        <w:rPr>
          <w:rFonts w:ascii="Times New Roman" w:hAnsi="Times New Roman" w:cs="Times New Roman"/>
        </w:rPr>
        <w:t>2、初步评审情况（资格审查、形式性审查、响应性审查）</w:t>
      </w:r>
    </w:p>
    <w:p>
      <w:pPr>
        <w:spacing w:line="440" w:lineRule="exact"/>
        <w:ind w:firstLine="420"/>
        <w:rPr>
          <w:rFonts w:ascii="Times New Roman" w:hAnsi="Times New Roman" w:cs="Times New Roman"/>
        </w:rPr>
      </w:pPr>
      <w:r>
        <w:rPr>
          <w:rFonts w:ascii="Times New Roman" w:hAnsi="Times New Roman" w:cs="Times New Roman"/>
        </w:rPr>
        <w:t>3、详细评审情况（供应商的综合评分情况）</w:t>
      </w:r>
    </w:p>
    <w:p>
      <w:pPr>
        <w:spacing w:line="440" w:lineRule="exact"/>
        <w:ind w:firstLine="420"/>
        <w:rPr>
          <w:rFonts w:ascii="Times New Roman" w:hAnsi="Times New Roman" w:cs="Times New Roman"/>
        </w:rPr>
      </w:pPr>
      <w:r>
        <w:rPr>
          <w:rFonts w:ascii="Times New Roman" w:hAnsi="Times New Roman" w:cs="Times New Roman"/>
        </w:rPr>
        <w:t>4、否决的供应商名单以及否决理由（如有）</w:t>
      </w:r>
    </w:p>
    <w:p>
      <w:pPr>
        <w:spacing w:line="440" w:lineRule="exact"/>
        <w:ind w:firstLine="420"/>
        <w:rPr>
          <w:rFonts w:ascii="Times New Roman" w:hAnsi="Times New Roman" w:cs="Times New Roman"/>
        </w:rPr>
      </w:pPr>
      <w:r>
        <w:rPr>
          <w:rFonts w:ascii="Times New Roman" w:hAnsi="Times New Roman" w:cs="Times New Roman"/>
        </w:rPr>
        <w:t>5、推荐候选供应商排序</w:t>
      </w:r>
    </w:p>
    <w:p>
      <w:pPr>
        <w:spacing w:line="440" w:lineRule="exact"/>
        <w:ind w:firstLine="420"/>
        <w:rPr>
          <w:rFonts w:ascii="Times New Roman" w:hAnsi="Times New Roman" w:cs="Times New Roman"/>
        </w:rPr>
      </w:pPr>
      <w:r>
        <w:rPr>
          <w:rFonts w:ascii="Times New Roman" w:hAnsi="Times New Roman" w:cs="Times New Roman"/>
        </w:rPr>
        <w:t>（五）需要说明的其他事项</w:t>
      </w:r>
    </w:p>
    <w:p>
      <w:pPr>
        <w:spacing w:line="440" w:lineRule="exact"/>
        <w:ind w:firstLine="420"/>
        <w:rPr>
          <w:rFonts w:ascii="Times New Roman" w:hAnsi="Times New Roman" w:cs="Times New Roman"/>
        </w:rPr>
      </w:pPr>
      <w:r>
        <w:rPr>
          <w:rFonts w:ascii="Times New Roman" w:hAnsi="Times New Roman" w:cs="Times New Roman"/>
        </w:rPr>
        <w:t>（六）评审附表</w:t>
      </w:r>
    </w:p>
    <w:p>
      <w:pPr>
        <w:spacing w:line="440" w:lineRule="exact"/>
        <w:ind w:firstLine="420"/>
        <w:rPr>
          <w:rFonts w:ascii="Times New Roman" w:hAnsi="Times New Roman" w:cs="Times New Roman"/>
        </w:rPr>
      </w:pPr>
      <w:r>
        <w:rPr>
          <w:rFonts w:ascii="Times New Roman" w:hAnsi="Times New Roman" w:cs="Times New Roman"/>
        </w:rPr>
        <w:t>1、响应文件开启记录表</w:t>
      </w:r>
    </w:p>
    <w:p>
      <w:pPr>
        <w:spacing w:line="440" w:lineRule="exact"/>
        <w:ind w:firstLine="420"/>
        <w:rPr>
          <w:rFonts w:ascii="Times New Roman" w:hAnsi="Times New Roman" w:cs="Times New Roman"/>
        </w:rPr>
      </w:pPr>
      <w:r>
        <w:rPr>
          <w:rFonts w:ascii="Times New Roman" w:hAnsi="Times New Roman" w:cs="Times New Roman"/>
        </w:rPr>
        <w:t>2、评审表格</w:t>
      </w:r>
    </w:p>
    <w:p>
      <w:pPr>
        <w:pStyle w:val="2"/>
        <w:rPr>
          <w:rFonts w:ascii="Times New Roman" w:hAnsi="Times New Roman" w:cs="Times New Roman"/>
        </w:rPr>
        <w:sectPr>
          <w:headerReference r:id="rId4" w:type="default"/>
          <w:footerReference r:id="rId5" w:type="default"/>
          <w:footnotePr>
            <w:numFmt w:val="decimalEnclosedCircleChinese"/>
            <w:numRestart w:val="eachPage"/>
          </w:footnotePr>
          <w:pgSz w:w="11906" w:h="16838"/>
          <w:pgMar w:top="1440" w:right="1800" w:bottom="1440" w:left="1800" w:header="851" w:footer="992" w:gutter="0"/>
          <w:pgNumType w:start="1"/>
          <w:cols w:space="720" w:num="1"/>
          <w:docGrid w:type="linesAndChars" w:linePitch="312" w:charSpace="0"/>
        </w:sectPr>
      </w:pPr>
    </w:p>
    <w:p>
      <w:pPr>
        <w:pStyle w:val="2"/>
        <w:rPr>
          <w:rFonts w:ascii="Times New Roman" w:hAnsi="Times New Roman" w:cs="Times New Roman"/>
        </w:rPr>
      </w:pPr>
    </w:p>
    <w:p>
      <w:pPr>
        <w:widowControl/>
        <w:jc w:val="left"/>
        <w:rPr>
          <w:rFonts w:ascii="Times New Roman" w:hAnsi="Times New Roman" w:eastAsia="宋体" w:cs="Times New Roman"/>
        </w:rPr>
      </w:pPr>
    </w:p>
    <w:p>
      <w:pPr>
        <w:pStyle w:val="19"/>
        <w:rPr>
          <w:rFonts w:ascii="Times New Roman" w:hAnsi="Times New Roman" w:eastAsia="宋体" w:cs="Times New Roman"/>
        </w:rPr>
      </w:pPr>
    </w:p>
    <w:p>
      <w:pPr>
        <w:pStyle w:val="19"/>
        <w:rPr>
          <w:rFonts w:ascii="Times New Roman" w:hAnsi="Times New Roman" w:eastAsia="宋体" w:cs="Times New Roman"/>
        </w:rPr>
      </w:pPr>
    </w:p>
    <w:p>
      <w:pPr>
        <w:pStyle w:val="19"/>
        <w:rPr>
          <w:rFonts w:ascii="Times New Roman" w:hAnsi="Times New Roman" w:eastAsia="宋体" w:cs="Times New Roman"/>
        </w:rPr>
      </w:pPr>
    </w:p>
    <w:p>
      <w:pPr>
        <w:rPr>
          <w:rFonts w:ascii="Times New Roman" w:hAnsi="Times New Roman" w:eastAsia="宋体" w:cs="Times New Roman"/>
        </w:rPr>
      </w:pPr>
    </w:p>
    <w:p>
      <w:pPr>
        <w:pStyle w:val="4"/>
        <w:numPr>
          <w:ilvl w:val="0"/>
          <w:numId w:val="0"/>
        </w:numPr>
        <w:spacing w:before="312" w:after="312"/>
        <w:rPr>
          <w:rFonts w:ascii="Times New Roman" w:hAnsi="Times New Roman" w:eastAsia="宋体" w:cs="Times New Roman"/>
        </w:rPr>
      </w:pPr>
      <w:bookmarkStart w:id="54" w:name="_Toc32520_WPSOffice_Level1"/>
      <w:bookmarkStart w:id="55" w:name="_Toc22433"/>
      <w:r>
        <w:rPr>
          <w:rFonts w:ascii="Times New Roman" w:hAnsi="Times New Roman" w:eastAsia="宋体" w:cs="Times New Roman"/>
        </w:rPr>
        <w:t>第四章 合同内容</w:t>
      </w:r>
      <w:bookmarkEnd w:id="54"/>
      <w:bookmarkEnd w:id="55"/>
    </w:p>
    <w:p>
      <w:pPr>
        <w:spacing w:before="120" w:line="440" w:lineRule="exact"/>
        <w:jc w:val="center"/>
        <w:rPr>
          <w:rFonts w:ascii="Times New Roman" w:hAnsi="Times New Roman" w:cs="Times New Roman"/>
          <w:sz w:val="22"/>
        </w:rPr>
        <w:sectPr>
          <w:footerReference r:id="rId6" w:type="default"/>
          <w:footnotePr>
            <w:numFmt w:val="decimalEnclosedCircleChinese"/>
          </w:footnotePr>
          <w:pgSz w:w="11906" w:h="16838"/>
          <w:pgMar w:top="1440" w:right="1800" w:bottom="1440" w:left="1800" w:header="851" w:footer="992" w:gutter="0"/>
          <w:cols w:space="720" w:num="1"/>
          <w:docGrid w:type="linesAndChars" w:linePitch="312" w:charSpace="0"/>
        </w:sectPr>
      </w:pPr>
      <w:bookmarkStart w:id="56" w:name="_Toc21281"/>
      <w:bookmarkStart w:id="57" w:name="_Toc152045768"/>
      <w:bookmarkStart w:id="58" w:name="_Toc144974827"/>
      <w:bookmarkStart w:id="59" w:name="_Toc179632786"/>
      <w:bookmarkStart w:id="60" w:name="_Toc14663"/>
      <w:bookmarkStart w:id="61" w:name="_Toc152042547"/>
      <w:bookmarkStart w:id="62" w:name="_Toc6271_WPSOffice_Level2"/>
      <w:bookmarkStart w:id="63" w:name="_Toc11316"/>
    </w:p>
    <w:bookmarkEnd w:id="56"/>
    <w:bookmarkEnd w:id="57"/>
    <w:bookmarkEnd w:id="58"/>
    <w:bookmarkEnd w:id="59"/>
    <w:bookmarkEnd w:id="60"/>
    <w:bookmarkEnd w:id="61"/>
    <w:bookmarkEnd w:id="62"/>
    <w:bookmarkEnd w:id="63"/>
    <w:p>
      <w:pPr>
        <w:pStyle w:val="5"/>
        <w:numPr>
          <w:ilvl w:val="0"/>
          <w:numId w:val="0"/>
        </w:numPr>
        <w:spacing w:before="120" w:line="440" w:lineRule="exact"/>
        <w:rPr>
          <w:rFonts w:ascii="Times New Roman" w:hAnsi="Times New Roman" w:cs="Times New Roman"/>
          <w:sz w:val="21"/>
          <w:szCs w:val="21"/>
        </w:rPr>
      </w:pPr>
      <w:bookmarkStart w:id="64" w:name="_Toc20611"/>
      <w:bookmarkStart w:id="65" w:name="_Toc21477"/>
      <w:bookmarkStart w:id="66" w:name="_Toc31013"/>
      <w:bookmarkStart w:id="67" w:name="_Toc21317_WPSOffice_Level2"/>
      <w:r>
        <w:rPr>
          <w:rFonts w:ascii="Times New Roman" w:hAnsi="Times New Roman" w:cs="Times New Roman"/>
          <w:sz w:val="21"/>
          <w:szCs w:val="21"/>
        </w:rPr>
        <w:t>附件一：合同协议书</w:t>
      </w:r>
    </w:p>
    <w:p>
      <w:pPr>
        <w:spacing w:line="440" w:lineRule="exact"/>
        <w:jc w:val="center"/>
        <w:outlineLvl w:val="2"/>
        <w:rPr>
          <w:rFonts w:ascii="Times New Roman" w:hAnsi="Times New Roman" w:eastAsia="方正小标宋简体" w:cs="Times New Roman"/>
          <w:bCs/>
          <w:sz w:val="30"/>
          <w:szCs w:val="30"/>
        </w:rPr>
      </w:pPr>
      <w:r>
        <w:rPr>
          <w:rFonts w:ascii="Times New Roman" w:hAnsi="Times New Roman" w:eastAsia="方正小标宋简体" w:cs="Times New Roman"/>
          <w:bCs/>
          <w:sz w:val="30"/>
          <w:szCs w:val="30"/>
        </w:rPr>
        <w:t>安徽省高速公路试验检测科研中心有限公司试验场地（园区西库）装修改造项目合同协议书</w:t>
      </w:r>
    </w:p>
    <w:p>
      <w:pPr>
        <w:pStyle w:val="2"/>
        <w:spacing w:after="0" w:line="440" w:lineRule="exact"/>
        <w:rPr>
          <w:rFonts w:ascii="Times New Roman" w:hAnsi="Times New Roman" w:cs="Times New Roman"/>
          <w:szCs w:val="21"/>
        </w:rPr>
      </w:pPr>
    </w:p>
    <w:p>
      <w:pPr>
        <w:spacing w:line="440" w:lineRule="exact"/>
        <w:rPr>
          <w:rFonts w:ascii="Times New Roman" w:hAnsi="Times New Roman" w:cs="Times New Roman"/>
          <w:szCs w:val="21"/>
        </w:rPr>
      </w:pPr>
      <w:r>
        <w:rPr>
          <w:rFonts w:ascii="Times New Roman" w:hAnsi="Times New Roman" w:cs="Times New Roman"/>
          <w:szCs w:val="21"/>
        </w:rPr>
        <w:t>甲方：</w:t>
      </w:r>
      <w:r>
        <w:rPr>
          <w:rFonts w:ascii="Times New Roman" w:hAnsi="Times New Roman" w:cs="Times New Roman"/>
          <w:szCs w:val="21"/>
          <w:u w:val="single"/>
        </w:rPr>
        <w:t xml:space="preserve"> 安徽省高速公路试验检测科研中心有限公司 </w:t>
      </w:r>
    </w:p>
    <w:p>
      <w:pPr>
        <w:spacing w:line="440" w:lineRule="exact"/>
        <w:jc w:val="left"/>
        <w:rPr>
          <w:rFonts w:ascii="Times New Roman" w:hAnsi="Times New Roman" w:cs="Times New Roman"/>
          <w:szCs w:val="21"/>
          <w:u w:val="single"/>
        </w:rPr>
      </w:pPr>
      <w:r>
        <w:rPr>
          <w:rFonts w:ascii="Times New Roman" w:hAnsi="Times New Roman" w:cs="Times New Roman"/>
          <w:szCs w:val="21"/>
        </w:rPr>
        <w:t>乙方：</w:t>
      </w:r>
      <w:r>
        <w:rPr>
          <w:rFonts w:ascii="Times New Roman" w:hAnsi="Times New Roman" w:cs="Times New Roman"/>
          <w:szCs w:val="21"/>
          <w:u w:val="single"/>
        </w:rPr>
        <w:t xml:space="preserve">                    </w:t>
      </w:r>
    </w:p>
    <w:p>
      <w:pPr>
        <w:spacing w:line="440" w:lineRule="exact"/>
        <w:ind w:firstLine="420" w:firstLineChars="200"/>
        <w:jc w:val="left"/>
        <w:rPr>
          <w:rFonts w:ascii="Times New Roman" w:hAnsi="Times New Roman" w:cs="Times New Roman"/>
          <w:szCs w:val="21"/>
        </w:rPr>
      </w:pPr>
      <w:r>
        <w:rPr>
          <w:rFonts w:ascii="Times New Roman" w:hAnsi="Times New Roman" w:cs="Times New Roman"/>
          <w:szCs w:val="21"/>
        </w:rPr>
        <w:t>甲方根据安徽省高速公路试验检测科研中心有限公司试验场地（园区西库）装修改造项目评审结果，确定</w:t>
      </w:r>
      <w:r>
        <w:rPr>
          <w:rFonts w:ascii="Times New Roman" w:hAnsi="Times New Roman" w:cs="Times New Roman"/>
          <w:szCs w:val="21"/>
          <w:u w:val="single"/>
        </w:rPr>
        <w:t xml:space="preserve">               </w:t>
      </w:r>
      <w:r>
        <w:rPr>
          <w:rFonts w:ascii="Times New Roman" w:hAnsi="Times New Roman" w:cs="Times New Roman"/>
          <w:szCs w:val="21"/>
        </w:rPr>
        <w:t>（乙方）为该项目成交单位。为进一步明确双方的责任，确保合同的全面履行，根据《中华人民共和国合同法》之规定，经甲乙双方充分协商，特订立本合同，以便共同遵守。</w:t>
      </w:r>
    </w:p>
    <w:p>
      <w:pPr>
        <w:snapToGrid w:val="0"/>
        <w:spacing w:line="440" w:lineRule="exact"/>
        <w:ind w:firstLine="420" w:firstLineChars="200"/>
        <w:outlineLvl w:val="2"/>
        <w:rPr>
          <w:rFonts w:ascii="Times New Roman" w:hAnsi="Times New Roman" w:cs="Times New Roman"/>
          <w:b/>
          <w:szCs w:val="21"/>
        </w:rPr>
      </w:pPr>
      <w:r>
        <w:rPr>
          <w:rFonts w:ascii="Times New Roman" w:hAnsi="Times New Roman" w:cs="Times New Roman"/>
          <w:b/>
          <w:szCs w:val="21"/>
        </w:rPr>
        <w:t>一、组成合同的文件</w:t>
      </w:r>
    </w:p>
    <w:p>
      <w:pPr>
        <w:spacing w:line="440" w:lineRule="exact"/>
        <w:ind w:firstLine="420" w:firstLineChars="200"/>
        <w:jc w:val="left"/>
        <w:rPr>
          <w:rFonts w:ascii="Times New Roman" w:hAnsi="Times New Roman" w:cs="Times New Roman"/>
          <w:szCs w:val="21"/>
        </w:rPr>
      </w:pPr>
      <w:r>
        <w:rPr>
          <w:rFonts w:ascii="Times New Roman" w:hAnsi="Times New Roman" w:cs="Times New Roman"/>
          <w:szCs w:val="21"/>
        </w:rPr>
        <w:t>1.本合同协议书及各种合同附件</w:t>
      </w:r>
    </w:p>
    <w:p>
      <w:pPr>
        <w:spacing w:line="440" w:lineRule="exact"/>
        <w:ind w:firstLine="420" w:firstLineChars="200"/>
        <w:jc w:val="left"/>
        <w:rPr>
          <w:rFonts w:ascii="Times New Roman" w:hAnsi="Times New Roman" w:cs="Times New Roman"/>
          <w:szCs w:val="21"/>
        </w:rPr>
      </w:pPr>
      <w:r>
        <w:rPr>
          <w:rFonts w:ascii="Times New Roman" w:hAnsi="Times New Roman" w:cs="Times New Roman"/>
          <w:szCs w:val="21"/>
        </w:rPr>
        <w:t>2.成交通知书</w:t>
      </w:r>
    </w:p>
    <w:p>
      <w:pPr>
        <w:spacing w:line="440" w:lineRule="exact"/>
        <w:ind w:firstLine="420" w:firstLineChars="200"/>
        <w:jc w:val="left"/>
        <w:rPr>
          <w:rFonts w:ascii="Times New Roman" w:hAnsi="Times New Roman" w:cs="Times New Roman"/>
          <w:szCs w:val="21"/>
        </w:rPr>
      </w:pPr>
      <w:r>
        <w:rPr>
          <w:rFonts w:ascii="Times New Roman" w:hAnsi="Times New Roman" w:cs="Times New Roman"/>
          <w:szCs w:val="21"/>
        </w:rPr>
        <w:t>3.报价函</w:t>
      </w:r>
    </w:p>
    <w:p>
      <w:pPr>
        <w:spacing w:line="440" w:lineRule="exact"/>
        <w:ind w:firstLine="420" w:firstLineChars="200"/>
        <w:jc w:val="left"/>
        <w:rPr>
          <w:rFonts w:ascii="Times New Roman" w:hAnsi="Times New Roman" w:cs="Times New Roman"/>
          <w:szCs w:val="21"/>
        </w:rPr>
      </w:pPr>
      <w:r>
        <w:rPr>
          <w:rFonts w:ascii="Times New Roman" w:hAnsi="Times New Roman" w:cs="Times New Roman"/>
          <w:szCs w:val="21"/>
        </w:rPr>
        <w:t>4.已标价的工程量清单</w:t>
      </w:r>
    </w:p>
    <w:p>
      <w:pPr>
        <w:spacing w:line="440" w:lineRule="exact"/>
        <w:ind w:firstLine="420" w:firstLineChars="200"/>
        <w:jc w:val="left"/>
        <w:rPr>
          <w:rFonts w:ascii="Times New Roman" w:hAnsi="Times New Roman" w:cs="Times New Roman"/>
          <w:szCs w:val="21"/>
        </w:rPr>
      </w:pPr>
      <w:r>
        <w:rPr>
          <w:rFonts w:ascii="Times New Roman" w:hAnsi="Times New Roman" w:cs="Times New Roman"/>
          <w:szCs w:val="21"/>
        </w:rPr>
        <w:t>5.</w:t>
      </w:r>
      <w:r>
        <w:rPr>
          <w:rFonts w:hint="eastAsia" w:ascii="Times New Roman" w:hAnsi="Times New Roman" w:cs="Times New Roman"/>
          <w:szCs w:val="21"/>
        </w:rPr>
        <w:t>技术</w:t>
      </w:r>
      <w:r>
        <w:rPr>
          <w:rFonts w:ascii="Times New Roman" w:hAnsi="Times New Roman" w:cs="Times New Roman"/>
          <w:szCs w:val="21"/>
        </w:rPr>
        <w:t>方案</w:t>
      </w:r>
    </w:p>
    <w:p>
      <w:pPr>
        <w:spacing w:line="440" w:lineRule="exact"/>
        <w:ind w:firstLine="420" w:firstLineChars="200"/>
        <w:jc w:val="left"/>
        <w:rPr>
          <w:rFonts w:ascii="Times New Roman" w:hAnsi="Times New Roman" w:cs="Times New Roman"/>
          <w:szCs w:val="21"/>
        </w:rPr>
      </w:pPr>
      <w:r>
        <w:rPr>
          <w:rFonts w:ascii="Times New Roman" w:hAnsi="Times New Roman" w:cs="Times New Roman"/>
          <w:szCs w:val="21"/>
        </w:rPr>
        <w:t>6.其他合同文件</w:t>
      </w:r>
    </w:p>
    <w:p>
      <w:pPr>
        <w:spacing w:line="440" w:lineRule="exact"/>
        <w:ind w:firstLine="420" w:firstLineChars="200"/>
        <w:jc w:val="left"/>
        <w:rPr>
          <w:rFonts w:ascii="Times New Roman" w:hAnsi="Times New Roman" w:cs="Times New Roman"/>
          <w:szCs w:val="21"/>
        </w:rPr>
      </w:pPr>
      <w:r>
        <w:rPr>
          <w:rFonts w:ascii="Times New Roman" w:hAnsi="Times New Roman" w:cs="Times New Roman"/>
          <w:szCs w:val="21"/>
        </w:rPr>
        <w:t>上述文件皆为本协议书不可分割组成部分，若上述文件出现意思含糊或矛盾之处，则顺序在前的具有优先解释权。</w:t>
      </w:r>
    </w:p>
    <w:p>
      <w:pPr>
        <w:snapToGrid w:val="0"/>
        <w:spacing w:line="440" w:lineRule="exact"/>
        <w:ind w:firstLine="420" w:firstLineChars="200"/>
        <w:outlineLvl w:val="2"/>
        <w:rPr>
          <w:rFonts w:ascii="Times New Roman" w:hAnsi="Times New Roman" w:cs="Times New Roman"/>
          <w:b/>
          <w:szCs w:val="21"/>
        </w:rPr>
      </w:pPr>
      <w:r>
        <w:rPr>
          <w:rFonts w:ascii="Times New Roman" w:hAnsi="Times New Roman" w:cs="Times New Roman"/>
          <w:b/>
          <w:szCs w:val="21"/>
        </w:rPr>
        <w:t>二、服务范围及期限</w:t>
      </w:r>
    </w:p>
    <w:p>
      <w:pPr>
        <w:spacing w:line="440" w:lineRule="exact"/>
        <w:ind w:firstLine="420" w:firstLineChars="200"/>
        <w:jc w:val="left"/>
        <w:rPr>
          <w:rFonts w:ascii="Times New Roman" w:hAnsi="Times New Roman" w:cs="Times New Roman"/>
          <w:szCs w:val="21"/>
        </w:rPr>
      </w:pPr>
      <w:r>
        <w:rPr>
          <w:rFonts w:ascii="Times New Roman" w:hAnsi="Times New Roman" w:cs="Times New Roman"/>
          <w:szCs w:val="21"/>
        </w:rPr>
        <w:t>（一）服务范围</w:t>
      </w:r>
    </w:p>
    <w:p>
      <w:pPr>
        <w:spacing w:line="440" w:lineRule="exact"/>
        <w:ind w:firstLine="420" w:firstLineChars="200"/>
        <w:jc w:val="left"/>
        <w:rPr>
          <w:rFonts w:ascii="Times New Roman" w:hAnsi="Times New Roman" w:cs="Times New Roman"/>
          <w:szCs w:val="21"/>
        </w:rPr>
      </w:pPr>
      <w:r>
        <w:rPr>
          <w:rFonts w:ascii="Times New Roman" w:hAnsi="Times New Roman" w:cs="Times New Roman"/>
          <w:szCs w:val="21"/>
        </w:rPr>
        <w:t>乙方在规定时间内完成现场装修改造工作，并配合甲方完成后期设备进场安装及其他后续服务工作。</w:t>
      </w:r>
    </w:p>
    <w:p>
      <w:pPr>
        <w:spacing w:line="440" w:lineRule="exact"/>
        <w:ind w:firstLine="420" w:firstLineChars="200"/>
        <w:jc w:val="left"/>
        <w:rPr>
          <w:rFonts w:ascii="Times New Roman" w:hAnsi="Times New Roman" w:cs="Times New Roman"/>
          <w:szCs w:val="21"/>
        </w:rPr>
      </w:pPr>
      <w:r>
        <w:rPr>
          <w:rFonts w:ascii="Times New Roman" w:hAnsi="Times New Roman" w:cs="Times New Roman"/>
          <w:szCs w:val="21"/>
        </w:rPr>
        <w:t>（二）服务期限</w:t>
      </w:r>
    </w:p>
    <w:p>
      <w:pPr>
        <w:spacing w:line="440" w:lineRule="exact"/>
        <w:ind w:firstLine="420" w:firstLineChars="200"/>
        <w:jc w:val="left"/>
        <w:rPr>
          <w:rFonts w:ascii="Times New Roman" w:hAnsi="Times New Roman" w:cs="Times New Roman"/>
          <w:szCs w:val="21"/>
        </w:rPr>
      </w:pPr>
      <w:r>
        <w:rPr>
          <w:rFonts w:ascii="Times New Roman" w:hAnsi="Times New Roman" w:cs="Times New Roman"/>
          <w:szCs w:val="21"/>
        </w:rPr>
        <w:t>自合同签订之日起施工工期为45日。</w:t>
      </w:r>
    </w:p>
    <w:p>
      <w:pPr>
        <w:snapToGrid w:val="0"/>
        <w:spacing w:line="440" w:lineRule="exact"/>
        <w:ind w:firstLine="420" w:firstLineChars="200"/>
        <w:outlineLvl w:val="2"/>
        <w:rPr>
          <w:rFonts w:ascii="Times New Roman" w:hAnsi="Times New Roman" w:cs="Times New Roman"/>
          <w:b/>
          <w:szCs w:val="21"/>
        </w:rPr>
      </w:pPr>
      <w:r>
        <w:rPr>
          <w:rFonts w:ascii="Times New Roman" w:hAnsi="Times New Roman" w:cs="Times New Roman"/>
          <w:b/>
          <w:szCs w:val="21"/>
        </w:rPr>
        <w:t>三、甲方的权利及义务</w:t>
      </w:r>
    </w:p>
    <w:p>
      <w:pPr>
        <w:spacing w:line="440" w:lineRule="exact"/>
        <w:ind w:firstLine="420" w:firstLineChars="200"/>
        <w:jc w:val="left"/>
        <w:rPr>
          <w:rFonts w:ascii="Times New Roman" w:hAnsi="Times New Roman" w:cs="Times New Roman"/>
          <w:szCs w:val="21"/>
        </w:rPr>
      </w:pPr>
      <w:r>
        <w:rPr>
          <w:rFonts w:ascii="Times New Roman" w:hAnsi="Times New Roman" w:cs="Times New Roman"/>
          <w:szCs w:val="21"/>
        </w:rPr>
        <w:t>1.开工前，甲方应提供项目原始资料，并提供施工作业条件，协调各方关系，向乙方下达工作任务。</w:t>
      </w:r>
    </w:p>
    <w:p>
      <w:pPr>
        <w:spacing w:line="440" w:lineRule="exact"/>
        <w:ind w:firstLine="420" w:firstLineChars="200"/>
        <w:jc w:val="left"/>
        <w:rPr>
          <w:rFonts w:ascii="Times New Roman" w:hAnsi="Times New Roman" w:cs="Times New Roman"/>
          <w:szCs w:val="21"/>
        </w:rPr>
      </w:pPr>
      <w:r>
        <w:rPr>
          <w:rFonts w:ascii="Times New Roman" w:hAnsi="Times New Roman" w:cs="Times New Roman"/>
          <w:szCs w:val="21"/>
        </w:rPr>
        <w:t>2.甲方应按合同约定在乙方完全履行合同义务后及时支付服务费用。</w:t>
      </w:r>
    </w:p>
    <w:p>
      <w:pPr>
        <w:spacing w:line="440" w:lineRule="exact"/>
        <w:ind w:firstLine="420" w:firstLineChars="200"/>
        <w:jc w:val="left"/>
        <w:rPr>
          <w:rFonts w:ascii="Times New Roman" w:hAnsi="Times New Roman" w:cs="Times New Roman"/>
          <w:szCs w:val="21"/>
        </w:rPr>
      </w:pPr>
      <w:r>
        <w:rPr>
          <w:rFonts w:ascii="Times New Roman" w:hAnsi="Times New Roman" w:cs="Times New Roman"/>
          <w:szCs w:val="21"/>
        </w:rPr>
        <w:t>3.甲方有权随时对乙方在合同期内的履约情况和现场施工安全、质量、进度、用料等情况进行监督检查考核，并将检查考核结果作为计量结算依据。</w:t>
      </w:r>
    </w:p>
    <w:p>
      <w:pPr>
        <w:spacing w:line="440" w:lineRule="exact"/>
        <w:ind w:firstLine="420" w:firstLineChars="200"/>
        <w:jc w:val="left"/>
        <w:rPr>
          <w:rFonts w:ascii="Times New Roman" w:hAnsi="Times New Roman" w:cs="Times New Roman"/>
          <w:szCs w:val="21"/>
        </w:rPr>
      </w:pPr>
      <w:r>
        <w:rPr>
          <w:rFonts w:ascii="Times New Roman" w:hAnsi="Times New Roman" w:cs="Times New Roman"/>
          <w:szCs w:val="21"/>
        </w:rPr>
        <w:t>4.组织相关人员对工程进行阶段检查验收和竣工验收，验收合格后签署意见，由乙方保存作为竣工验收依据。</w:t>
      </w:r>
    </w:p>
    <w:p>
      <w:pPr>
        <w:snapToGrid w:val="0"/>
        <w:spacing w:line="440" w:lineRule="exact"/>
        <w:ind w:firstLine="420" w:firstLineChars="200"/>
        <w:outlineLvl w:val="2"/>
        <w:rPr>
          <w:rFonts w:ascii="Times New Roman" w:hAnsi="Times New Roman" w:cs="Times New Roman"/>
          <w:b/>
          <w:szCs w:val="21"/>
        </w:rPr>
      </w:pPr>
      <w:r>
        <w:rPr>
          <w:rFonts w:ascii="Times New Roman" w:hAnsi="Times New Roman" w:cs="Times New Roman"/>
          <w:b/>
          <w:szCs w:val="21"/>
        </w:rPr>
        <w:t>四、乙方的权利及义务</w:t>
      </w:r>
    </w:p>
    <w:p>
      <w:pPr>
        <w:spacing w:line="440" w:lineRule="exact"/>
        <w:ind w:firstLine="420" w:firstLineChars="200"/>
        <w:jc w:val="left"/>
        <w:rPr>
          <w:rFonts w:ascii="Times New Roman" w:hAnsi="Times New Roman" w:cs="Times New Roman"/>
          <w:szCs w:val="21"/>
        </w:rPr>
      </w:pPr>
      <w:r>
        <w:rPr>
          <w:rFonts w:ascii="Times New Roman" w:hAnsi="Times New Roman" w:cs="Times New Roman"/>
          <w:szCs w:val="21"/>
        </w:rPr>
        <w:t>1.乙方应严格按照合同要求和双方约定履行合同义务，根据甲方要求足额配备人员、设备和机械等，并在施工中应严格执行安全施工操作规范、防火规定及相关质量标准，按期保质保量完成工程。</w:t>
      </w:r>
    </w:p>
    <w:p>
      <w:pPr>
        <w:spacing w:line="440" w:lineRule="exact"/>
        <w:ind w:firstLine="420" w:firstLineChars="200"/>
        <w:jc w:val="left"/>
        <w:rPr>
          <w:rFonts w:ascii="Times New Roman" w:hAnsi="Times New Roman" w:cs="Times New Roman"/>
          <w:szCs w:val="21"/>
        </w:rPr>
      </w:pPr>
      <w:r>
        <w:rPr>
          <w:rFonts w:ascii="Times New Roman" w:hAnsi="Times New Roman" w:cs="Times New Roman"/>
          <w:szCs w:val="21"/>
        </w:rPr>
        <w:t>2.乙方在施工过程中，应按照甲方要求进行施工。施工材料、设备进场后，必须请甲方监工人员进行验收，要求提供的材料、设备与投标时的品牌、规格型号对应，却因停产等客观原因无法提供投标时承诺的品牌、规格型号的，需事先向甲方出示相关证明资料并申请更换，替代材料、设备技术参数不得低于原产品，否则不予认可。</w:t>
      </w:r>
    </w:p>
    <w:p>
      <w:pPr>
        <w:spacing w:line="440" w:lineRule="exact"/>
        <w:ind w:firstLine="420" w:firstLineChars="200"/>
        <w:jc w:val="left"/>
        <w:rPr>
          <w:rFonts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szCs w:val="21"/>
        </w:rPr>
        <w:t>.乙方在施工期间，应指定现场安全、技术负责人，应负责对现在施工人员进行安全、技术交底，设立围挡和施工警示标牌，施工过程中造成的人身伤害等事故，一切责任由乙方负责承担和处理。</w:t>
      </w:r>
    </w:p>
    <w:p>
      <w:pPr>
        <w:spacing w:line="440" w:lineRule="exact"/>
        <w:ind w:firstLine="420" w:firstLineChars="200"/>
        <w:jc w:val="left"/>
        <w:rPr>
          <w:rFonts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.乙方在施工过程中不得擅自改变原钢结构形式，不得增加新受力点，新建混凝土结构单独成型和受力。如因乙方施工不当造成现有钢结构垮塌或受损，甲方有权根据受损程度向乙方进行索赔。</w:t>
      </w:r>
    </w:p>
    <w:p>
      <w:pPr>
        <w:spacing w:line="440" w:lineRule="exact"/>
        <w:ind w:firstLine="420" w:firstLineChars="200"/>
        <w:jc w:val="left"/>
        <w:rPr>
          <w:rFonts w:ascii="Times New Roman" w:hAnsi="Times New Roman" w:cs="Times New Roman"/>
          <w:szCs w:val="21"/>
        </w:rPr>
      </w:pPr>
      <w:r>
        <w:rPr>
          <w:rFonts w:hint="eastAsia" w:ascii="Times New Roman" w:hAnsi="Times New Roman" w:cs="Times New Roman"/>
          <w:szCs w:val="21"/>
        </w:rPr>
        <w:t>5</w:t>
      </w:r>
      <w:r>
        <w:rPr>
          <w:rFonts w:ascii="Times New Roman" w:hAnsi="Times New Roman" w:cs="Times New Roman"/>
          <w:szCs w:val="21"/>
        </w:rPr>
        <w:t>.严格执行市（区）县有关施工现场管理的规定，不得扰民及污染环境。</w:t>
      </w:r>
    </w:p>
    <w:p>
      <w:pPr>
        <w:spacing w:line="440" w:lineRule="exact"/>
        <w:ind w:firstLine="420" w:firstLineChars="200"/>
        <w:jc w:val="left"/>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.乙方施工完毕后，必须将所有垃圾清除干净，运出高速检测园区。</w:t>
      </w:r>
    </w:p>
    <w:p>
      <w:pPr>
        <w:spacing w:line="440" w:lineRule="exact"/>
        <w:ind w:firstLine="420" w:firstLineChars="200"/>
        <w:jc w:val="left"/>
        <w:rPr>
          <w:rFonts w:ascii="Times New Roman" w:hAnsi="Times New Roman" w:cs="Times New Roman"/>
          <w:szCs w:val="21"/>
        </w:rPr>
      </w:pPr>
      <w:r>
        <w:rPr>
          <w:rFonts w:hint="eastAsia" w:ascii="Times New Roman" w:hAnsi="Times New Roman" w:cs="Times New Roman"/>
          <w:szCs w:val="21"/>
        </w:rPr>
        <w:t>7</w:t>
      </w:r>
      <w:r>
        <w:rPr>
          <w:rFonts w:ascii="Times New Roman" w:hAnsi="Times New Roman" w:cs="Times New Roman"/>
          <w:szCs w:val="21"/>
        </w:rPr>
        <w:t>.在质保期内乙方应无偿提供维修、更换、咨询等服务。</w:t>
      </w:r>
    </w:p>
    <w:p>
      <w:pPr>
        <w:spacing w:line="440" w:lineRule="exact"/>
        <w:ind w:firstLine="420" w:firstLineChars="200"/>
        <w:jc w:val="left"/>
        <w:rPr>
          <w:rFonts w:ascii="Times New Roman" w:hAnsi="Times New Roman" w:cs="Times New Roman"/>
          <w:szCs w:val="21"/>
        </w:rPr>
      </w:pPr>
      <w:r>
        <w:rPr>
          <w:rFonts w:hint="eastAsia" w:ascii="Times New Roman" w:hAnsi="Times New Roman" w:cs="Times New Roman"/>
          <w:szCs w:val="21"/>
        </w:rPr>
        <w:t>8</w:t>
      </w:r>
      <w:r>
        <w:rPr>
          <w:rFonts w:ascii="Times New Roman" w:hAnsi="Times New Roman" w:cs="Times New Roman"/>
          <w:szCs w:val="21"/>
        </w:rPr>
        <w:t>.乙方需为投入本项目的人员购买人身意外伤害险，投保金额为（最低赔付限额为不少于）50万元/人，由乙方自行投保；甲方有权在工作开展前查验乙方各类保险凭证。</w:t>
      </w:r>
    </w:p>
    <w:p>
      <w:pPr>
        <w:spacing w:line="440" w:lineRule="exact"/>
        <w:ind w:firstLine="420" w:firstLineChars="200"/>
        <w:jc w:val="left"/>
        <w:rPr>
          <w:rFonts w:ascii="Times New Roman" w:hAnsi="Times New Roman" w:cs="Times New Roman"/>
          <w:szCs w:val="21"/>
        </w:rPr>
      </w:pPr>
      <w:r>
        <w:rPr>
          <w:rFonts w:hint="eastAsia" w:ascii="Times New Roman" w:hAnsi="Times New Roman" w:cs="Times New Roman"/>
          <w:szCs w:val="21"/>
        </w:rPr>
        <w:t>9</w:t>
      </w:r>
      <w:r>
        <w:rPr>
          <w:rFonts w:ascii="Times New Roman" w:hAnsi="Times New Roman" w:cs="Times New Roman"/>
          <w:szCs w:val="21"/>
        </w:rPr>
        <w:t>.乙方不得将工作转包或违法分包给第三方完成，如乙方存在前述情况，甲方有权终止合同，并要求乙方承担合同总价的20%。</w:t>
      </w:r>
    </w:p>
    <w:p>
      <w:pPr>
        <w:snapToGrid w:val="0"/>
        <w:spacing w:line="440" w:lineRule="exact"/>
        <w:ind w:firstLine="420" w:firstLineChars="200"/>
        <w:outlineLvl w:val="2"/>
        <w:rPr>
          <w:rFonts w:ascii="Times New Roman" w:hAnsi="Times New Roman" w:cs="Times New Roman"/>
          <w:szCs w:val="21"/>
        </w:rPr>
      </w:pPr>
      <w:r>
        <w:rPr>
          <w:rFonts w:ascii="Times New Roman" w:hAnsi="Times New Roman" w:cs="Times New Roman"/>
          <w:b/>
          <w:szCs w:val="21"/>
        </w:rPr>
        <w:t>五、付款及付款方式</w:t>
      </w:r>
    </w:p>
    <w:p>
      <w:pPr>
        <w:spacing w:line="440" w:lineRule="exact"/>
        <w:ind w:firstLine="420" w:firstLineChars="200"/>
        <w:jc w:val="left"/>
        <w:rPr>
          <w:rFonts w:ascii="Times New Roman" w:hAnsi="Times New Roman" w:cs="Times New Roman"/>
          <w:szCs w:val="21"/>
        </w:rPr>
      </w:pPr>
      <w:r>
        <w:rPr>
          <w:rFonts w:ascii="Times New Roman" w:hAnsi="Times New Roman" w:cs="Times New Roman"/>
          <w:szCs w:val="21"/>
        </w:rPr>
        <w:t>1.本合同为单价合同，根据工程量清单所列的预计数量和单价或总额价计算的签约合同价为人民币（大写）</w:t>
      </w:r>
      <w:r>
        <w:rPr>
          <w:rFonts w:ascii="Times New Roman" w:hAnsi="Times New Roman" w:cs="Times New Roman"/>
          <w:szCs w:val="21"/>
          <w:u w:val="single"/>
        </w:rPr>
        <w:t xml:space="preserve">        （ ¥：  元）</w:t>
      </w:r>
      <w:r>
        <w:rPr>
          <w:rFonts w:ascii="Times New Roman" w:hAnsi="Times New Roman" w:cs="Times New Roman"/>
          <w:szCs w:val="21"/>
        </w:rPr>
        <w:t>，最终结算以实际发生工程量为准。</w:t>
      </w:r>
    </w:p>
    <w:p>
      <w:pPr>
        <w:spacing w:line="440" w:lineRule="exact"/>
        <w:ind w:firstLine="420" w:firstLineChars="200"/>
        <w:jc w:val="left"/>
        <w:rPr>
          <w:rFonts w:ascii="Times New Roman" w:hAnsi="Times New Roman" w:cs="Times New Roman"/>
          <w:szCs w:val="21"/>
        </w:rPr>
      </w:pPr>
      <w:r>
        <w:rPr>
          <w:rFonts w:ascii="Times New Roman" w:hAnsi="Times New Roman" w:cs="Times New Roman"/>
          <w:szCs w:val="21"/>
        </w:rPr>
        <w:t>2.履约担保的金额为签约合同价的5%，为人民币（大写）</w:t>
      </w:r>
      <w:r>
        <w:rPr>
          <w:rFonts w:ascii="Times New Roman" w:hAnsi="Times New Roman" w:cs="Times New Roman"/>
          <w:szCs w:val="21"/>
          <w:u w:val="single"/>
        </w:rPr>
        <w:t xml:space="preserve">      （ ¥：    元）</w:t>
      </w:r>
      <w:r>
        <w:rPr>
          <w:rFonts w:ascii="Times New Roman" w:hAnsi="Times New Roman" w:cs="Times New Roman"/>
          <w:szCs w:val="21"/>
        </w:rPr>
        <w:t>，乙方在收到成交通知书后10天内，不按时提供履约保证金视为放弃该成交项目，甲方有权另行确定成交单位，且投标保证金不予退还。履约担保的形式：转账或经采购人书面同意的其他形式。</w:t>
      </w:r>
    </w:p>
    <w:p>
      <w:pPr>
        <w:spacing w:line="440" w:lineRule="exact"/>
        <w:ind w:firstLine="420" w:firstLineChars="200"/>
        <w:jc w:val="left"/>
        <w:rPr>
          <w:rFonts w:ascii="Times New Roman" w:hAnsi="Times New Roman" w:cs="Times New Roman"/>
          <w:szCs w:val="21"/>
        </w:rPr>
      </w:pPr>
      <w:r>
        <w:rPr>
          <w:rFonts w:ascii="Times New Roman" w:hAnsi="Times New Roman" w:cs="Times New Roman"/>
          <w:szCs w:val="21"/>
        </w:rPr>
        <w:t>3.工程验收合格后，乙方向甲方提出工程结算申请，并将完整结算资料送交甲方，甲方收到资料后应在28日内进行核实，给予确认或者提出修改意见，双方确认无误后，于14日内退还履约保证金，并结算至工程款的95%，余款5%为质量保证金，保修期满后无质量问题再付清余款。</w:t>
      </w:r>
    </w:p>
    <w:p>
      <w:pPr>
        <w:pStyle w:val="2"/>
        <w:spacing w:after="0" w:line="440" w:lineRule="exact"/>
        <w:ind w:firstLine="420" w:firstLineChars="200"/>
        <w:rPr>
          <w:rFonts w:ascii="Times New Roman" w:hAnsi="Times New Roman" w:cs="Times New Roman"/>
          <w:szCs w:val="21"/>
        </w:rPr>
      </w:pPr>
      <w:r>
        <w:rPr>
          <w:rFonts w:ascii="Times New Roman" w:hAnsi="Times New Roman" w:cs="Times New Roman"/>
          <w:szCs w:val="21"/>
        </w:rPr>
        <w:t>4.甲方付款前，乙方须根据相应项目类别提供符合国家规定的增值税专用发票。</w:t>
      </w:r>
    </w:p>
    <w:p>
      <w:pPr>
        <w:snapToGrid w:val="0"/>
        <w:spacing w:line="440" w:lineRule="exact"/>
        <w:ind w:firstLine="420" w:firstLineChars="200"/>
        <w:outlineLvl w:val="2"/>
        <w:rPr>
          <w:rFonts w:ascii="Times New Roman" w:hAnsi="Times New Roman" w:cs="Times New Roman"/>
          <w:b/>
          <w:szCs w:val="21"/>
        </w:rPr>
      </w:pPr>
      <w:r>
        <w:rPr>
          <w:rFonts w:ascii="Times New Roman" w:hAnsi="Times New Roman" w:cs="Times New Roman"/>
          <w:b/>
          <w:szCs w:val="21"/>
        </w:rPr>
        <w:t>六、工程的验收及保修</w:t>
      </w:r>
    </w:p>
    <w:p>
      <w:pPr>
        <w:spacing w:line="440" w:lineRule="exact"/>
        <w:ind w:firstLine="420" w:firstLineChars="200"/>
        <w:jc w:val="left"/>
        <w:rPr>
          <w:rFonts w:ascii="Times New Roman" w:hAnsi="Times New Roman" w:cs="Times New Roman"/>
          <w:szCs w:val="21"/>
        </w:rPr>
      </w:pPr>
      <w:r>
        <w:rPr>
          <w:rFonts w:ascii="Times New Roman" w:hAnsi="Times New Roman" w:cs="Times New Roman"/>
          <w:szCs w:val="21"/>
        </w:rPr>
        <w:t>1.质量要求：应满足国家相关行业标准的要求并验收合格。</w:t>
      </w:r>
    </w:p>
    <w:p>
      <w:pPr>
        <w:spacing w:line="440" w:lineRule="exact"/>
        <w:ind w:firstLine="420" w:firstLineChars="200"/>
        <w:jc w:val="left"/>
        <w:rPr>
          <w:rFonts w:ascii="Times New Roman" w:hAnsi="Times New Roman" w:cs="Times New Roman"/>
          <w:szCs w:val="21"/>
        </w:rPr>
      </w:pPr>
      <w:r>
        <w:rPr>
          <w:rFonts w:ascii="Times New Roman" w:hAnsi="Times New Roman" w:cs="Times New Roman"/>
          <w:szCs w:val="21"/>
        </w:rPr>
        <w:t>2.乙方在改造和修缮完毕并自检合格后通知甲方，甲方在15个工作日内对工程进行验收，如15个工作日内未进行验收，则视为合格；如甲方在验收过程中发现问题，乙方应予以修复或置换，修复后再报甲方验收，如验收仍不合格，则扣除项目总价款的10%作为违约金，同时甲方有权安排第三方完成相应工作，由此产生的损失及额外费用由乙方承担。</w:t>
      </w:r>
    </w:p>
    <w:p>
      <w:pPr>
        <w:spacing w:line="440" w:lineRule="exact"/>
        <w:ind w:firstLine="420" w:firstLineChars="200"/>
        <w:jc w:val="left"/>
        <w:rPr>
          <w:rFonts w:ascii="Times New Roman" w:hAnsi="Times New Roman" w:cs="Times New Roman"/>
          <w:szCs w:val="21"/>
        </w:rPr>
      </w:pPr>
      <w:r>
        <w:rPr>
          <w:rFonts w:ascii="Times New Roman" w:hAnsi="Times New Roman" w:cs="Times New Roman"/>
          <w:szCs w:val="21"/>
        </w:rPr>
        <w:t>3.本工程保修期为两年，自验收合格双方签字之日起计算。部分设施、设备的保修期若大于两年，应根据实际保修期提供保修服务。</w:t>
      </w:r>
    </w:p>
    <w:p>
      <w:pPr>
        <w:spacing w:line="440" w:lineRule="exact"/>
        <w:ind w:firstLine="420" w:firstLineChars="200"/>
        <w:jc w:val="left"/>
        <w:rPr>
          <w:rFonts w:ascii="Times New Roman" w:hAnsi="Times New Roman" w:cs="Times New Roman"/>
          <w:szCs w:val="21"/>
        </w:rPr>
      </w:pPr>
      <w:r>
        <w:rPr>
          <w:rFonts w:ascii="Times New Roman" w:hAnsi="Times New Roman" w:cs="Times New Roman"/>
          <w:szCs w:val="21"/>
        </w:rPr>
        <w:t>4.乙方提供终身维修服务，保修期外的维修费用由甲方负责。</w:t>
      </w:r>
    </w:p>
    <w:p>
      <w:pPr>
        <w:spacing w:line="440" w:lineRule="exact"/>
        <w:ind w:firstLine="420" w:firstLineChars="200"/>
        <w:jc w:val="left"/>
        <w:rPr>
          <w:rFonts w:ascii="Times New Roman" w:hAnsi="Times New Roman" w:cs="Times New Roman"/>
          <w:szCs w:val="21"/>
        </w:rPr>
      </w:pPr>
      <w:r>
        <w:rPr>
          <w:rFonts w:ascii="Times New Roman" w:hAnsi="Times New Roman" w:cs="Times New Roman"/>
          <w:szCs w:val="21"/>
        </w:rPr>
        <w:t>5.人为破坏及外来因素，自然灾害和人力不可抗拒的因素等原因造成的损失不在保修范围。</w:t>
      </w:r>
    </w:p>
    <w:p>
      <w:pPr>
        <w:snapToGrid w:val="0"/>
        <w:spacing w:line="440" w:lineRule="exact"/>
        <w:ind w:firstLine="420" w:firstLineChars="200"/>
        <w:outlineLvl w:val="2"/>
        <w:rPr>
          <w:rFonts w:ascii="Times New Roman" w:hAnsi="Times New Roman" w:cs="Times New Roman"/>
          <w:b/>
          <w:szCs w:val="21"/>
        </w:rPr>
      </w:pPr>
      <w:r>
        <w:rPr>
          <w:rFonts w:ascii="Times New Roman" w:hAnsi="Times New Roman" w:cs="Times New Roman"/>
          <w:b/>
          <w:szCs w:val="21"/>
        </w:rPr>
        <w:t>七、违约责任</w:t>
      </w:r>
    </w:p>
    <w:p>
      <w:pPr>
        <w:spacing w:line="440" w:lineRule="exact"/>
        <w:ind w:firstLine="420" w:firstLineChars="200"/>
        <w:jc w:val="left"/>
        <w:rPr>
          <w:rFonts w:ascii="Times New Roman" w:hAnsi="Times New Roman" w:cs="Times New Roman"/>
          <w:szCs w:val="21"/>
        </w:rPr>
      </w:pPr>
      <w:r>
        <w:rPr>
          <w:rFonts w:ascii="Times New Roman" w:hAnsi="Times New Roman" w:cs="Times New Roman"/>
          <w:szCs w:val="21"/>
        </w:rPr>
        <w:t>1.如乙方无故要求解除合同,则需要支付甲方项目装修服务总金额的20%作为赔偿费用。</w:t>
      </w:r>
    </w:p>
    <w:p>
      <w:pPr>
        <w:spacing w:line="440" w:lineRule="exact"/>
        <w:ind w:firstLine="420" w:firstLineChars="200"/>
        <w:jc w:val="left"/>
        <w:rPr>
          <w:rFonts w:ascii="Times New Roman" w:hAnsi="Times New Roman" w:cs="Times New Roman"/>
          <w:szCs w:val="21"/>
        </w:rPr>
      </w:pPr>
      <w:r>
        <w:rPr>
          <w:rFonts w:ascii="Times New Roman" w:hAnsi="Times New Roman" w:cs="Times New Roman"/>
          <w:szCs w:val="21"/>
        </w:rPr>
        <w:t>2.合同签字生效后，乙方需在三日内进场施工。除第八条规定的不可抗力外，如果乙方没有按照合同规定的时间进场施工、交工和提供服务，甲方可从签约合同价中扣除违约赔偿费，赔偿费按2000元/天扣缴违约金，逾期交工违约金限额：5%签约合同价。逾期超过10日以上的，甲方有权终止合同，并按合同约定及法律规定追究乙方的违约责任。</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3.乙方履约不符合约定的质量标准，乙方必须重新提供符合质量标准的服务，由此造成的误期赔偿费由乙方承担。如乙方在甲方规定的时间内仍未能提供符合质量标准的服务，甲方有权终止合同，并按合同约定及法律规定追究乙方的违约责任。</w:t>
      </w:r>
    </w:p>
    <w:p>
      <w:pPr>
        <w:snapToGrid w:val="0"/>
        <w:spacing w:line="440" w:lineRule="exact"/>
        <w:ind w:firstLine="420" w:firstLineChars="200"/>
        <w:outlineLvl w:val="2"/>
        <w:rPr>
          <w:rFonts w:ascii="Times New Roman" w:hAnsi="Times New Roman" w:cs="Times New Roman"/>
          <w:b/>
          <w:szCs w:val="21"/>
        </w:rPr>
      </w:pPr>
      <w:r>
        <w:rPr>
          <w:rFonts w:ascii="Times New Roman" w:hAnsi="Times New Roman" w:cs="Times New Roman"/>
          <w:b/>
          <w:szCs w:val="21"/>
        </w:rPr>
        <w:t>八、不可抗力</w:t>
      </w:r>
    </w:p>
    <w:p>
      <w:pPr>
        <w:pStyle w:val="2"/>
        <w:spacing w:after="0" w:line="440" w:lineRule="exact"/>
        <w:ind w:firstLine="420" w:firstLineChars="200"/>
        <w:rPr>
          <w:rFonts w:ascii="Times New Roman" w:hAnsi="Times New Roman" w:cs="Times New Roman"/>
          <w:szCs w:val="21"/>
        </w:rPr>
      </w:pPr>
      <w:r>
        <w:rPr>
          <w:rFonts w:ascii="Times New Roman" w:hAnsi="Times New Roman" w:cs="Times New Roman"/>
          <w:szCs w:val="21"/>
        </w:rPr>
        <w:t>1.如果双方中任何一方由于战争、严重火灾、水灾、台风和地震以及其它经双方同意属于不可抗力的事故，致使合同履行受阻时，履行合同的期限应予以延长，延长的期限应相当于事故所影响的时间。</w:t>
      </w:r>
    </w:p>
    <w:p>
      <w:pPr>
        <w:pStyle w:val="2"/>
        <w:spacing w:after="0" w:line="440" w:lineRule="exact"/>
        <w:ind w:firstLine="420" w:firstLineChars="200"/>
        <w:rPr>
          <w:rFonts w:ascii="Times New Roman" w:hAnsi="Times New Roman" w:cs="Times New Roman"/>
          <w:szCs w:val="21"/>
        </w:rPr>
      </w:pPr>
      <w:r>
        <w:rPr>
          <w:rFonts w:ascii="Times New Roman" w:hAnsi="Times New Roman" w:cs="Times New Roman"/>
          <w:szCs w:val="21"/>
        </w:rPr>
        <w:t>2.受事故影响的一方应在不可抗力事故发生后尽快以电话、传真等方式通知另一方，并在事故发生后14天内，将有关部门出具的证明文件用特快专递寄给或送给另一方。如果不可抗力影响时间延续120天以上，双方应通过友好协商在合理的时间内达成进一步履行合同的协议。</w:t>
      </w:r>
    </w:p>
    <w:p>
      <w:pPr>
        <w:snapToGrid w:val="0"/>
        <w:spacing w:line="440" w:lineRule="exact"/>
        <w:ind w:firstLine="420" w:firstLineChars="200"/>
        <w:outlineLvl w:val="2"/>
        <w:rPr>
          <w:rFonts w:ascii="Times New Roman" w:hAnsi="Times New Roman" w:cs="Times New Roman"/>
          <w:b/>
          <w:szCs w:val="21"/>
        </w:rPr>
      </w:pPr>
      <w:r>
        <w:rPr>
          <w:rFonts w:ascii="Times New Roman" w:hAnsi="Times New Roman" w:cs="Times New Roman"/>
          <w:b/>
          <w:szCs w:val="21"/>
        </w:rPr>
        <w:t>九、 合同解除和终止</w:t>
      </w:r>
    </w:p>
    <w:p>
      <w:pPr>
        <w:pStyle w:val="47"/>
        <w:spacing w:line="440" w:lineRule="exact"/>
        <w:ind w:left="0" w:leftChars="0" w:firstLine="420" w:firstLineChars="200"/>
        <w:jc w:val="left"/>
        <w:rPr>
          <w:rFonts w:ascii="Times New Roman" w:hAnsi="Times New Roman" w:cs="Times New Roman"/>
          <w:color w:val="auto"/>
          <w:sz w:val="21"/>
          <w:szCs w:val="21"/>
        </w:rPr>
      </w:pPr>
      <w:r>
        <w:rPr>
          <w:rFonts w:ascii="Times New Roman" w:hAnsi="Times New Roman" w:cs="Times New Roman"/>
          <w:color w:val="auto"/>
          <w:sz w:val="21"/>
          <w:szCs w:val="21"/>
        </w:rPr>
        <w:t>1.合同履约期满自行终止；</w:t>
      </w:r>
    </w:p>
    <w:p>
      <w:pPr>
        <w:pStyle w:val="47"/>
        <w:spacing w:line="440" w:lineRule="exact"/>
        <w:ind w:left="0" w:leftChars="0" w:firstLine="420" w:firstLineChars="200"/>
        <w:jc w:val="left"/>
        <w:rPr>
          <w:rFonts w:ascii="Times New Roman" w:hAnsi="Times New Roman" w:cs="Times New Roman"/>
          <w:color w:val="auto"/>
          <w:sz w:val="21"/>
          <w:szCs w:val="21"/>
        </w:rPr>
      </w:pPr>
      <w:r>
        <w:rPr>
          <w:rFonts w:ascii="Times New Roman" w:hAnsi="Times New Roman" w:cs="Times New Roman"/>
          <w:color w:val="auto"/>
          <w:sz w:val="21"/>
          <w:szCs w:val="21"/>
        </w:rPr>
        <w:t>2.因国家政策变动、行业主管部门管理要求或其他原因，致使合同无法履行，甲乙双方经协商一致可提前终止合同。</w:t>
      </w:r>
    </w:p>
    <w:p>
      <w:pPr>
        <w:pStyle w:val="47"/>
        <w:spacing w:line="440" w:lineRule="exact"/>
        <w:ind w:left="0" w:leftChars="0" w:firstLine="420" w:firstLineChars="200"/>
        <w:jc w:val="left"/>
        <w:rPr>
          <w:rFonts w:ascii="Times New Roman" w:hAnsi="Times New Roman" w:cs="Times New Roman"/>
          <w:color w:val="auto"/>
          <w:sz w:val="21"/>
          <w:szCs w:val="21"/>
        </w:rPr>
      </w:pPr>
      <w:r>
        <w:rPr>
          <w:rFonts w:ascii="Times New Roman" w:hAnsi="Times New Roman" w:cs="Times New Roman"/>
          <w:color w:val="auto"/>
          <w:sz w:val="21"/>
          <w:szCs w:val="21"/>
        </w:rPr>
        <w:t>3.甲方有权不定期考察乙方服务情况，如乙方服务违反本合同约定或继续合作损害甲方利益的，甲方经书面通知乙方后有权提前解约。合同提前终止或解除的，双方应继续履行已发生业务并结清费用。</w:t>
      </w:r>
    </w:p>
    <w:p>
      <w:pPr>
        <w:snapToGrid w:val="0"/>
        <w:spacing w:line="440" w:lineRule="exact"/>
        <w:ind w:firstLine="420" w:firstLineChars="200"/>
        <w:outlineLvl w:val="2"/>
        <w:rPr>
          <w:rFonts w:ascii="Times New Roman" w:hAnsi="Times New Roman" w:cs="Times New Roman"/>
          <w:b/>
          <w:szCs w:val="21"/>
        </w:rPr>
      </w:pPr>
      <w:r>
        <w:rPr>
          <w:rFonts w:ascii="Times New Roman" w:hAnsi="Times New Roman" w:cs="Times New Roman"/>
          <w:b/>
          <w:szCs w:val="21"/>
        </w:rPr>
        <w:t>十、附则</w:t>
      </w:r>
    </w:p>
    <w:p>
      <w:pPr>
        <w:pStyle w:val="47"/>
        <w:spacing w:line="440" w:lineRule="exact"/>
        <w:ind w:left="0" w:leftChars="0" w:firstLine="420" w:firstLineChars="200"/>
        <w:jc w:val="left"/>
        <w:rPr>
          <w:rFonts w:ascii="Times New Roman" w:hAnsi="Times New Roman" w:cs="Times New Roman"/>
          <w:color w:val="auto"/>
          <w:sz w:val="21"/>
          <w:szCs w:val="21"/>
        </w:rPr>
      </w:pPr>
      <w:r>
        <w:rPr>
          <w:rFonts w:ascii="Times New Roman" w:hAnsi="Times New Roman" w:cs="Times New Roman"/>
          <w:color w:val="auto"/>
          <w:sz w:val="21"/>
          <w:szCs w:val="21"/>
        </w:rPr>
        <w:t>1.本合同未尽事宜，由双方协商解决，凡经双方同意并签字盖章的文件均视为本合同之补充文件，与本合同具有同等效力。</w:t>
      </w:r>
    </w:p>
    <w:p>
      <w:pPr>
        <w:pStyle w:val="47"/>
        <w:spacing w:line="440" w:lineRule="exact"/>
        <w:ind w:left="0" w:leftChars="0" w:firstLine="420" w:firstLineChars="200"/>
        <w:jc w:val="left"/>
        <w:rPr>
          <w:rFonts w:ascii="Times New Roman" w:hAnsi="Times New Roman" w:cs="Times New Roman"/>
          <w:color w:val="auto"/>
          <w:sz w:val="21"/>
          <w:szCs w:val="21"/>
        </w:rPr>
      </w:pPr>
      <w:r>
        <w:rPr>
          <w:rFonts w:ascii="Times New Roman" w:hAnsi="Times New Roman" w:cs="Times New Roman"/>
          <w:color w:val="auto"/>
          <w:sz w:val="21"/>
          <w:szCs w:val="21"/>
        </w:rPr>
        <w:t xml:space="preserve">2.本合同一式肆份，双方各执贰份，具有同等法律效力。双方签字盖章生效。 </w:t>
      </w:r>
    </w:p>
    <w:p>
      <w:pPr>
        <w:pStyle w:val="47"/>
        <w:spacing w:line="440" w:lineRule="exact"/>
        <w:ind w:left="0" w:leftChars="0" w:firstLine="420" w:firstLineChars="200"/>
        <w:jc w:val="left"/>
        <w:rPr>
          <w:rFonts w:ascii="Times New Roman" w:hAnsi="Times New Roman" w:cs="Times New Roman"/>
          <w:color w:val="auto"/>
          <w:sz w:val="21"/>
          <w:szCs w:val="21"/>
        </w:rPr>
      </w:pPr>
      <w:r>
        <w:rPr>
          <w:rFonts w:ascii="Times New Roman" w:hAnsi="Times New Roman" w:cs="Times New Roman"/>
          <w:color w:val="auto"/>
          <w:sz w:val="21"/>
          <w:szCs w:val="21"/>
        </w:rPr>
        <w:t>3.如履行合同过程中发生争议，双方应本着平等自愿的原则，按照合同的约定分清各自的责任，采用协商的办法解决争议，若双方不愿协商或者协商不成的，向甲方所在地仲裁机构申请仲裁或人民法院起诉。</w:t>
      </w:r>
    </w:p>
    <w:p>
      <w:pPr>
        <w:spacing w:line="440" w:lineRule="exact"/>
        <w:ind w:left="630" w:hanging="630" w:hangingChars="300"/>
        <w:jc w:val="left"/>
        <w:rPr>
          <w:rFonts w:ascii="Times New Roman" w:hAnsi="Times New Roman" w:cs="Times New Roman"/>
          <w:szCs w:val="21"/>
        </w:rPr>
      </w:pPr>
    </w:p>
    <w:p>
      <w:pPr>
        <w:spacing w:line="440" w:lineRule="exact"/>
        <w:ind w:left="630" w:hanging="630" w:hangingChars="300"/>
        <w:jc w:val="left"/>
        <w:rPr>
          <w:rFonts w:ascii="Times New Roman" w:hAnsi="Times New Roman" w:cs="Times New Roman"/>
          <w:szCs w:val="21"/>
        </w:rPr>
      </w:pPr>
    </w:p>
    <w:p>
      <w:pPr>
        <w:spacing w:line="440" w:lineRule="exact"/>
        <w:ind w:left="630" w:hanging="630" w:hangingChars="300"/>
        <w:jc w:val="left"/>
        <w:rPr>
          <w:rFonts w:ascii="Times New Roman" w:hAnsi="Times New Roman" w:cs="Times New Roman"/>
          <w:szCs w:val="21"/>
        </w:rPr>
      </w:pPr>
      <w:r>
        <w:rPr>
          <w:rFonts w:ascii="Times New Roman" w:hAnsi="Times New Roman" w:cs="Times New Roman"/>
          <w:szCs w:val="21"/>
        </w:rPr>
        <w:t xml:space="preserve">甲方: 安徽省高速公路试验检测                 乙方： </w:t>
      </w:r>
    </w:p>
    <w:p>
      <w:pPr>
        <w:spacing w:line="440" w:lineRule="exact"/>
        <w:ind w:left="630" w:hanging="630" w:hangingChars="300"/>
        <w:jc w:val="left"/>
        <w:rPr>
          <w:rFonts w:ascii="Times New Roman" w:hAnsi="Times New Roman" w:cs="Times New Roman"/>
          <w:szCs w:val="21"/>
        </w:rPr>
      </w:pPr>
      <w:r>
        <w:rPr>
          <w:rFonts w:ascii="Times New Roman" w:hAnsi="Times New Roman" w:cs="Times New Roman"/>
          <w:szCs w:val="21"/>
        </w:rPr>
        <w:t xml:space="preserve">      科研中心有限公司 （盖章）                                       （盖章）</w:t>
      </w:r>
    </w:p>
    <w:p>
      <w:pPr>
        <w:spacing w:after="240" w:line="440" w:lineRule="exact"/>
        <w:jc w:val="left"/>
        <w:rPr>
          <w:rFonts w:ascii="Times New Roman" w:hAnsi="Times New Roman" w:cs="Times New Roman"/>
          <w:szCs w:val="21"/>
        </w:rPr>
      </w:pPr>
      <w:r>
        <w:rPr>
          <w:rFonts w:ascii="Times New Roman" w:hAnsi="Times New Roman" w:cs="Times New Roman"/>
          <w:szCs w:val="21"/>
        </w:rPr>
        <w:t>法定代表人                                   法定代表人</w:t>
      </w:r>
    </w:p>
    <w:p>
      <w:pPr>
        <w:spacing w:after="240" w:line="440" w:lineRule="exact"/>
        <w:jc w:val="left"/>
        <w:rPr>
          <w:rFonts w:ascii="Times New Roman" w:hAnsi="Times New Roman" w:cs="Times New Roman"/>
          <w:szCs w:val="21"/>
        </w:rPr>
      </w:pPr>
      <w:r>
        <w:rPr>
          <w:rFonts w:ascii="Times New Roman" w:hAnsi="Times New Roman" w:cs="Times New Roman"/>
          <w:szCs w:val="21"/>
        </w:rPr>
        <w:t>或其委托代理人： 　            　            或其委托代理人：</w:t>
      </w:r>
    </w:p>
    <w:p>
      <w:pPr>
        <w:spacing w:line="440" w:lineRule="exact"/>
        <w:rPr>
          <w:rFonts w:ascii="Times New Roman" w:hAnsi="Times New Roman" w:cs="Times New Roman"/>
          <w:b/>
          <w:szCs w:val="21"/>
        </w:rPr>
      </w:pPr>
      <w:r>
        <w:rPr>
          <w:rFonts w:ascii="Times New Roman" w:hAnsi="Times New Roman" w:cs="Times New Roman"/>
          <w:szCs w:val="21"/>
        </w:rPr>
        <w:t>签约时间： 　年   月  日　                   签约时间： 　年   月  日</w:t>
      </w:r>
    </w:p>
    <w:p>
      <w:pPr>
        <w:spacing w:line="440" w:lineRule="exact"/>
        <w:rPr>
          <w:rFonts w:ascii="Times New Roman" w:hAnsi="Times New Roman" w:cs="Times New Roman"/>
          <w:szCs w:val="21"/>
        </w:rPr>
      </w:pPr>
      <w:r>
        <w:rPr>
          <w:rFonts w:ascii="Times New Roman" w:hAnsi="Times New Roman" w:cs="Times New Roman"/>
          <w:szCs w:val="21"/>
        </w:rPr>
        <w:br w:type="page"/>
      </w:r>
    </w:p>
    <w:p>
      <w:pPr>
        <w:pStyle w:val="5"/>
        <w:numPr>
          <w:ilvl w:val="0"/>
          <w:numId w:val="0"/>
        </w:numPr>
        <w:spacing w:before="120" w:line="440" w:lineRule="exact"/>
        <w:rPr>
          <w:rFonts w:ascii="Times New Roman" w:hAnsi="Times New Roman" w:cs="Times New Roman"/>
          <w:sz w:val="21"/>
          <w:szCs w:val="21"/>
        </w:rPr>
      </w:pPr>
      <w:r>
        <w:rPr>
          <w:rFonts w:ascii="Times New Roman" w:hAnsi="Times New Roman" w:cs="Times New Roman"/>
          <w:sz w:val="21"/>
          <w:szCs w:val="21"/>
        </w:rPr>
        <w:t>附件二：廉 政 合 同</w:t>
      </w:r>
      <w:bookmarkEnd w:id="64"/>
      <w:bookmarkEnd w:id="65"/>
      <w:bookmarkEnd w:id="66"/>
      <w:bookmarkEnd w:id="67"/>
    </w:p>
    <w:p>
      <w:pPr>
        <w:pStyle w:val="31"/>
        <w:spacing w:line="440" w:lineRule="exact"/>
        <w:rPr>
          <w:rFonts w:ascii="Times New Roman" w:hAnsi="Times New Roman" w:cs="Times New Roman"/>
          <w:szCs w:val="28"/>
        </w:rPr>
      </w:pPr>
      <w:r>
        <w:rPr>
          <w:rFonts w:ascii="Times New Roman" w:hAnsi="Times New Roman" w:cs="Times New Roman"/>
          <w:szCs w:val="28"/>
        </w:rPr>
        <w:t>廉 政 合 同</w:t>
      </w:r>
    </w:p>
    <w:p>
      <w:pPr>
        <w:pStyle w:val="31"/>
        <w:spacing w:line="440" w:lineRule="exact"/>
        <w:rPr>
          <w:rFonts w:ascii="Times New Roman" w:hAnsi="Times New Roman" w:cs="Times New Roman" w:eastAsiaTheme="minorEastAsia"/>
          <w:sz w:val="21"/>
          <w:szCs w:val="21"/>
        </w:rPr>
      </w:pPr>
    </w:p>
    <w:p>
      <w:pPr>
        <w:spacing w:line="440" w:lineRule="exact"/>
        <w:ind w:firstLine="539" w:firstLineChars="257"/>
        <w:rPr>
          <w:rFonts w:ascii="Times New Roman" w:hAnsi="Times New Roman" w:cs="Times New Roman"/>
          <w:szCs w:val="21"/>
        </w:rPr>
      </w:pPr>
      <w:r>
        <w:rPr>
          <w:rFonts w:ascii="Times New Roman" w:hAnsi="Times New Roman" w:cs="Times New Roman"/>
          <w:szCs w:val="21"/>
        </w:rPr>
        <w:t>根据有关工程建设、廉政建设的规定，为做好工程建设中的党风廉政建设，保证工程建设高效优质，保证建设资金的安全和有效使用以及投资效益，</w:t>
      </w:r>
      <w:r>
        <w:rPr>
          <w:rFonts w:ascii="Times New Roman" w:hAnsi="Times New Roman" w:cs="Times New Roman"/>
          <w:szCs w:val="21"/>
          <w:u w:val="single"/>
        </w:rPr>
        <w:t>安徽省高速公路试验检测科研中心有限公司试验场地（园区西库）装修改造项目（项目名称）</w:t>
      </w:r>
      <w:r>
        <w:rPr>
          <w:rFonts w:ascii="Times New Roman" w:hAnsi="Times New Roman" w:cs="Times New Roman"/>
          <w:szCs w:val="21"/>
        </w:rPr>
        <w:t>的项目法人</w:t>
      </w:r>
      <w:r>
        <w:rPr>
          <w:rFonts w:ascii="Times New Roman" w:hAnsi="Times New Roman" w:cs="Times New Roman"/>
          <w:szCs w:val="21"/>
          <w:u w:val="single"/>
        </w:rPr>
        <w:t xml:space="preserve">安徽省高速公路试验检测科研中心有限公司 </w:t>
      </w:r>
      <w:r>
        <w:rPr>
          <w:rFonts w:ascii="Times New Roman" w:hAnsi="Times New Roman" w:cs="Times New Roman"/>
          <w:szCs w:val="21"/>
        </w:rPr>
        <w:t>(项目法人名称，以下简称“发包人”)与该项目的施工单位</w:t>
      </w:r>
      <w:r>
        <w:rPr>
          <w:rFonts w:ascii="Times New Roman" w:hAnsi="Times New Roman" w:cs="Times New Roman"/>
          <w:szCs w:val="21"/>
          <w:u w:val="single"/>
        </w:rPr>
        <w:t xml:space="preserve">         </w:t>
      </w:r>
      <w:r>
        <w:rPr>
          <w:rFonts w:ascii="Times New Roman" w:hAnsi="Times New Roman" w:cs="Times New Roman"/>
          <w:szCs w:val="21"/>
        </w:rPr>
        <w:t>(施工单位名称，以下简称“承包人”)，特订立如下合同。</w:t>
      </w:r>
    </w:p>
    <w:p>
      <w:pPr>
        <w:spacing w:line="440" w:lineRule="exact"/>
        <w:ind w:firstLine="539" w:firstLineChars="257"/>
        <w:rPr>
          <w:rFonts w:ascii="Times New Roman" w:hAnsi="Times New Roman" w:cs="Times New Roman"/>
          <w:szCs w:val="21"/>
        </w:rPr>
      </w:pPr>
      <w:r>
        <w:rPr>
          <w:rFonts w:ascii="Times New Roman" w:hAnsi="Times New Roman" w:cs="Times New Roman"/>
          <w:szCs w:val="21"/>
        </w:rPr>
        <w:t>1. 发包人和承包人双方的权利和义务</w:t>
      </w:r>
    </w:p>
    <w:p>
      <w:pPr>
        <w:spacing w:line="440" w:lineRule="exact"/>
        <w:ind w:firstLine="539" w:firstLineChars="257"/>
        <w:rPr>
          <w:rFonts w:ascii="Times New Roman" w:hAnsi="Times New Roman" w:cs="Times New Roman"/>
          <w:szCs w:val="21"/>
        </w:rPr>
      </w:pPr>
      <w:r>
        <w:rPr>
          <w:rFonts w:ascii="Times New Roman" w:hAnsi="Times New Roman" w:cs="Times New Roman"/>
          <w:szCs w:val="21"/>
        </w:rPr>
        <w:t>(1) 严格遵守党的政策规定和国家有关法律法规的有关规定。</w:t>
      </w:r>
    </w:p>
    <w:p>
      <w:pPr>
        <w:spacing w:line="440" w:lineRule="exact"/>
        <w:ind w:firstLine="539" w:firstLineChars="257"/>
        <w:rPr>
          <w:rFonts w:ascii="Times New Roman" w:hAnsi="Times New Roman" w:cs="Times New Roman"/>
          <w:szCs w:val="21"/>
        </w:rPr>
      </w:pPr>
      <w:r>
        <w:rPr>
          <w:rFonts w:ascii="Times New Roman" w:hAnsi="Times New Roman" w:cs="Times New Roman"/>
          <w:szCs w:val="21"/>
        </w:rPr>
        <w:t>(2) 严格执行</w:t>
      </w:r>
      <w:r>
        <w:rPr>
          <w:rFonts w:ascii="Times New Roman" w:hAnsi="Times New Roman" w:cs="Times New Roman"/>
          <w:szCs w:val="21"/>
          <w:u w:val="single"/>
        </w:rPr>
        <w:t xml:space="preserve"> 安徽省高速公路试验检测科研中心有限公司试验场地（园区西库）装修改造项目（项目名称）</w:t>
      </w:r>
      <w:r>
        <w:rPr>
          <w:rFonts w:ascii="Times New Roman" w:hAnsi="Times New Roman" w:cs="Times New Roman"/>
          <w:szCs w:val="21"/>
        </w:rPr>
        <w:t>合同文件，自觉按合同办事。</w:t>
      </w:r>
    </w:p>
    <w:p>
      <w:pPr>
        <w:spacing w:line="440" w:lineRule="exact"/>
        <w:ind w:firstLine="539" w:firstLineChars="257"/>
        <w:rPr>
          <w:rFonts w:ascii="Times New Roman" w:hAnsi="Times New Roman" w:cs="Times New Roman"/>
          <w:szCs w:val="21"/>
        </w:rPr>
      </w:pPr>
      <w:r>
        <w:rPr>
          <w:rFonts w:ascii="Times New Roman" w:hAnsi="Times New Roman" w:cs="Times New Roman"/>
          <w:szCs w:val="21"/>
        </w:rPr>
        <w:t>(3) 双方的业务活动坚持公开、公正、诚信、透明的原则(法律认定的商业秘密和合同文件另有规定除外)，不得损害国家和集体利益，不得违反工程建设管理规章制度。</w:t>
      </w:r>
    </w:p>
    <w:p>
      <w:pPr>
        <w:spacing w:line="440" w:lineRule="exact"/>
        <w:ind w:firstLine="539" w:firstLineChars="257"/>
        <w:rPr>
          <w:rFonts w:ascii="Times New Roman" w:hAnsi="Times New Roman" w:cs="Times New Roman"/>
          <w:szCs w:val="21"/>
        </w:rPr>
      </w:pPr>
      <w:r>
        <w:rPr>
          <w:rFonts w:ascii="Times New Roman" w:hAnsi="Times New Roman" w:cs="Times New Roman"/>
          <w:szCs w:val="21"/>
        </w:rPr>
        <w:t>(4) 建立健全廉政制度，开展廉政教育，设立廉政告示牌，公布举报电话，监督并认真查处违法违纪行为。</w:t>
      </w:r>
    </w:p>
    <w:p>
      <w:pPr>
        <w:spacing w:line="440" w:lineRule="exact"/>
        <w:ind w:firstLine="539" w:firstLineChars="257"/>
        <w:rPr>
          <w:rFonts w:ascii="Times New Roman" w:hAnsi="Times New Roman" w:cs="Times New Roman"/>
          <w:szCs w:val="21"/>
        </w:rPr>
      </w:pPr>
      <w:r>
        <w:rPr>
          <w:rFonts w:ascii="Times New Roman" w:hAnsi="Times New Roman" w:cs="Times New Roman"/>
          <w:szCs w:val="21"/>
        </w:rPr>
        <w:t>(5) 发现对方在业务活动中有违反廉政规定的行为，有及时提醒对方纠正的权利和义务。</w:t>
      </w:r>
    </w:p>
    <w:p>
      <w:pPr>
        <w:spacing w:line="440" w:lineRule="exact"/>
        <w:ind w:firstLine="539" w:firstLineChars="257"/>
        <w:rPr>
          <w:rFonts w:ascii="Times New Roman" w:hAnsi="Times New Roman" w:cs="Times New Roman"/>
          <w:szCs w:val="21"/>
        </w:rPr>
      </w:pPr>
      <w:r>
        <w:rPr>
          <w:rFonts w:ascii="Times New Roman" w:hAnsi="Times New Roman" w:cs="Times New Roman"/>
          <w:szCs w:val="21"/>
        </w:rPr>
        <w:t>(6) 发现对方严重违反本合同义务条款的行为，有向其上级有关部门举报、建议给予处理并要求告知处理结果的权利。</w:t>
      </w:r>
    </w:p>
    <w:p>
      <w:pPr>
        <w:spacing w:line="440" w:lineRule="exact"/>
        <w:ind w:firstLine="539" w:firstLineChars="257"/>
        <w:rPr>
          <w:rFonts w:ascii="Times New Roman" w:hAnsi="Times New Roman" w:cs="Times New Roman"/>
          <w:szCs w:val="21"/>
        </w:rPr>
      </w:pPr>
      <w:r>
        <w:rPr>
          <w:rFonts w:ascii="Times New Roman" w:hAnsi="Times New Roman" w:cs="Times New Roman"/>
          <w:szCs w:val="21"/>
        </w:rPr>
        <w:t>2. 发包人的义务</w:t>
      </w:r>
    </w:p>
    <w:p>
      <w:pPr>
        <w:spacing w:line="440" w:lineRule="exact"/>
        <w:ind w:firstLine="539" w:firstLineChars="257"/>
        <w:rPr>
          <w:rFonts w:ascii="Times New Roman" w:hAnsi="Times New Roman" w:cs="Times New Roman"/>
          <w:szCs w:val="21"/>
        </w:rPr>
      </w:pPr>
      <w:r>
        <w:rPr>
          <w:rFonts w:ascii="Times New Roman" w:hAnsi="Times New Roman" w:cs="Times New Roman"/>
          <w:szCs w:val="21"/>
        </w:rPr>
        <w:t>(1) 发包人及其工作人员不得索要或接受承包人的礼金、有价证券和贵重物品，不得让承包人报销任何应由发包人或发包人工作人员个人支付的费用等。</w:t>
      </w:r>
    </w:p>
    <w:p>
      <w:pPr>
        <w:spacing w:line="440" w:lineRule="exact"/>
        <w:ind w:firstLine="539" w:firstLineChars="257"/>
        <w:rPr>
          <w:rFonts w:ascii="Times New Roman" w:hAnsi="Times New Roman" w:cs="Times New Roman"/>
          <w:szCs w:val="21"/>
        </w:rPr>
      </w:pPr>
      <w:r>
        <w:rPr>
          <w:rFonts w:ascii="Times New Roman" w:hAnsi="Times New Roman" w:cs="Times New Roman"/>
          <w:szCs w:val="21"/>
        </w:rPr>
        <w:t>(2) 发包人工作人员不得参加承包人安排的超标准宴请和娱乐活动；不得接受承包人提供的通讯工具、交通工具和高档办公用品等。</w:t>
      </w:r>
    </w:p>
    <w:p>
      <w:pPr>
        <w:spacing w:line="440" w:lineRule="exact"/>
        <w:ind w:firstLine="539" w:firstLineChars="257"/>
        <w:rPr>
          <w:rFonts w:ascii="Times New Roman" w:hAnsi="Times New Roman" w:cs="Times New Roman"/>
          <w:szCs w:val="21"/>
        </w:rPr>
      </w:pPr>
      <w:r>
        <w:rPr>
          <w:rFonts w:ascii="Times New Roman" w:hAnsi="Times New Roman" w:cs="Times New Roman"/>
          <w:szCs w:val="21"/>
        </w:rPr>
        <w:t>(3) 发包人及其工作人员不得要求或者接受承包人为其住房装修、婚丧嫁娶活动、配偶子女的工作安排以及出国出境、旅游等提供方便等。</w:t>
      </w:r>
    </w:p>
    <w:p>
      <w:pPr>
        <w:spacing w:line="440" w:lineRule="exact"/>
        <w:ind w:firstLine="539" w:firstLineChars="257"/>
        <w:rPr>
          <w:rFonts w:ascii="Times New Roman" w:hAnsi="Times New Roman" w:cs="Times New Roman"/>
          <w:szCs w:val="21"/>
        </w:rPr>
      </w:pPr>
      <w:r>
        <w:rPr>
          <w:rFonts w:ascii="Times New Roman" w:hAnsi="Times New Roman" w:cs="Times New Roman"/>
          <w:szCs w:val="21"/>
        </w:rPr>
        <w:t>(4) 发包人工作人员及其配偶、子女不得从事与发包人工程有关的材料设备供应、工程分包、劳务等经济活动等。</w:t>
      </w:r>
    </w:p>
    <w:p>
      <w:pPr>
        <w:spacing w:line="440" w:lineRule="exact"/>
        <w:ind w:firstLine="539" w:firstLineChars="257"/>
        <w:rPr>
          <w:rFonts w:ascii="Times New Roman" w:hAnsi="Times New Roman" w:cs="Times New Roman"/>
          <w:szCs w:val="21"/>
        </w:rPr>
      </w:pPr>
      <w:r>
        <w:rPr>
          <w:rFonts w:ascii="Times New Roman" w:hAnsi="Times New Roman" w:cs="Times New Roman"/>
          <w:szCs w:val="21"/>
        </w:rPr>
        <w:t>(5) 发包人及其工作人员不得以任何理由向承包人推荐分包单位或推销材料，不得要求承包人购买合同规定外的材料和设备。</w:t>
      </w:r>
    </w:p>
    <w:p>
      <w:pPr>
        <w:spacing w:line="440" w:lineRule="exact"/>
        <w:ind w:firstLine="539" w:firstLineChars="257"/>
        <w:rPr>
          <w:rFonts w:ascii="Times New Roman" w:hAnsi="Times New Roman" w:cs="Times New Roman"/>
          <w:szCs w:val="21"/>
        </w:rPr>
      </w:pPr>
      <w:r>
        <w:rPr>
          <w:rFonts w:ascii="Times New Roman" w:hAnsi="Times New Roman" w:cs="Times New Roman"/>
          <w:szCs w:val="21"/>
        </w:rPr>
        <w:t>(6) 发包人工作人员要秉公办事，不准营私舞弊，不准利用职权从事各种个人有偿中介活动和安排个人施工队伍。</w:t>
      </w:r>
    </w:p>
    <w:p>
      <w:pPr>
        <w:spacing w:line="440" w:lineRule="exact"/>
        <w:ind w:firstLine="539" w:firstLineChars="257"/>
        <w:rPr>
          <w:rFonts w:ascii="Times New Roman" w:hAnsi="Times New Roman" w:cs="Times New Roman"/>
          <w:szCs w:val="21"/>
        </w:rPr>
      </w:pPr>
      <w:r>
        <w:rPr>
          <w:rFonts w:ascii="Times New Roman" w:hAnsi="Times New Roman" w:cs="Times New Roman"/>
          <w:szCs w:val="21"/>
        </w:rPr>
        <w:t>3. 承包人的义务</w:t>
      </w:r>
    </w:p>
    <w:p>
      <w:pPr>
        <w:spacing w:line="440" w:lineRule="exact"/>
        <w:ind w:firstLine="539" w:firstLineChars="257"/>
        <w:rPr>
          <w:rFonts w:ascii="Times New Roman" w:hAnsi="Times New Roman" w:cs="Times New Roman"/>
          <w:szCs w:val="21"/>
        </w:rPr>
      </w:pPr>
      <w:r>
        <w:rPr>
          <w:rFonts w:ascii="Times New Roman" w:hAnsi="Times New Roman" w:cs="Times New Roman"/>
          <w:szCs w:val="21"/>
        </w:rPr>
        <w:t>(1) 承包人不得以任何理由向发包人及其工作人员行贿或馈赠礼金、有价证券、贵重礼品。</w:t>
      </w:r>
    </w:p>
    <w:p>
      <w:pPr>
        <w:spacing w:line="440" w:lineRule="exact"/>
        <w:ind w:firstLine="539" w:firstLineChars="257"/>
        <w:rPr>
          <w:rFonts w:ascii="Times New Roman" w:hAnsi="Times New Roman" w:cs="Times New Roman"/>
          <w:szCs w:val="21"/>
        </w:rPr>
      </w:pPr>
      <w:r>
        <w:rPr>
          <w:rFonts w:ascii="Times New Roman" w:hAnsi="Times New Roman" w:cs="Times New Roman"/>
          <w:szCs w:val="21"/>
        </w:rPr>
        <w:t>(2) 承包人不得以任何名义为发包人及其工作人员报销应由发包人单位或个人支付的任何费用。</w:t>
      </w:r>
    </w:p>
    <w:p>
      <w:pPr>
        <w:spacing w:line="440" w:lineRule="exact"/>
        <w:ind w:firstLine="539" w:firstLineChars="257"/>
        <w:rPr>
          <w:rFonts w:ascii="Times New Roman" w:hAnsi="Times New Roman" w:cs="Times New Roman"/>
          <w:szCs w:val="21"/>
        </w:rPr>
      </w:pPr>
      <w:r>
        <w:rPr>
          <w:rFonts w:ascii="Times New Roman" w:hAnsi="Times New Roman" w:cs="Times New Roman"/>
          <w:szCs w:val="21"/>
        </w:rPr>
        <w:t>(3) 承包人不得以任何理由安排发包人工作人员参加超标准宴请及娱乐活动。</w:t>
      </w:r>
    </w:p>
    <w:p>
      <w:pPr>
        <w:spacing w:line="440" w:lineRule="exact"/>
        <w:ind w:firstLine="539" w:firstLineChars="257"/>
        <w:rPr>
          <w:rFonts w:ascii="Times New Roman" w:hAnsi="Times New Roman" w:cs="Times New Roman"/>
          <w:szCs w:val="21"/>
        </w:rPr>
      </w:pPr>
      <w:r>
        <w:rPr>
          <w:rFonts w:ascii="Times New Roman" w:hAnsi="Times New Roman" w:cs="Times New Roman"/>
          <w:szCs w:val="21"/>
        </w:rPr>
        <w:t>(4) 承包人不得为发包人单位和个人购置或提供通信工具、交通工具和高档办公用品等。</w:t>
      </w:r>
    </w:p>
    <w:p>
      <w:pPr>
        <w:spacing w:line="440" w:lineRule="exact"/>
        <w:ind w:firstLine="539" w:firstLineChars="257"/>
        <w:rPr>
          <w:rFonts w:ascii="Times New Roman" w:hAnsi="Times New Roman" w:cs="Times New Roman"/>
          <w:szCs w:val="21"/>
        </w:rPr>
      </w:pPr>
      <w:r>
        <w:rPr>
          <w:rFonts w:ascii="Times New Roman" w:hAnsi="Times New Roman" w:cs="Times New Roman"/>
          <w:szCs w:val="21"/>
        </w:rPr>
        <w:t>4. 违约责任</w:t>
      </w:r>
    </w:p>
    <w:p>
      <w:pPr>
        <w:spacing w:line="440" w:lineRule="exact"/>
        <w:ind w:firstLine="539" w:firstLineChars="257"/>
        <w:rPr>
          <w:rFonts w:ascii="Times New Roman" w:hAnsi="Times New Roman" w:cs="Times New Roman"/>
          <w:szCs w:val="21"/>
        </w:rPr>
      </w:pPr>
      <w:r>
        <w:rPr>
          <w:rFonts w:ascii="Times New Roman" w:hAnsi="Times New Roman" w:cs="Times New Roman"/>
          <w:szCs w:val="21"/>
        </w:rPr>
        <w:t>(1) 发包人及其工作人员违反本合同第1、2条，按管理权限，依据有关规定给予党纪、政纪或组织处理；涉嫌犯罪的，移交司法机关追究刑事责任；给承包人单位造成经济损失的，应予以赔偿。</w:t>
      </w:r>
    </w:p>
    <w:p>
      <w:pPr>
        <w:spacing w:line="440" w:lineRule="exact"/>
        <w:ind w:firstLine="539" w:firstLineChars="257"/>
        <w:rPr>
          <w:rFonts w:ascii="Times New Roman" w:hAnsi="Times New Roman" w:cs="Times New Roman"/>
          <w:szCs w:val="21"/>
        </w:rPr>
      </w:pPr>
      <w:r>
        <w:rPr>
          <w:rFonts w:ascii="Times New Roman" w:hAnsi="Times New Roman" w:cs="Times New Roman"/>
          <w:szCs w:val="21"/>
        </w:rPr>
        <w:t>(2) 承包人及其工作人员违反本合同第1、3条，按管理权限，依据有关规定给予党纪、政纪或组织处理；给发包人单位造成经济损失的，应予以赔偿；情节严重的，发包人建议行业主管部门给予承包人一至三年内不得进入其主管的建设市场的处罚。</w:t>
      </w:r>
    </w:p>
    <w:p>
      <w:pPr>
        <w:spacing w:line="440" w:lineRule="exact"/>
        <w:ind w:firstLine="539" w:firstLineChars="257"/>
        <w:rPr>
          <w:rFonts w:ascii="Times New Roman" w:hAnsi="Times New Roman" w:cs="Times New Roman"/>
          <w:szCs w:val="21"/>
        </w:rPr>
      </w:pPr>
      <w:r>
        <w:rPr>
          <w:rFonts w:ascii="Times New Roman" w:hAnsi="Times New Roman" w:cs="Times New Roman"/>
          <w:szCs w:val="21"/>
        </w:rPr>
        <w:t>5. 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pacing w:line="440" w:lineRule="exact"/>
        <w:ind w:firstLine="539" w:firstLineChars="257"/>
        <w:rPr>
          <w:rFonts w:ascii="Times New Roman" w:hAnsi="Times New Roman" w:cs="Times New Roman"/>
          <w:szCs w:val="21"/>
        </w:rPr>
      </w:pPr>
      <w:r>
        <w:rPr>
          <w:rFonts w:ascii="Times New Roman" w:hAnsi="Times New Roman" w:cs="Times New Roman"/>
          <w:szCs w:val="21"/>
        </w:rPr>
        <w:t>6. 本合同有效期为发包人和承包人签署之日起至该工程项目竣工验收后止。</w:t>
      </w:r>
    </w:p>
    <w:p>
      <w:pPr>
        <w:spacing w:line="440" w:lineRule="exact"/>
        <w:ind w:firstLine="539" w:firstLineChars="257"/>
        <w:rPr>
          <w:rFonts w:ascii="Times New Roman" w:hAnsi="Times New Roman" w:cs="Times New Roman"/>
          <w:szCs w:val="21"/>
        </w:rPr>
      </w:pPr>
      <w:r>
        <w:rPr>
          <w:rFonts w:ascii="Times New Roman" w:hAnsi="Times New Roman" w:cs="Times New Roman"/>
          <w:szCs w:val="21"/>
        </w:rPr>
        <w:t>7. 本合同作为</w:t>
      </w:r>
      <w:r>
        <w:rPr>
          <w:rFonts w:ascii="Times New Roman" w:hAnsi="Times New Roman" w:cs="Times New Roman"/>
          <w:szCs w:val="21"/>
          <w:u w:val="single"/>
        </w:rPr>
        <w:t xml:space="preserve"> 安徽省高速公路试验检测科研中心有限公司试验场地（园区西库）装修改造项目（项目名称）</w:t>
      </w:r>
      <w:r>
        <w:rPr>
          <w:rFonts w:ascii="Times New Roman" w:hAnsi="Times New Roman" w:cs="Times New Roman"/>
          <w:szCs w:val="21"/>
        </w:rPr>
        <w:t>合同的附件，与工程施工合同具有同等的法律效力，经合同双方签署后立即生效。</w:t>
      </w:r>
    </w:p>
    <w:p>
      <w:pPr>
        <w:spacing w:line="440" w:lineRule="exact"/>
        <w:ind w:firstLine="539" w:firstLineChars="257"/>
        <w:rPr>
          <w:rFonts w:ascii="Times New Roman" w:hAnsi="Times New Roman" w:cs="Times New Roman"/>
          <w:szCs w:val="21"/>
        </w:rPr>
      </w:pPr>
      <w:r>
        <w:rPr>
          <w:rFonts w:ascii="Times New Roman" w:hAnsi="Times New Roman" w:cs="Times New Roman"/>
          <w:szCs w:val="21"/>
        </w:rPr>
        <w:t>8. 本合同一式肆份，双方各执贰份，具有同等法律效力。双方签字盖章生效。</w:t>
      </w:r>
    </w:p>
    <w:p>
      <w:pPr>
        <w:spacing w:line="440" w:lineRule="exact"/>
        <w:rPr>
          <w:rFonts w:ascii="Times New Roman" w:hAnsi="Times New Roman" w:cs="Times New Roman"/>
          <w:szCs w:val="21"/>
        </w:rPr>
      </w:pPr>
    </w:p>
    <w:p>
      <w:pPr>
        <w:spacing w:line="440" w:lineRule="exact"/>
        <w:rPr>
          <w:rFonts w:ascii="Times New Roman" w:hAnsi="Times New Roman" w:cs="Times New Roman"/>
          <w:szCs w:val="21"/>
        </w:rPr>
      </w:pPr>
      <w:r>
        <w:rPr>
          <w:rFonts w:ascii="Times New Roman" w:hAnsi="Times New Roman" w:cs="Times New Roman"/>
          <w:szCs w:val="21"/>
        </w:rPr>
        <w:t>发包人：</w:t>
      </w:r>
      <w:r>
        <w:rPr>
          <w:rFonts w:ascii="Times New Roman" w:hAnsi="Times New Roman" w:cs="Times New Roman"/>
          <w:szCs w:val="21"/>
          <w:u w:val="single"/>
        </w:rPr>
        <w:t xml:space="preserve">               </w:t>
      </w:r>
      <w:r>
        <w:rPr>
          <w:rFonts w:ascii="Times New Roman" w:hAnsi="Times New Roman" w:cs="Times New Roman"/>
          <w:szCs w:val="21"/>
        </w:rPr>
        <w:t xml:space="preserve"> (盖单位章)                   承包人：</w:t>
      </w:r>
      <w:r>
        <w:rPr>
          <w:rFonts w:ascii="Times New Roman" w:hAnsi="Times New Roman" w:cs="Times New Roman"/>
          <w:szCs w:val="21"/>
          <w:u w:val="single"/>
        </w:rPr>
        <w:t xml:space="preserve">                </w:t>
      </w:r>
      <w:r>
        <w:rPr>
          <w:rFonts w:ascii="Times New Roman" w:hAnsi="Times New Roman" w:cs="Times New Roman"/>
          <w:szCs w:val="21"/>
        </w:rPr>
        <w:t>(盖单位章)</w:t>
      </w:r>
    </w:p>
    <w:p>
      <w:pPr>
        <w:spacing w:line="440" w:lineRule="exact"/>
        <w:rPr>
          <w:rFonts w:ascii="Times New Roman" w:hAnsi="Times New Roman" w:cs="Times New Roman"/>
          <w:szCs w:val="21"/>
        </w:rPr>
      </w:pPr>
      <w:r>
        <w:rPr>
          <w:rFonts w:ascii="Times New Roman" w:hAnsi="Times New Roman" w:cs="Times New Roman"/>
          <w:szCs w:val="21"/>
        </w:rPr>
        <w:t>法定代表人或其委托代理人：</w:t>
      </w:r>
      <w:r>
        <w:rPr>
          <w:rFonts w:ascii="Times New Roman" w:hAnsi="Times New Roman" w:cs="Times New Roman"/>
          <w:szCs w:val="21"/>
          <w:u w:val="single"/>
        </w:rPr>
        <w:t xml:space="preserve">   </w:t>
      </w:r>
      <w:r>
        <w:rPr>
          <w:rFonts w:ascii="Times New Roman" w:hAnsi="Times New Roman" w:cs="Times New Roman"/>
          <w:szCs w:val="21"/>
        </w:rPr>
        <w:t>(签名)                  法定代表人或其委托代理人：</w:t>
      </w:r>
      <w:r>
        <w:rPr>
          <w:rFonts w:ascii="Times New Roman" w:hAnsi="Times New Roman" w:cs="Times New Roman"/>
          <w:szCs w:val="21"/>
          <w:u w:val="single"/>
        </w:rPr>
        <w:t xml:space="preserve">   </w:t>
      </w:r>
      <w:r>
        <w:rPr>
          <w:rFonts w:ascii="Times New Roman" w:hAnsi="Times New Roman" w:cs="Times New Roman"/>
          <w:szCs w:val="21"/>
        </w:rPr>
        <w:t>(签名)</w:t>
      </w:r>
    </w:p>
    <w:p>
      <w:pPr>
        <w:spacing w:line="440" w:lineRule="exact"/>
        <w:rPr>
          <w:rFonts w:ascii="Times New Roman" w:hAnsi="Times New Roman" w:cs="Times New Roman"/>
          <w:szCs w:val="21"/>
        </w:rPr>
      </w:pPr>
      <w:r>
        <w:rPr>
          <w:rFonts w:ascii="Times New Roman" w:hAnsi="Times New Roman" w:cs="Times New Roman"/>
          <w:szCs w:val="21"/>
        </w:rPr>
        <w:t xml:space="preserve">        年    月     日                                       年     月     日</w:t>
      </w:r>
      <w:r>
        <w:rPr>
          <w:rFonts w:ascii="Times New Roman" w:hAnsi="Times New Roman" w:cs="Times New Roman"/>
          <w:szCs w:val="21"/>
        </w:rPr>
        <w:br w:type="page"/>
      </w:r>
    </w:p>
    <w:p>
      <w:pPr>
        <w:pStyle w:val="5"/>
        <w:numPr>
          <w:ilvl w:val="0"/>
          <w:numId w:val="0"/>
        </w:numPr>
        <w:spacing w:line="440" w:lineRule="exact"/>
        <w:rPr>
          <w:rFonts w:ascii="Times New Roman" w:hAnsi="Times New Roman" w:cs="Times New Roman"/>
          <w:sz w:val="21"/>
          <w:szCs w:val="21"/>
        </w:rPr>
      </w:pPr>
      <w:bookmarkStart w:id="68" w:name="_Toc18246"/>
      <w:bookmarkStart w:id="69" w:name="_Toc2783_WPSOffice_Level2"/>
      <w:bookmarkStart w:id="70" w:name="_Toc25727"/>
      <w:bookmarkStart w:id="71" w:name="_Toc27047"/>
      <w:r>
        <w:rPr>
          <w:rFonts w:ascii="Times New Roman" w:hAnsi="Times New Roman" w:cs="Times New Roman"/>
          <w:sz w:val="21"/>
          <w:szCs w:val="21"/>
        </w:rPr>
        <w:t>附件三：安全生产合同</w:t>
      </w:r>
      <w:bookmarkEnd w:id="68"/>
      <w:bookmarkEnd w:id="69"/>
      <w:bookmarkEnd w:id="70"/>
      <w:bookmarkEnd w:id="71"/>
    </w:p>
    <w:p>
      <w:pPr>
        <w:pStyle w:val="31"/>
        <w:spacing w:line="440" w:lineRule="exact"/>
        <w:rPr>
          <w:rFonts w:ascii="Times New Roman" w:hAnsi="Times New Roman" w:eastAsia="方正小标宋简体" w:cs="Times New Roman"/>
          <w:szCs w:val="28"/>
        </w:rPr>
      </w:pPr>
      <w:r>
        <w:rPr>
          <w:rFonts w:ascii="Times New Roman" w:hAnsi="Times New Roman" w:eastAsia="方正小标宋简体" w:cs="Times New Roman"/>
          <w:szCs w:val="28"/>
        </w:rPr>
        <w:t>安全生产合同</w:t>
      </w:r>
    </w:p>
    <w:p>
      <w:pPr>
        <w:autoSpaceDE w:val="0"/>
        <w:autoSpaceDN w:val="0"/>
        <w:adjustRightInd w:val="0"/>
        <w:spacing w:line="440" w:lineRule="exact"/>
        <w:rPr>
          <w:rFonts w:ascii="Times New Roman" w:hAnsi="Times New Roman" w:cs="Times New Roman"/>
          <w:szCs w:val="21"/>
        </w:rPr>
      </w:pPr>
    </w:p>
    <w:p>
      <w:pPr>
        <w:autoSpaceDE w:val="0"/>
        <w:autoSpaceDN w:val="0"/>
        <w:adjustRightInd w:val="0"/>
        <w:spacing w:line="440" w:lineRule="exact"/>
        <w:ind w:firstLine="435"/>
        <w:rPr>
          <w:rFonts w:ascii="Times New Roman" w:hAnsi="Times New Roman" w:cs="Times New Roman"/>
          <w:szCs w:val="21"/>
          <w:u w:val="single"/>
        </w:rPr>
      </w:pPr>
      <w:r>
        <w:rPr>
          <w:rFonts w:ascii="Times New Roman" w:hAnsi="Times New Roman" w:cs="Times New Roman"/>
          <w:szCs w:val="21"/>
        </w:rPr>
        <w:t>发包人：</w:t>
      </w:r>
      <w:r>
        <w:rPr>
          <w:rFonts w:ascii="Times New Roman" w:hAnsi="Times New Roman" w:cs="Times New Roman"/>
          <w:szCs w:val="21"/>
          <w:u w:val="single"/>
        </w:rPr>
        <w:t xml:space="preserve">                            </w:t>
      </w:r>
    </w:p>
    <w:p>
      <w:pPr>
        <w:autoSpaceDE w:val="0"/>
        <w:autoSpaceDN w:val="0"/>
        <w:adjustRightInd w:val="0"/>
        <w:spacing w:line="440" w:lineRule="exact"/>
        <w:ind w:firstLine="435"/>
        <w:rPr>
          <w:rFonts w:ascii="Times New Roman" w:hAnsi="Times New Roman" w:cs="Times New Roman"/>
          <w:szCs w:val="21"/>
          <w:u w:val="single"/>
        </w:rPr>
      </w:pPr>
      <w:r>
        <w:rPr>
          <w:rFonts w:ascii="Times New Roman" w:hAnsi="Times New Roman" w:cs="Times New Roman"/>
          <w:szCs w:val="21"/>
        </w:rPr>
        <w:t>承包人：</w:t>
      </w:r>
      <w:r>
        <w:rPr>
          <w:rFonts w:ascii="Times New Roman" w:hAnsi="Times New Roman" w:cs="Times New Roman"/>
          <w:szCs w:val="21"/>
          <w:u w:val="single"/>
        </w:rPr>
        <w:t xml:space="preserve">                            </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为认真贯彻“安全第一、预防为主、综合治理”的方针，落实安全责任，加强安全生产监督管理，确保工程建设安全生产，结合工作实际，按规定搞好安全防护措施，把安全生产落实到实处，双方特签订</w:t>
      </w:r>
      <w:r>
        <w:rPr>
          <w:rFonts w:ascii="Times New Roman" w:hAnsi="Times New Roman" w:cs="Times New Roman"/>
          <w:szCs w:val="21"/>
          <w:u w:val="single"/>
        </w:rPr>
        <w:t>安徽省高速公路试验检测科研中心有限公司试验场地（园区西库）装修改造项目</w:t>
      </w:r>
      <w:r>
        <w:rPr>
          <w:rFonts w:ascii="Times New Roman" w:hAnsi="Times New Roman" w:cs="Times New Roman"/>
          <w:szCs w:val="21"/>
        </w:rPr>
        <w:t>安全生产合同。主要内容如下：</w:t>
      </w:r>
    </w:p>
    <w:p>
      <w:pPr>
        <w:numPr>
          <w:ilvl w:val="0"/>
          <w:numId w:val="4"/>
        </w:numPr>
        <w:spacing w:line="440" w:lineRule="exact"/>
        <w:ind w:firstLine="420" w:firstLineChars="200"/>
        <w:rPr>
          <w:rFonts w:ascii="Times New Roman" w:hAnsi="Times New Roman" w:cs="Times New Roman"/>
          <w:szCs w:val="21"/>
        </w:rPr>
      </w:pPr>
      <w:r>
        <w:rPr>
          <w:rFonts w:ascii="Times New Roman" w:hAnsi="Times New Roman" w:cs="Times New Roman"/>
          <w:szCs w:val="21"/>
        </w:rPr>
        <w:t>发包人责任</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1、严格遵照《中华人民共和国安全生产法》、《建设工程安全生产管理条例》等有关安全生产规定，依法对承包人进行安全生产监督管理。</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2、严格按照有关安全生产法律法规条例规定，建立安全生产管理机构，制定各项安全生产规章制度，建立事故应急救援预案。</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3、按照“安全第一，预防为主，综合治理”的方针和“管生产必须管安全”的原则进行安全生产管理，做到生产与安全工作同时计划、布置、检查和总结。</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4、督促、指导并检查承包人安全管理人员的安全培训，依法持证上岗。</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5、定期召开安全生产工作会议，及时传达中央及地方有关安全生产精神。</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6、组织对承包人施工现场和安全生产内业资料的检查，监督承包人及时处理各种安全隐患。</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7、严肃查处违章、违纪行为，对情节严重的依法给予相应处罚。</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8、发包人的上述所有责任的任何缺失，并不免除承包人依照《中华人民共和国建筑法》等相关法律法规应当承担的安全责任。</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二、承包人责任</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1、遵守《中华人民共和国安全生产法》、《建设工程安全生产管理条例》及其他相关法律法规的规定，建立安全生产管理机构，配备安全管理人员，制定安全生产责任制等各项规章制度。</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2、建立事故应急救援组织和应急救援预案，并定期组织演练；组织开展事故应急知识培训和宣传工作；班组人员应相对固定，不得随意招用社会闲散人员或不明身份者充入班组，无“三证”人员不得进入施工现场；认真开展“三上岗、一讲评”安全活动，对职工进行定期或不定期的安全教育工作；特殊工作必须由持有本专业有效证件人员操作，禁止擅自操作其它工种的一切设备、支架（如接电、开机、拆架等等）。</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3、根据工程危险源分析和重大危险性工程施工方案论证情况，切实做好相应安全预警预防工作。</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4、对关键工程、要害部位、施工现场、主要机械设备进行定期或不定期检查，发现问题及时处理，严查各种违章、违规现象。</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5、接受地方安监部门监督检查。</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6、出现事故，立即上报，不得隐瞒、漏报。</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三、责任目标</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杜绝较大安全生产责任事故、重大安全生产责任事故、特大安全生产责任事故发生，完成年度安全生产各项工作任务，安全生产各项考核指标满足规范要求。</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四、检查、考核、评定</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公司安全生产领导小组办公室进行年度考核，具体方法实行月检查打分制，月检查累计分数将作为工程结束后退还质保金、评定工作的重要依据。</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五、奖罚办法</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（一）安全工作将作为考核项目办工作的主要指标之一，取得优秀成绩的，将按照公司有关规定，给予一定的奖励，并通报表扬。</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（二）安全工作实行“一票否决制”，对安全工作出现问题的，将按照公司有关合同及本规定，相关单位及人员应承担相应违约责任；情节严重的，有相应机关追究其他责任。</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六、本合同自签订之日起至项目竣工验收止。</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七、本合同作为</w:t>
      </w:r>
      <w:r>
        <w:rPr>
          <w:rFonts w:ascii="Times New Roman" w:hAnsi="Times New Roman" w:cs="Times New Roman"/>
          <w:szCs w:val="21"/>
          <w:u w:val="single"/>
        </w:rPr>
        <w:t>安徽省高速公路试验检测科研中心有限公司试验场地（园区西库）装修改造项目（项目名称）</w:t>
      </w:r>
      <w:r>
        <w:rPr>
          <w:rFonts w:ascii="Times New Roman" w:hAnsi="Times New Roman" w:cs="Times New Roman"/>
          <w:szCs w:val="21"/>
        </w:rPr>
        <w:t>施工合同的附件，与工程施工合同具有同等的法律效力，经合同双方签署后立即生效。</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八、本合同一式肆份，双方各执贰份，具有同等法律效力。双方签字盖章生效。</w:t>
      </w:r>
    </w:p>
    <w:p>
      <w:pPr>
        <w:spacing w:line="440" w:lineRule="exact"/>
        <w:rPr>
          <w:rFonts w:ascii="Times New Roman" w:hAnsi="Times New Roman" w:cs="Times New Roman"/>
          <w:szCs w:val="21"/>
        </w:rPr>
      </w:pPr>
      <w:r>
        <w:rPr>
          <w:rFonts w:ascii="Times New Roman" w:hAnsi="Times New Roman" w:cs="Times New Roman"/>
          <w:szCs w:val="21"/>
        </w:rPr>
        <w:t xml:space="preserve"> </w:t>
      </w:r>
    </w:p>
    <w:p>
      <w:pPr>
        <w:spacing w:line="440" w:lineRule="exact"/>
        <w:rPr>
          <w:rFonts w:ascii="Times New Roman" w:hAnsi="Times New Roman" w:cs="Times New Roman"/>
          <w:szCs w:val="21"/>
        </w:rPr>
      </w:pPr>
      <w:r>
        <w:rPr>
          <w:rFonts w:ascii="Times New Roman" w:hAnsi="Times New Roman" w:cs="Times New Roman"/>
          <w:szCs w:val="21"/>
        </w:rPr>
        <w:t xml:space="preserve"> </w:t>
      </w:r>
    </w:p>
    <w:p>
      <w:pPr>
        <w:spacing w:line="440" w:lineRule="exact"/>
        <w:rPr>
          <w:rFonts w:ascii="Times New Roman" w:hAnsi="Times New Roman" w:cs="Times New Roman"/>
          <w:szCs w:val="21"/>
        </w:rPr>
      </w:pPr>
      <w:r>
        <w:rPr>
          <w:rFonts w:ascii="Times New Roman" w:hAnsi="Times New Roman" w:cs="Times New Roman"/>
          <w:szCs w:val="21"/>
        </w:rPr>
        <w:t>发包人：</w:t>
      </w:r>
      <w:r>
        <w:rPr>
          <w:rFonts w:ascii="Times New Roman" w:hAnsi="Times New Roman" w:cs="Times New Roman"/>
          <w:szCs w:val="21"/>
          <w:u w:val="single"/>
        </w:rPr>
        <w:t xml:space="preserve">               </w:t>
      </w:r>
      <w:r>
        <w:rPr>
          <w:rFonts w:ascii="Times New Roman" w:hAnsi="Times New Roman" w:cs="Times New Roman"/>
          <w:szCs w:val="21"/>
        </w:rPr>
        <w:t xml:space="preserve"> (盖单位章)                 承包人：</w:t>
      </w:r>
      <w:r>
        <w:rPr>
          <w:rFonts w:ascii="Times New Roman" w:hAnsi="Times New Roman" w:cs="Times New Roman"/>
          <w:szCs w:val="21"/>
          <w:u w:val="single"/>
        </w:rPr>
        <w:t xml:space="preserve">                </w:t>
      </w:r>
      <w:r>
        <w:rPr>
          <w:rFonts w:ascii="Times New Roman" w:hAnsi="Times New Roman" w:cs="Times New Roman"/>
          <w:szCs w:val="21"/>
        </w:rPr>
        <w:t>(盖单位章)</w:t>
      </w:r>
    </w:p>
    <w:p>
      <w:pPr>
        <w:spacing w:line="440" w:lineRule="exact"/>
        <w:rPr>
          <w:rFonts w:ascii="Times New Roman" w:hAnsi="Times New Roman" w:cs="Times New Roman"/>
          <w:szCs w:val="21"/>
        </w:rPr>
      </w:pPr>
      <w:r>
        <w:rPr>
          <w:rFonts w:ascii="Times New Roman" w:hAnsi="Times New Roman" w:cs="Times New Roman"/>
          <w:szCs w:val="21"/>
        </w:rPr>
        <w:t>法定代表人或其委托代理人：</w:t>
      </w:r>
      <w:r>
        <w:rPr>
          <w:rFonts w:ascii="Times New Roman" w:hAnsi="Times New Roman" w:cs="Times New Roman"/>
          <w:szCs w:val="21"/>
          <w:u w:val="single"/>
        </w:rPr>
        <w:t xml:space="preserve">   </w:t>
      </w:r>
      <w:r>
        <w:rPr>
          <w:rFonts w:ascii="Times New Roman" w:hAnsi="Times New Roman" w:cs="Times New Roman"/>
          <w:szCs w:val="21"/>
        </w:rPr>
        <w:t>(签名)                法定代表人或其委托代理人：</w:t>
      </w:r>
      <w:r>
        <w:rPr>
          <w:rFonts w:ascii="Times New Roman" w:hAnsi="Times New Roman" w:cs="Times New Roman"/>
          <w:szCs w:val="21"/>
          <w:u w:val="single"/>
        </w:rPr>
        <w:t xml:space="preserve">   </w:t>
      </w:r>
      <w:r>
        <w:rPr>
          <w:rFonts w:ascii="Times New Roman" w:hAnsi="Times New Roman" w:cs="Times New Roman"/>
          <w:szCs w:val="21"/>
        </w:rPr>
        <w:t>(签名)</w:t>
      </w:r>
    </w:p>
    <w:p>
      <w:pPr>
        <w:spacing w:line="440" w:lineRule="exact"/>
        <w:ind w:firstLine="435"/>
        <w:rPr>
          <w:rFonts w:ascii="Times New Roman" w:hAnsi="Times New Roman" w:cs="Times New Roman"/>
          <w:szCs w:val="21"/>
        </w:rPr>
      </w:pPr>
      <w:r>
        <w:rPr>
          <w:rFonts w:ascii="Times New Roman" w:hAnsi="Times New Roman" w:cs="Times New Roman"/>
          <w:szCs w:val="21"/>
        </w:rPr>
        <w:t xml:space="preserve">     年      月     日                               年     月     日</w:t>
      </w:r>
    </w:p>
    <w:p>
      <w:pPr>
        <w:spacing w:line="440" w:lineRule="exact"/>
        <w:rPr>
          <w:rFonts w:ascii="Times New Roman" w:hAnsi="Times New Roman" w:cs="Times New Roman"/>
          <w:szCs w:val="21"/>
        </w:rPr>
      </w:pPr>
      <w:r>
        <w:rPr>
          <w:rFonts w:ascii="Times New Roman" w:hAnsi="Times New Roman" w:cs="Times New Roman"/>
          <w:szCs w:val="21"/>
        </w:rPr>
        <w:br w:type="page"/>
      </w:r>
      <w:bookmarkStart w:id="72" w:name="_Toc17574"/>
    </w:p>
    <w:p>
      <w:pPr>
        <w:pStyle w:val="5"/>
        <w:numPr>
          <w:ilvl w:val="0"/>
          <w:numId w:val="0"/>
        </w:numPr>
        <w:spacing w:before="120" w:line="440" w:lineRule="exact"/>
        <w:rPr>
          <w:rFonts w:ascii="Times New Roman" w:hAnsi="Times New Roman" w:cs="Times New Roman"/>
          <w:sz w:val="21"/>
          <w:szCs w:val="21"/>
        </w:rPr>
      </w:pPr>
      <w:bookmarkStart w:id="73" w:name="_Toc26302_WPSOffice_Level2"/>
      <w:bookmarkStart w:id="74" w:name="_Toc22922"/>
      <w:bookmarkStart w:id="75" w:name="_Toc2101"/>
      <w:r>
        <w:rPr>
          <w:rFonts w:ascii="Times New Roman" w:hAnsi="Times New Roman" w:cs="Times New Roman"/>
          <w:sz w:val="21"/>
          <w:szCs w:val="21"/>
        </w:rPr>
        <w:t>附件四：</w:t>
      </w:r>
      <w:bookmarkEnd w:id="72"/>
      <w:bookmarkEnd w:id="73"/>
      <w:bookmarkEnd w:id="74"/>
      <w:bookmarkEnd w:id="75"/>
      <w:r>
        <w:rPr>
          <w:rFonts w:ascii="Times New Roman" w:hAnsi="Times New Roman" w:cs="Times New Roman"/>
          <w:sz w:val="21"/>
          <w:szCs w:val="21"/>
        </w:rPr>
        <w:t>工程质量保修书</w:t>
      </w:r>
    </w:p>
    <w:p>
      <w:pPr>
        <w:pStyle w:val="32"/>
        <w:spacing w:line="440" w:lineRule="exact"/>
        <w:jc w:val="center"/>
        <w:rPr>
          <w:rFonts w:eastAsia="方正小标宋简体" w:cs="Times New Roman"/>
          <w:sz w:val="28"/>
          <w:szCs w:val="28"/>
        </w:rPr>
      </w:pPr>
      <w:r>
        <w:rPr>
          <w:rFonts w:eastAsia="方正小标宋简体" w:cs="Times New Roman"/>
          <w:sz w:val="28"/>
          <w:szCs w:val="28"/>
        </w:rPr>
        <w:t>工程质量保修书</w:t>
      </w:r>
    </w:p>
    <w:p>
      <w:pPr>
        <w:pStyle w:val="32"/>
        <w:spacing w:line="440" w:lineRule="exact"/>
        <w:ind w:firstLine="420" w:firstLineChars="200"/>
        <w:rPr>
          <w:rFonts w:cs="Times New Roman"/>
          <w:szCs w:val="21"/>
        </w:rPr>
      </w:pPr>
    </w:p>
    <w:p>
      <w:pPr>
        <w:pStyle w:val="32"/>
        <w:spacing w:line="440" w:lineRule="exact"/>
        <w:ind w:firstLine="420" w:firstLineChars="200"/>
        <w:rPr>
          <w:rFonts w:cs="Times New Roman"/>
          <w:szCs w:val="21"/>
        </w:rPr>
      </w:pPr>
      <w:r>
        <w:rPr>
          <w:rFonts w:cs="Times New Roman"/>
          <w:szCs w:val="21"/>
        </w:rPr>
        <w:t>发包人（全称）：</w:t>
      </w:r>
      <w:r>
        <w:rPr>
          <w:rFonts w:cs="Times New Roman"/>
          <w:szCs w:val="21"/>
          <w:u w:val="single"/>
        </w:rPr>
        <w:t xml:space="preserve">                    </w:t>
      </w:r>
      <w:r>
        <w:rPr>
          <w:rFonts w:cs="Times New Roman"/>
          <w:szCs w:val="21"/>
        </w:rPr>
        <w:t xml:space="preserve">                                  </w:t>
      </w:r>
    </w:p>
    <w:p>
      <w:pPr>
        <w:pStyle w:val="32"/>
        <w:spacing w:line="440" w:lineRule="exact"/>
        <w:ind w:firstLine="420" w:firstLineChars="200"/>
        <w:rPr>
          <w:rFonts w:cs="Times New Roman"/>
          <w:szCs w:val="21"/>
        </w:rPr>
      </w:pPr>
      <w:r>
        <w:rPr>
          <w:rFonts w:cs="Times New Roman"/>
          <w:szCs w:val="21"/>
        </w:rPr>
        <w:t>承包人（全称）：</w:t>
      </w:r>
      <w:r>
        <w:rPr>
          <w:rFonts w:cs="Times New Roman"/>
          <w:szCs w:val="21"/>
          <w:u w:val="single"/>
        </w:rPr>
        <w:t xml:space="preserve">                    </w:t>
      </w:r>
      <w:r>
        <w:rPr>
          <w:rFonts w:cs="Times New Roman"/>
          <w:szCs w:val="21"/>
        </w:rPr>
        <w:t xml:space="preserve">                                 </w:t>
      </w:r>
    </w:p>
    <w:p>
      <w:pPr>
        <w:pStyle w:val="32"/>
        <w:spacing w:line="440" w:lineRule="exact"/>
        <w:ind w:firstLine="420" w:firstLineChars="200"/>
        <w:rPr>
          <w:rFonts w:cs="Times New Roman"/>
          <w:szCs w:val="21"/>
        </w:rPr>
      </w:pPr>
      <w:r>
        <w:rPr>
          <w:rFonts w:cs="Times New Roman"/>
          <w:szCs w:val="21"/>
        </w:rPr>
        <w:t>发包人和承包人根据《中华人民共和国建筑法》和《建设工程质量管理条例》，经协商一致就</w:t>
      </w:r>
      <w:r>
        <w:rPr>
          <w:rFonts w:cs="Times New Roman"/>
          <w:szCs w:val="21"/>
          <w:u w:val="single"/>
        </w:rPr>
        <w:t>安徽省高速公路试验检测科研中心有限公司试验场地（园区西库）装修改造项目</w:t>
      </w:r>
      <w:r>
        <w:rPr>
          <w:rFonts w:cs="Times New Roman"/>
          <w:szCs w:val="21"/>
        </w:rPr>
        <w:t>（工程全称）订立工程质量保修书。</w:t>
      </w:r>
    </w:p>
    <w:p>
      <w:pPr>
        <w:pStyle w:val="32"/>
        <w:spacing w:line="440" w:lineRule="exact"/>
        <w:ind w:firstLine="420" w:firstLineChars="200"/>
        <w:rPr>
          <w:rFonts w:cs="Times New Roman"/>
          <w:szCs w:val="21"/>
        </w:rPr>
      </w:pPr>
      <w:r>
        <w:rPr>
          <w:rFonts w:cs="Times New Roman"/>
          <w:szCs w:val="21"/>
        </w:rPr>
        <w:t>一、工程质量保修范围和内容</w:t>
      </w:r>
    </w:p>
    <w:p>
      <w:pPr>
        <w:pStyle w:val="32"/>
        <w:spacing w:line="440" w:lineRule="exact"/>
        <w:ind w:firstLine="420" w:firstLineChars="200"/>
        <w:rPr>
          <w:rFonts w:cs="Times New Roman"/>
          <w:szCs w:val="21"/>
        </w:rPr>
      </w:pPr>
      <w:r>
        <w:rPr>
          <w:rFonts w:cs="Times New Roman"/>
          <w:szCs w:val="21"/>
        </w:rPr>
        <w:t>承包人在质量保修期内，按照有关法律规定和合同约定，承担工程质量保修责任。</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Times New Roman" w:hAnsi="Times New Roman" w:cs="Times New Roman"/>
          <w:szCs w:val="21"/>
          <w:u w:val="single"/>
        </w:rPr>
        <w:t xml:space="preserve">                   </w:t>
      </w:r>
      <w:r>
        <w:rPr>
          <w:rFonts w:ascii="Times New Roman" w:hAnsi="Times New Roman" w:cs="Times New Roman"/>
          <w:szCs w:val="21"/>
        </w:rPr>
        <w:t>。</w:t>
      </w:r>
    </w:p>
    <w:p>
      <w:pPr>
        <w:pStyle w:val="32"/>
        <w:spacing w:line="440" w:lineRule="exact"/>
        <w:ind w:firstLine="420" w:firstLineChars="200"/>
        <w:rPr>
          <w:rFonts w:cs="Times New Roman"/>
          <w:szCs w:val="21"/>
        </w:rPr>
      </w:pPr>
      <w:r>
        <w:rPr>
          <w:rFonts w:cs="Times New Roman"/>
          <w:szCs w:val="21"/>
        </w:rPr>
        <w:t>二、质量保修期</w:t>
      </w:r>
    </w:p>
    <w:p>
      <w:pPr>
        <w:pStyle w:val="32"/>
        <w:spacing w:line="440" w:lineRule="exact"/>
        <w:ind w:firstLine="420" w:firstLineChars="200"/>
        <w:rPr>
          <w:rFonts w:cs="Times New Roman"/>
          <w:szCs w:val="21"/>
        </w:rPr>
      </w:pPr>
      <w:r>
        <w:rPr>
          <w:rFonts w:cs="Times New Roman"/>
          <w:szCs w:val="21"/>
        </w:rPr>
        <w:t>根据《建设工程质量管理条例》及有关规定，工程的质量保修期如下：</w:t>
      </w:r>
    </w:p>
    <w:p>
      <w:pPr>
        <w:pStyle w:val="32"/>
        <w:spacing w:line="440" w:lineRule="exact"/>
        <w:ind w:firstLine="420" w:firstLineChars="200"/>
        <w:rPr>
          <w:rFonts w:cs="Times New Roman"/>
          <w:szCs w:val="21"/>
        </w:rPr>
      </w:pPr>
      <w:r>
        <w:rPr>
          <w:rFonts w:cs="Times New Roman"/>
          <w:szCs w:val="21"/>
        </w:rPr>
        <w:t>1．地基基础工程和主体结构工程为设计文件规定的工程合理使用年限；</w:t>
      </w:r>
    </w:p>
    <w:p>
      <w:pPr>
        <w:pStyle w:val="32"/>
        <w:spacing w:line="440" w:lineRule="exact"/>
        <w:ind w:firstLine="420" w:firstLineChars="200"/>
        <w:rPr>
          <w:rFonts w:cs="Times New Roman"/>
          <w:szCs w:val="21"/>
        </w:rPr>
      </w:pPr>
      <w:r>
        <w:rPr>
          <w:rFonts w:cs="Times New Roman"/>
          <w:szCs w:val="21"/>
        </w:rPr>
        <w:t>2．屋面防水工程、有防水要求的卫生间、房间和外墙面的防渗为</w:t>
      </w:r>
      <w:r>
        <w:rPr>
          <w:rFonts w:cs="Times New Roman"/>
          <w:szCs w:val="21"/>
          <w:u w:val="single"/>
        </w:rPr>
        <w:t xml:space="preserve">        </w:t>
      </w:r>
      <w:r>
        <w:rPr>
          <w:rFonts w:cs="Times New Roman"/>
          <w:szCs w:val="21"/>
        </w:rPr>
        <w:t>年；</w:t>
      </w:r>
    </w:p>
    <w:p>
      <w:pPr>
        <w:pStyle w:val="32"/>
        <w:spacing w:line="440" w:lineRule="exact"/>
        <w:ind w:firstLine="420" w:firstLineChars="200"/>
        <w:rPr>
          <w:rFonts w:cs="Times New Roman"/>
          <w:szCs w:val="21"/>
        </w:rPr>
      </w:pPr>
      <w:r>
        <w:rPr>
          <w:rFonts w:cs="Times New Roman"/>
          <w:szCs w:val="21"/>
        </w:rPr>
        <w:t>3．装修工程为</w:t>
      </w:r>
      <w:r>
        <w:rPr>
          <w:rFonts w:cs="Times New Roman"/>
          <w:szCs w:val="21"/>
          <w:u w:val="single"/>
        </w:rPr>
        <w:t xml:space="preserve">        </w:t>
      </w:r>
      <w:r>
        <w:rPr>
          <w:rFonts w:cs="Times New Roman"/>
          <w:szCs w:val="21"/>
        </w:rPr>
        <w:t>年；</w:t>
      </w:r>
    </w:p>
    <w:p>
      <w:pPr>
        <w:pStyle w:val="32"/>
        <w:spacing w:line="440" w:lineRule="exact"/>
        <w:ind w:firstLine="420" w:firstLineChars="200"/>
        <w:rPr>
          <w:rFonts w:cs="Times New Roman"/>
          <w:szCs w:val="21"/>
        </w:rPr>
      </w:pPr>
      <w:r>
        <w:rPr>
          <w:rFonts w:cs="Times New Roman"/>
          <w:szCs w:val="21"/>
        </w:rPr>
        <w:t>4．电气管线、给排水管道、设备安装工程为</w:t>
      </w:r>
      <w:r>
        <w:rPr>
          <w:rFonts w:cs="Times New Roman"/>
          <w:szCs w:val="21"/>
          <w:u w:val="single"/>
        </w:rPr>
        <w:t xml:space="preserve">        </w:t>
      </w:r>
      <w:r>
        <w:rPr>
          <w:rFonts w:cs="Times New Roman"/>
          <w:szCs w:val="21"/>
        </w:rPr>
        <w:t>年；</w:t>
      </w:r>
    </w:p>
    <w:p>
      <w:pPr>
        <w:pStyle w:val="32"/>
        <w:spacing w:line="440" w:lineRule="exact"/>
        <w:ind w:firstLine="420" w:firstLineChars="200"/>
        <w:rPr>
          <w:rFonts w:cs="Times New Roman"/>
          <w:szCs w:val="21"/>
        </w:rPr>
      </w:pPr>
      <w:r>
        <w:rPr>
          <w:rFonts w:cs="Times New Roman"/>
          <w:szCs w:val="21"/>
        </w:rPr>
        <w:t>5．供热与供冷系统为</w:t>
      </w:r>
      <w:r>
        <w:rPr>
          <w:rFonts w:cs="Times New Roman"/>
          <w:szCs w:val="21"/>
          <w:u w:val="single"/>
        </w:rPr>
        <w:t xml:space="preserve">        </w:t>
      </w:r>
      <w:r>
        <w:rPr>
          <w:rFonts w:cs="Times New Roman"/>
          <w:szCs w:val="21"/>
        </w:rPr>
        <w:t>个采暖期、供冷期；</w:t>
      </w:r>
    </w:p>
    <w:p>
      <w:pPr>
        <w:pStyle w:val="32"/>
        <w:spacing w:line="440" w:lineRule="exact"/>
        <w:ind w:firstLine="420" w:firstLineChars="200"/>
        <w:rPr>
          <w:rFonts w:cs="Times New Roman"/>
          <w:szCs w:val="21"/>
        </w:rPr>
      </w:pPr>
      <w:r>
        <w:rPr>
          <w:rFonts w:cs="Times New Roman"/>
          <w:szCs w:val="21"/>
        </w:rPr>
        <w:t>6．住宅小区内的给排水设施、道路等配套工程为</w:t>
      </w:r>
      <w:r>
        <w:rPr>
          <w:rFonts w:cs="Times New Roman"/>
          <w:szCs w:val="21"/>
          <w:u w:val="single"/>
        </w:rPr>
        <w:t xml:space="preserve">        </w:t>
      </w:r>
      <w:r>
        <w:rPr>
          <w:rFonts w:cs="Times New Roman"/>
          <w:szCs w:val="21"/>
        </w:rPr>
        <w:t>年；</w:t>
      </w:r>
    </w:p>
    <w:p>
      <w:pPr>
        <w:pStyle w:val="32"/>
        <w:spacing w:line="440" w:lineRule="exact"/>
        <w:ind w:firstLine="420" w:firstLineChars="200"/>
        <w:rPr>
          <w:rFonts w:cs="Times New Roman"/>
          <w:szCs w:val="21"/>
        </w:rPr>
      </w:pPr>
      <w:r>
        <w:rPr>
          <w:rFonts w:cs="Times New Roman"/>
          <w:szCs w:val="21"/>
        </w:rPr>
        <w:t>7．其他项目保修期限约定如下：</w:t>
      </w:r>
      <w:r>
        <w:rPr>
          <w:rFonts w:cs="Times New Roman"/>
          <w:szCs w:val="21"/>
          <w:u w:val="single"/>
        </w:rPr>
        <w:t xml:space="preserve">        </w:t>
      </w:r>
      <w:r>
        <w:rPr>
          <w:rFonts w:cs="Times New Roman"/>
          <w:szCs w:val="21"/>
        </w:rPr>
        <w:t>。</w:t>
      </w:r>
    </w:p>
    <w:p>
      <w:pPr>
        <w:pStyle w:val="32"/>
        <w:spacing w:line="440" w:lineRule="exact"/>
        <w:ind w:firstLine="420" w:firstLineChars="200"/>
        <w:rPr>
          <w:rFonts w:cs="Times New Roman"/>
          <w:szCs w:val="21"/>
        </w:rPr>
      </w:pPr>
      <w:r>
        <w:rPr>
          <w:rFonts w:cs="Times New Roman"/>
          <w:szCs w:val="21"/>
        </w:rPr>
        <w:t>质量保修期自工程竣工验收合格之日起计算。</w:t>
      </w:r>
    </w:p>
    <w:p>
      <w:pPr>
        <w:pStyle w:val="32"/>
        <w:spacing w:line="440" w:lineRule="exact"/>
        <w:ind w:firstLine="420" w:firstLineChars="200"/>
        <w:rPr>
          <w:rFonts w:cs="Times New Roman"/>
          <w:szCs w:val="21"/>
        </w:rPr>
      </w:pPr>
      <w:r>
        <w:rPr>
          <w:rFonts w:cs="Times New Roman"/>
          <w:szCs w:val="21"/>
        </w:rPr>
        <w:t>三、缺陷责任期</w:t>
      </w:r>
    </w:p>
    <w:p>
      <w:pPr>
        <w:pStyle w:val="32"/>
        <w:spacing w:line="440" w:lineRule="exact"/>
        <w:ind w:firstLine="420" w:firstLineChars="200"/>
        <w:rPr>
          <w:rFonts w:cs="Times New Roman"/>
          <w:szCs w:val="21"/>
        </w:rPr>
      </w:pPr>
      <w:r>
        <w:rPr>
          <w:rFonts w:cs="Times New Roman"/>
          <w:szCs w:val="21"/>
        </w:rPr>
        <w:t>工程缺陷责任期为</w:t>
      </w:r>
      <w:r>
        <w:rPr>
          <w:rFonts w:cs="Times New Roman"/>
          <w:szCs w:val="21"/>
          <w:u w:val="single"/>
        </w:rPr>
        <w:t xml:space="preserve">        </w:t>
      </w:r>
      <w:r>
        <w:rPr>
          <w:rFonts w:cs="Times New Roman"/>
          <w:szCs w:val="21"/>
        </w:rPr>
        <w:t>个月，缺陷责任期自工程通过竣工验收之日起计算。单位/区段工程先于全部工程进行验收，单位/区段工程缺陷责任期自单位/区段工程验收合格之日起算。</w:t>
      </w:r>
    </w:p>
    <w:p>
      <w:pPr>
        <w:pStyle w:val="32"/>
        <w:spacing w:line="440" w:lineRule="exact"/>
        <w:ind w:firstLine="420" w:firstLineChars="200"/>
        <w:rPr>
          <w:rFonts w:cs="Times New Roman"/>
          <w:szCs w:val="21"/>
        </w:rPr>
      </w:pPr>
      <w:r>
        <w:rPr>
          <w:rFonts w:cs="Times New Roman"/>
          <w:szCs w:val="21"/>
        </w:rPr>
        <w:t>缺陷责任期终止后，发包人应返还剩余的质量保证金。</w:t>
      </w:r>
    </w:p>
    <w:p>
      <w:pPr>
        <w:pStyle w:val="32"/>
        <w:spacing w:line="440" w:lineRule="exact"/>
        <w:ind w:firstLine="420" w:firstLineChars="200"/>
        <w:rPr>
          <w:rFonts w:cs="Times New Roman"/>
          <w:szCs w:val="21"/>
        </w:rPr>
      </w:pPr>
      <w:r>
        <w:rPr>
          <w:rFonts w:cs="Times New Roman"/>
          <w:szCs w:val="21"/>
        </w:rPr>
        <w:t>四、质量保修责任</w:t>
      </w:r>
    </w:p>
    <w:p>
      <w:pPr>
        <w:pStyle w:val="32"/>
        <w:spacing w:line="440" w:lineRule="exact"/>
        <w:ind w:firstLine="420" w:firstLineChars="200"/>
        <w:rPr>
          <w:rFonts w:cs="Times New Roman"/>
          <w:szCs w:val="21"/>
        </w:rPr>
      </w:pPr>
      <w:r>
        <w:rPr>
          <w:rFonts w:cs="Times New Roman"/>
          <w:szCs w:val="21"/>
        </w:rPr>
        <w:t>1．属于保修范围、内容的项目，承包人应当在接到保修通知之日起7天内派人保修。承包人不在约定期限内派人保修的，发包人可以委托他人修理。</w:t>
      </w:r>
    </w:p>
    <w:p>
      <w:pPr>
        <w:pStyle w:val="32"/>
        <w:spacing w:line="440" w:lineRule="exact"/>
        <w:ind w:firstLine="420" w:firstLineChars="200"/>
        <w:rPr>
          <w:rFonts w:cs="Times New Roman"/>
          <w:szCs w:val="21"/>
        </w:rPr>
      </w:pPr>
      <w:r>
        <w:rPr>
          <w:rFonts w:cs="Times New Roman"/>
          <w:szCs w:val="21"/>
        </w:rPr>
        <w:t>2．发生紧急事故需抢修的，承包人在接到事故通知后，应当立即到达事故现场抢修。</w:t>
      </w:r>
    </w:p>
    <w:p>
      <w:pPr>
        <w:pStyle w:val="32"/>
        <w:spacing w:line="440" w:lineRule="exact"/>
        <w:ind w:firstLine="420" w:firstLineChars="200"/>
        <w:rPr>
          <w:rFonts w:cs="Times New Roman"/>
          <w:szCs w:val="21"/>
        </w:rPr>
      </w:pPr>
      <w:r>
        <w:rPr>
          <w:rFonts w:cs="Times New Roman"/>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32"/>
        <w:spacing w:line="440" w:lineRule="exact"/>
        <w:ind w:firstLine="420" w:firstLineChars="200"/>
        <w:rPr>
          <w:rFonts w:cs="Times New Roman"/>
          <w:szCs w:val="21"/>
        </w:rPr>
      </w:pPr>
      <w:r>
        <w:rPr>
          <w:rFonts w:cs="Times New Roman"/>
          <w:szCs w:val="21"/>
        </w:rPr>
        <w:t>4．质量保修完成后，由发包人组织验收。</w:t>
      </w:r>
    </w:p>
    <w:p>
      <w:pPr>
        <w:pStyle w:val="32"/>
        <w:spacing w:line="440" w:lineRule="exact"/>
        <w:ind w:firstLine="420" w:firstLineChars="200"/>
        <w:rPr>
          <w:rFonts w:cs="Times New Roman"/>
          <w:szCs w:val="21"/>
        </w:rPr>
      </w:pPr>
      <w:r>
        <w:rPr>
          <w:rFonts w:cs="Times New Roman"/>
          <w:szCs w:val="21"/>
        </w:rPr>
        <w:t>五、保修费用</w:t>
      </w:r>
    </w:p>
    <w:p>
      <w:pPr>
        <w:pStyle w:val="32"/>
        <w:spacing w:line="440" w:lineRule="exact"/>
        <w:ind w:firstLine="420" w:firstLineChars="200"/>
        <w:rPr>
          <w:rFonts w:cs="Times New Roman"/>
          <w:szCs w:val="21"/>
        </w:rPr>
      </w:pPr>
      <w:r>
        <w:rPr>
          <w:rFonts w:cs="Times New Roman"/>
          <w:szCs w:val="21"/>
        </w:rPr>
        <w:t>保修费用由造成质量缺陷的责任方承担。</w:t>
      </w:r>
    </w:p>
    <w:p>
      <w:pPr>
        <w:pStyle w:val="32"/>
        <w:spacing w:line="440" w:lineRule="exact"/>
        <w:ind w:firstLine="420" w:firstLineChars="200"/>
        <w:rPr>
          <w:rFonts w:cs="Times New Roman"/>
          <w:szCs w:val="21"/>
        </w:rPr>
      </w:pPr>
      <w:r>
        <w:rPr>
          <w:rFonts w:cs="Times New Roman"/>
          <w:szCs w:val="21"/>
        </w:rPr>
        <w:t>六、双方约定的其他工程质量保修事项：</w:t>
      </w:r>
      <w:r>
        <w:rPr>
          <w:rFonts w:cs="Times New Roman"/>
          <w:szCs w:val="21"/>
          <w:u w:val="single"/>
        </w:rPr>
        <w:t xml:space="preserve">        </w:t>
      </w:r>
      <w:r>
        <w:rPr>
          <w:rFonts w:cs="Times New Roman"/>
          <w:szCs w:val="21"/>
        </w:rPr>
        <w:t xml:space="preserve"> 。</w:t>
      </w:r>
    </w:p>
    <w:p>
      <w:pPr>
        <w:pStyle w:val="32"/>
        <w:spacing w:line="440" w:lineRule="exact"/>
        <w:ind w:firstLine="420" w:firstLineChars="200"/>
        <w:rPr>
          <w:rFonts w:cs="Times New Roman"/>
          <w:szCs w:val="21"/>
        </w:rPr>
      </w:pPr>
      <w:r>
        <w:rPr>
          <w:rFonts w:cs="Times New Roman"/>
          <w:szCs w:val="21"/>
        </w:rPr>
        <w:t>工程质量保修书由发包人、承包人在工程竣工验收前共同签署，作为施工合同附件，其有效期限至保修期满。</w:t>
      </w:r>
    </w:p>
    <w:p>
      <w:pPr>
        <w:pStyle w:val="32"/>
        <w:spacing w:line="440" w:lineRule="exact"/>
        <w:ind w:firstLine="420" w:firstLineChars="200"/>
        <w:rPr>
          <w:rFonts w:cs="Times New Roman"/>
          <w:szCs w:val="21"/>
        </w:rPr>
      </w:pPr>
    </w:p>
    <w:p>
      <w:pPr>
        <w:spacing w:line="440" w:lineRule="exact"/>
        <w:rPr>
          <w:rFonts w:ascii="Times New Roman" w:hAnsi="Times New Roman" w:cs="Times New Roman"/>
          <w:szCs w:val="21"/>
        </w:rPr>
      </w:pPr>
      <w:r>
        <w:rPr>
          <w:rFonts w:ascii="Times New Roman" w:hAnsi="Times New Roman" w:cs="Times New Roman"/>
          <w:szCs w:val="21"/>
        </w:rPr>
        <w:t xml:space="preserve"> </w:t>
      </w:r>
    </w:p>
    <w:p>
      <w:pPr>
        <w:spacing w:line="440" w:lineRule="exact"/>
        <w:rPr>
          <w:rFonts w:ascii="Times New Roman" w:hAnsi="Times New Roman" w:cs="Times New Roman"/>
          <w:szCs w:val="21"/>
        </w:rPr>
      </w:pPr>
      <w:r>
        <w:rPr>
          <w:rFonts w:ascii="Times New Roman" w:hAnsi="Times New Roman" w:cs="Times New Roman"/>
          <w:szCs w:val="21"/>
        </w:rPr>
        <w:t>发包人：</w:t>
      </w:r>
      <w:r>
        <w:rPr>
          <w:rFonts w:ascii="Times New Roman" w:hAnsi="Times New Roman" w:cs="Times New Roman"/>
          <w:szCs w:val="21"/>
          <w:u w:val="single"/>
        </w:rPr>
        <w:t xml:space="preserve">               </w:t>
      </w:r>
      <w:r>
        <w:rPr>
          <w:rFonts w:ascii="Times New Roman" w:hAnsi="Times New Roman" w:cs="Times New Roman"/>
          <w:szCs w:val="21"/>
        </w:rPr>
        <w:t xml:space="preserve"> (盖单位章)                  承包人：</w:t>
      </w:r>
      <w:r>
        <w:rPr>
          <w:rFonts w:ascii="Times New Roman" w:hAnsi="Times New Roman" w:cs="Times New Roman"/>
          <w:szCs w:val="21"/>
          <w:u w:val="single"/>
        </w:rPr>
        <w:t xml:space="preserve">                </w:t>
      </w:r>
      <w:r>
        <w:rPr>
          <w:rFonts w:ascii="Times New Roman" w:hAnsi="Times New Roman" w:cs="Times New Roman"/>
          <w:szCs w:val="21"/>
        </w:rPr>
        <w:t>(盖单位章)</w:t>
      </w:r>
    </w:p>
    <w:p>
      <w:pPr>
        <w:spacing w:line="440" w:lineRule="exact"/>
        <w:rPr>
          <w:rFonts w:ascii="Times New Roman" w:hAnsi="Times New Roman" w:cs="Times New Roman"/>
          <w:szCs w:val="21"/>
        </w:rPr>
      </w:pPr>
      <w:r>
        <w:rPr>
          <w:rFonts w:ascii="Times New Roman" w:hAnsi="Times New Roman" w:cs="Times New Roman"/>
          <w:szCs w:val="21"/>
        </w:rPr>
        <w:t>法定代表人                                          法定代表人</w:t>
      </w:r>
    </w:p>
    <w:p>
      <w:pPr>
        <w:spacing w:line="440" w:lineRule="exact"/>
        <w:rPr>
          <w:rFonts w:ascii="Times New Roman" w:hAnsi="Times New Roman" w:cs="Times New Roman"/>
          <w:szCs w:val="21"/>
        </w:rPr>
      </w:pPr>
      <w:r>
        <w:rPr>
          <w:rFonts w:ascii="Times New Roman" w:hAnsi="Times New Roman" w:cs="Times New Roman"/>
          <w:szCs w:val="21"/>
        </w:rPr>
        <w:t>或其委托代理人：</w:t>
      </w:r>
      <w:r>
        <w:rPr>
          <w:rFonts w:ascii="Times New Roman" w:hAnsi="Times New Roman" w:cs="Times New Roman"/>
          <w:szCs w:val="21"/>
          <w:u w:val="single"/>
        </w:rPr>
        <w:t xml:space="preserve">          </w:t>
      </w:r>
      <w:r>
        <w:rPr>
          <w:rFonts w:ascii="Times New Roman" w:hAnsi="Times New Roman" w:cs="Times New Roman"/>
          <w:szCs w:val="21"/>
        </w:rPr>
        <w:t>(签名)                    或其委托代理人：</w:t>
      </w:r>
      <w:r>
        <w:rPr>
          <w:rFonts w:ascii="Times New Roman" w:hAnsi="Times New Roman" w:cs="Times New Roman"/>
          <w:szCs w:val="21"/>
          <w:u w:val="single"/>
        </w:rPr>
        <w:t xml:space="preserve">        </w:t>
      </w:r>
      <w:r>
        <w:rPr>
          <w:rFonts w:ascii="Times New Roman" w:hAnsi="Times New Roman" w:cs="Times New Roman"/>
          <w:szCs w:val="21"/>
        </w:rPr>
        <w:t>(签名)</w:t>
      </w:r>
    </w:p>
    <w:p>
      <w:pPr>
        <w:pStyle w:val="2"/>
        <w:spacing w:after="0" w:line="440" w:lineRule="exact"/>
        <w:rPr>
          <w:rFonts w:ascii="Times New Roman" w:hAnsi="Times New Roman" w:cs="Times New Roman"/>
          <w:szCs w:val="21"/>
        </w:rPr>
      </w:pPr>
      <w:r>
        <w:rPr>
          <w:rFonts w:ascii="Times New Roman" w:hAnsi="Times New Roman" w:cs="Times New Roman"/>
          <w:szCs w:val="21"/>
        </w:rPr>
        <w:t xml:space="preserve">        年     月    日                                      年     月     日</w:t>
      </w:r>
    </w:p>
    <w:p>
      <w:pPr>
        <w:tabs>
          <w:tab w:val="left" w:pos="0"/>
        </w:tabs>
        <w:spacing w:line="540" w:lineRule="exact"/>
        <w:rPr>
          <w:rFonts w:ascii="Times New Roman" w:hAnsi="Times New Roman" w:eastAsia="仿宋" w:cs="Times New Roman"/>
          <w:sz w:val="28"/>
          <w:szCs w:val="36"/>
        </w:rPr>
      </w:pPr>
    </w:p>
    <w:p>
      <w:pPr>
        <w:numPr>
          <w:ilvl w:val="0"/>
          <w:numId w:val="5"/>
        </w:numPr>
        <w:tabs>
          <w:tab w:val="left" w:pos="0"/>
        </w:tabs>
        <w:spacing w:before="240" w:after="240"/>
        <w:rPr>
          <w:rFonts w:ascii="Times New Roman" w:hAnsi="Times New Roman" w:eastAsia="宋体" w:cs="Times New Roman"/>
        </w:rPr>
      </w:pPr>
      <w:r>
        <w:rPr>
          <w:rFonts w:ascii="Times New Roman" w:hAnsi="Times New Roman" w:eastAsia="宋体" w:cs="Times New Roman"/>
        </w:rPr>
        <w:br w:type="page"/>
      </w:r>
    </w:p>
    <w:p>
      <w:pPr>
        <w:pStyle w:val="4"/>
        <w:numPr>
          <w:ilvl w:val="0"/>
          <w:numId w:val="6"/>
        </w:numPr>
        <w:spacing w:before="312" w:after="312"/>
        <w:ind w:left="402" w:firstLine="0"/>
        <w:rPr>
          <w:rFonts w:ascii="Times New Roman" w:hAnsi="Times New Roman" w:eastAsia="宋体" w:cs="Times New Roman"/>
        </w:rPr>
      </w:pPr>
      <w:bookmarkStart w:id="76" w:name="_Toc4045"/>
      <w:bookmarkStart w:id="77" w:name="_Toc20829_WPSOffice_Level1"/>
      <w:r>
        <w:rPr>
          <w:rFonts w:ascii="Times New Roman" w:hAnsi="Times New Roman" w:eastAsia="宋体" w:cs="Times New Roman"/>
        </w:rPr>
        <w:t>采购需求及清单</w:t>
      </w:r>
      <w:bookmarkEnd w:id="76"/>
      <w:bookmarkEnd w:id="77"/>
    </w:p>
    <w:p>
      <w:pPr>
        <w:rPr>
          <w:rFonts w:ascii="Times New Roman" w:hAnsi="Times New Roman" w:cs="Times New Roman"/>
        </w:rPr>
      </w:pPr>
    </w:p>
    <w:p>
      <w:pPr>
        <w:pStyle w:val="44"/>
        <w:spacing w:before="0" w:after="0" w:line="440" w:lineRule="exact"/>
        <w:ind w:firstLine="480" w:firstLineChars="200"/>
        <w:jc w:val="left"/>
        <w:outlineLvl w:val="9"/>
        <w:rPr>
          <w:rFonts w:ascii="Times New Roman" w:hAnsi="Times New Roman" w:cs="Times New Roman"/>
          <w:szCs w:val="24"/>
        </w:rPr>
      </w:pPr>
      <w:bookmarkStart w:id="78" w:name="_Toc18078_WPSOffice_Level2"/>
      <w:r>
        <w:rPr>
          <w:rFonts w:ascii="Times New Roman" w:hAnsi="Times New Roman" w:cs="Times New Roman"/>
          <w:szCs w:val="24"/>
        </w:rPr>
        <w:t>1.采购需求</w:t>
      </w:r>
    </w:p>
    <w:p>
      <w:pPr>
        <w:spacing w:line="440" w:lineRule="exact"/>
        <w:ind w:firstLine="480" w:firstLineChars="200"/>
        <w:jc w:val="left"/>
        <w:rPr>
          <w:rFonts w:ascii="Times New Roman" w:hAnsi="Times New Roman" w:cs="Times New Roman"/>
          <w:sz w:val="24"/>
        </w:rPr>
      </w:pPr>
      <w:r>
        <w:rPr>
          <w:rFonts w:ascii="Times New Roman" w:hAnsi="Times New Roman" w:cs="Times New Roman"/>
          <w:sz w:val="24"/>
        </w:rPr>
        <w:t>1.1成交人在规定时间内</w:t>
      </w:r>
      <w:r>
        <w:rPr>
          <w:rFonts w:hint="eastAsia" w:ascii="Times New Roman" w:hAnsi="Times New Roman" w:cs="Times New Roman"/>
          <w:sz w:val="24"/>
        </w:rPr>
        <w:t>（</w:t>
      </w:r>
      <w:r>
        <w:rPr>
          <w:rFonts w:ascii="Times New Roman" w:hAnsi="Times New Roman" w:cs="Times New Roman"/>
          <w:b/>
          <w:bCs/>
          <w:sz w:val="24"/>
        </w:rPr>
        <w:t>收到中标通知书后7日内</w:t>
      </w:r>
      <w:r>
        <w:rPr>
          <w:rFonts w:hint="eastAsia" w:ascii="Times New Roman" w:hAnsi="Times New Roman" w:cs="Times New Roman"/>
          <w:b/>
          <w:bCs/>
          <w:sz w:val="24"/>
        </w:rPr>
        <w:t>）</w:t>
      </w:r>
      <w:r>
        <w:rPr>
          <w:rFonts w:ascii="Times New Roman" w:hAnsi="Times New Roman" w:cs="Times New Roman"/>
          <w:sz w:val="24"/>
        </w:rPr>
        <w:t>完成项目深化设计工作并将设计施工图纸提交甲方审查通过</w:t>
      </w:r>
      <w:r>
        <w:rPr>
          <w:rFonts w:hint="eastAsia" w:ascii="Times New Roman" w:hAnsi="Times New Roman" w:cs="Times New Roman"/>
          <w:sz w:val="24"/>
        </w:rPr>
        <w:t>。</w:t>
      </w:r>
    </w:p>
    <w:p>
      <w:pPr>
        <w:spacing w:line="440" w:lineRule="exact"/>
        <w:ind w:firstLine="480" w:firstLineChars="200"/>
        <w:jc w:val="left"/>
        <w:rPr>
          <w:rFonts w:ascii="Times New Roman" w:hAnsi="Times New Roman" w:cs="Times New Roman"/>
          <w:sz w:val="24"/>
        </w:rPr>
      </w:pPr>
      <w:r>
        <w:rPr>
          <w:rFonts w:ascii="Times New Roman" w:hAnsi="Times New Roman" w:cs="Times New Roman"/>
          <w:sz w:val="24"/>
        </w:rPr>
        <w:t>1.2成交人在规定时间内完成现场装修改造工作，并配合甲方完成后期设备进场安装及其他后续服务工作。</w:t>
      </w:r>
    </w:p>
    <w:p>
      <w:pPr>
        <w:spacing w:line="440" w:lineRule="exact"/>
        <w:ind w:firstLine="480" w:firstLineChars="200"/>
        <w:jc w:val="left"/>
        <w:rPr>
          <w:rFonts w:ascii="Times New Roman" w:hAnsi="Times New Roman" w:cs="Times New Roman"/>
          <w:sz w:val="24"/>
        </w:rPr>
      </w:pPr>
      <w:r>
        <w:rPr>
          <w:rFonts w:ascii="Times New Roman" w:hAnsi="Times New Roman" w:cs="Times New Roman"/>
          <w:sz w:val="24"/>
        </w:rPr>
        <w:t>1.3工程质保期两年，对于部分设施设备质保期大于两年的按照实际质保期提供质保服务。在质保期内无偿提供维修、更换、咨询等服务。</w:t>
      </w:r>
    </w:p>
    <w:p>
      <w:pPr>
        <w:pStyle w:val="44"/>
        <w:spacing w:before="0" w:after="0" w:line="440" w:lineRule="exact"/>
        <w:ind w:firstLine="480" w:firstLineChars="200"/>
        <w:jc w:val="left"/>
        <w:outlineLvl w:val="9"/>
        <w:rPr>
          <w:rFonts w:ascii="Times New Roman" w:hAnsi="Times New Roman" w:cs="Times New Roman"/>
          <w:szCs w:val="24"/>
        </w:rPr>
      </w:pPr>
      <w:r>
        <w:rPr>
          <w:rFonts w:ascii="Times New Roman" w:hAnsi="Times New Roman" w:cs="Times New Roman"/>
          <w:szCs w:val="24"/>
        </w:rPr>
        <w:t>2.工程量清单</w:t>
      </w:r>
    </w:p>
    <w:p>
      <w:pPr>
        <w:pStyle w:val="44"/>
        <w:spacing w:before="0" w:after="0" w:line="440" w:lineRule="exact"/>
        <w:ind w:firstLine="480" w:firstLineChars="200"/>
        <w:outlineLvl w:val="9"/>
        <w:rPr>
          <w:rFonts w:ascii="Times New Roman" w:hAnsi="Times New Roman" w:cs="Times New Roman" w:eastAsiaTheme="minorEastAsia"/>
          <w:szCs w:val="24"/>
        </w:rPr>
      </w:pPr>
      <w:r>
        <w:rPr>
          <w:rFonts w:ascii="Times New Roman" w:hAnsi="Times New Roman" w:cs="Times New Roman" w:eastAsiaTheme="minorEastAsia"/>
          <w:szCs w:val="24"/>
        </w:rPr>
        <w:t>工程量清单见第六章响应文件格式，并以此文件内容为准。</w:t>
      </w:r>
    </w:p>
    <w:bookmarkEnd w:id="78"/>
    <w:p>
      <w:pPr>
        <w:rPr>
          <w:rFonts w:ascii="Times New Roman" w:hAnsi="Times New Roman" w:eastAsia="宋体" w:cs="Times New Roman"/>
        </w:rPr>
      </w:pPr>
      <w:r>
        <w:rPr>
          <w:rFonts w:ascii="Times New Roman" w:hAnsi="Times New Roman" w:eastAsia="宋体" w:cs="Times New Roman"/>
        </w:rPr>
        <w:br w:type="page"/>
      </w:r>
    </w:p>
    <w:p>
      <w:pPr>
        <w:rPr>
          <w:rFonts w:ascii="Times New Roman" w:hAnsi="Times New Roman" w:cs="Times New Roman"/>
        </w:rPr>
      </w:pPr>
      <w:bookmarkStart w:id="79" w:name="_Toc17968_WPSOffice_Level1"/>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4"/>
        <w:numPr>
          <w:ilvl w:val="0"/>
          <w:numId w:val="0"/>
        </w:numPr>
        <w:spacing w:before="312" w:after="312"/>
        <w:rPr>
          <w:rFonts w:ascii="Times New Roman" w:hAnsi="Times New Roman" w:eastAsia="宋体" w:cs="Times New Roman"/>
        </w:rPr>
      </w:pPr>
      <w:bookmarkStart w:id="80" w:name="_Toc11405"/>
      <w:r>
        <w:rPr>
          <w:rFonts w:ascii="Times New Roman" w:hAnsi="Times New Roman" w:eastAsia="宋体" w:cs="Times New Roman"/>
        </w:rPr>
        <w:t>第六章 响应文件格式</w:t>
      </w:r>
      <w:bookmarkEnd w:id="79"/>
      <w:bookmarkEnd w:id="80"/>
    </w:p>
    <w:p>
      <w:pPr>
        <w:jc w:val="left"/>
        <w:rPr>
          <w:rFonts w:ascii="Times New Roman" w:hAnsi="Times New Roman" w:eastAsia="宋体" w:cs="Times New Roman"/>
        </w:rPr>
      </w:pPr>
      <w:r>
        <w:rPr>
          <w:rFonts w:ascii="Times New Roman" w:hAnsi="Times New Roman" w:eastAsia="宋体" w:cs="Times New Roman"/>
        </w:rPr>
        <w:br w:type="page"/>
      </w:r>
    </w:p>
    <w:p>
      <w:pPr>
        <w:bidi w:val="0"/>
        <w:jc w:val="right"/>
        <w:rPr>
          <w:sz w:val="36"/>
          <w:szCs w:val="36"/>
        </w:rPr>
      </w:pPr>
      <w:r>
        <w:rPr>
          <w:rFonts w:hint="eastAsia"/>
          <w:sz w:val="36"/>
          <w:szCs w:val="36"/>
        </w:rPr>
        <w:t>正本/副本</w:t>
      </w:r>
    </w:p>
    <w:p>
      <w:pPr>
        <w:bidi w:val="0"/>
        <w:rPr>
          <w:rFonts w:hint="eastAsia"/>
          <w:lang w:val="en-US" w:eastAsia="zh-CN"/>
        </w:rPr>
      </w:pPr>
    </w:p>
    <w:p>
      <w:pPr>
        <w:bidi w:val="0"/>
        <w:rPr>
          <w:rFonts w:hint="eastAsia"/>
          <w:lang w:val="en-US" w:eastAsia="zh-CN"/>
        </w:rPr>
      </w:pPr>
    </w:p>
    <w:p>
      <w:pPr>
        <w:bidi w:val="0"/>
        <w:jc w:val="center"/>
        <w:rPr>
          <w:rFonts w:hint="eastAsia" w:ascii="宋体" w:hAnsi="宋体" w:eastAsia="宋体" w:cs="宋体"/>
          <w:sz w:val="36"/>
          <w:szCs w:val="36"/>
        </w:rPr>
      </w:pPr>
      <w:bookmarkStart w:id="81" w:name="_Toc27826"/>
      <w:r>
        <w:rPr>
          <w:rFonts w:hint="eastAsia" w:ascii="宋体" w:hAnsi="宋体" w:eastAsia="宋体" w:cs="宋体"/>
          <w:sz w:val="36"/>
          <w:szCs w:val="36"/>
        </w:rPr>
        <w:t>______________________(项目名称)</w:t>
      </w:r>
      <w:bookmarkEnd w:id="81"/>
    </w:p>
    <w:p>
      <w:pPr>
        <w:bidi w:val="0"/>
        <w:rPr>
          <w:rFonts w:hint="default"/>
          <w:lang w:val="en-US" w:eastAsia="zh-CN"/>
        </w:rPr>
      </w:pPr>
    </w:p>
    <w:p>
      <w:pPr>
        <w:bidi w:val="0"/>
        <w:rPr>
          <w:rFonts w:hint="eastAsia"/>
        </w:rPr>
      </w:pPr>
    </w:p>
    <w:p>
      <w:pPr>
        <w:spacing w:line="440" w:lineRule="exact"/>
        <w:rPr>
          <w:rFonts w:ascii="Times New Roman" w:hAnsi="Times New Roman" w:eastAsia="黑体" w:cs="Times New Roman"/>
          <w:color w:val="auto"/>
          <w:sz w:val="40"/>
          <w:szCs w:val="40"/>
        </w:rPr>
      </w:pPr>
    </w:p>
    <w:p>
      <w:pPr>
        <w:bidi w:val="0"/>
        <w:jc w:val="center"/>
        <w:rPr>
          <w:rFonts w:hint="eastAsia" w:ascii="黑体" w:hAnsi="黑体" w:eastAsia="黑体" w:cs="黑体"/>
          <w:sz w:val="44"/>
          <w:szCs w:val="44"/>
        </w:rPr>
      </w:pPr>
      <w:bookmarkStart w:id="82" w:name="_Toc5756_WPSOffice_Level1"/>
      <w:bookmarkStart w:id="83" w:name="_Toc1914_WPSOffice_Level1"/>
      <w:bookmarkStart w:id="84" w:name="_Toc17394_WPSOffice_Level1"/>
      <w:bookmarkStart w:id="85" w:name="_Toc25243_WPSOffice_Level1"/>
    </w:p>
    <w:p>
      <w:pPr>
        <w:bidi w:val="0"/>
        <w:jc w:val="center"/>
        <w:rPr>
          <w:rFonts w:hint="eastAsia" w:ascii="黑体" w:hAnsi="黑体" w:eastAsia="黑体" w:cs="黑体"/>
          <w:sz w:val="44"/>
          <w:szCs w:val="44"/>
        </w:rPr>
      </w:pPr>
      <w:r>
        <w:rPr>
          <w:rFonts w:hint="eastAsia" w:ascii="黑体" w:hAnsi="黑体" w:eastAsia="黑体" w:cs="黑体"/>
          <w:sz w:val="44"/>
          <w:szCs w:val="44"/>
        </w:rPr>
        <w:t>商务及技术文件</w:t>
      </w:r>
      <w:bookmarkEnd w:id="82"/>
      <w:bookmarkEnd w:id="83"/>
      <w:bookmarkEnd w:id="84"/>
      <w:bookmarkEnd w:id="85"/>
    </w:p>
    <w:p>
      <w:pPr>
        <w:spacing w:line="440" w:lineRule="exact"/>
        <w:jc w:val="center"/>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（第一信封）</w:t>
      </w:r>
    </w:p>
    <w:p>
      <w:pPr>
        <w:spacing w:line="440" w:lineRule="exact"/>
        <w:jc w:val="center"/>
        <w:outlineLvl w:val="9"/>
        <w:rPr>
          <w:rFonts w:ascii="Times New Roman" w:hAnsi="Times New Roman" w:eastAsia="黑体" w:cs="Times New Roman"/>
          <w:color w:val="auto"/>
          <w:sz w:val="40"/>
          <w:szCs w:val="40"/>
        </w:rPr>
      </w:pPr>
    </w:p>
    <w:p>
      <w:pPr>
        <w:spacing w:line="440" w:lineRule="exact"/>
        <w:jc w:val="center"/>
        <w:rPr>
          <w:rFonts w:ascii="Times New Roman" w:hAnsi="Times New Roman" w:eastAsia="黑体" w:cs="Times New Roman"/>
          <w:color w:val="auto"/>
          <w:sz w:val="40"/>
          <w:szCs w:val="40"/>
        </w:rPr>
      </w:pPr>
    </w:p>
    <w:p>
      <w:pPr>
        <w:pStyle w:val="3"/>
        <w:outlineLvl w:val="9"/>
        <w:rPr>
          <w:color w:val="auto"/>
        </w:rPr>
      </w:pPr>
    </w:p>
    <w:p>
      <w:pPr>
        <w:rPr>
          <w:color w:val="auto"/>
        </w:rPr>
      </w:pPr>
    </w:p>
    <w:p>
      <w:pPr>
        <w:pStyle w:val="2"/>
        <w:rPr>
          <w:color w:val="auto"/>
        </w:rPr>
      </w:pPr>
    </w:p>
    <w:p>
      <w:pPr>
        <w:spacing w:line="440" w:lineRule="exact"/>
        <w:jc w:val="center"/>
        <w:rPr>
          <w:rFonts w:ascii="Times New Roman" w:hAnsi="Times New Roman" w:eastAsia="黑体" w:cs="Times New Roman"/>
          <w:color w:val="auto"/>
          <w:sz w:val="40"/>
          <w:szCs w:val="40"/>
        </w:rPr>
      </w:pPr>
    </w:p>
    <w:p>
      <w:pPr>
        <w:bidi w:val="0"/>
        <w:jc w:val="center"/>
        <w:rPr>
          <w:rFonts w:ascii="Times New Roman" w:hAnsi="Times New Roman" w:eastAsia="黑体" w:cs="Times New Roman"/>
          <w:color w:val="auto"/>
          <w:sz w:val="28"/>
          <w:szCs w:val="28"/>
        </w:rPr>
      </w:pPr>
      <w:bookmarkStart w:id="86" w:name="_Toc25232_WPSOffice_Level2"/>
      <w:bookmarkStart w:id="87" w:name="_Toc5520_WPSOffice_Level2"/>
    </w:p>
    <w:p>
      <w:pPr>
        <w:bidi w:val="0"/>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供应商：</w:t>
      </w:r>
      <w:r>
        <w:rPr>
          <w:rFonts w:ascii="Times New Roman" w:hAnsi="Times New Roman" w:eastAsia="黑体" w:cs="Times New Roman"/>
          <w:color w:val="auto"/>
          <w:sz w:val="28"/>
          <w:szCs w:val="28"/>
          <w:u w:val="single"/>
        </w:rPr>
        <w:t xml:space="preserve">            (全称、盖单位章)</w:t>
      </w:r>
      <w:bookmarkEnd w:id="86"/>
      <w:bookmarkEnd w:id="87"/>
    </w:p>
    <w:p>
      <w:pPr>
        <w:spacing w:line="440" w:lineRule="exact"/>
        <w:ind w:firstLine="2158" w:firstLineChars="771"/>
        <w:jc w:val="center"/>
        <w:rPr>
          <w:rFonts w:ascii="Times New Roman" w:hAnsi="Times New Roman" w:eastAsia="黑体" w:cs="Times New Roman"/>
          <w:color w:val="auto"/>
          <w:sz w:val="28"/>
          <w:szCs w:val="28"/>
        </w:rPr>
      </w:pPr>
    </w:p>
    <w:p>
      <w:pPr>
        <w:bidi w:val="0"/>
        <w:jc w:val="center"/>
        <w:rPr>
          <w:rFonts w:hint="eastAsia" w:ascii="黑体" w:hAnsi="黑体" w:eastAsia="黑体" w:cs="黑体"/>
          <w:sz w:val="28"/>
          <w:szCs w:val="28"/>
        </w:rPr>
      </w:pPr>
      <w:bookmarkStart w:id="88" w:name="_Toc31577_WPSOffice_Level2"/>
      <w:bookmarkStart w:id="89" w:name="_Toc20076_WPSOffice_Level2"/>
      <w:r>
        <w:rPr>
          <w:rFonts w:hint="eastAsia" w:ascii="黑体" w:hAnsi="黑体" w:eastAsia="黑体" w:cs="黑体"/>
          <w:sz w:val="28"/>
          <w:szCs w:val="28"/>
        </w:rPr>
        <w:t>年</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月</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日</w:t>
      </w:r>
      <w:bookmarkEnd w:id="88"/>
      <w:bookmarkEnd w:id="89"/>
    </w:p>
    <w:p>
      <w:pPr>
        <w:spacing w:line="440" w:lineRule="exact"/>
        <w:ind w:firstLine="280" w:firstLineChars="100"/>
        <w:jc w:val="center"/>
        <w:rPr>
          <w:rFonts w:hint="default" w:ascii="Times New Roman" w:hAnsi="Times New Roman" w:eastAsia="黑体" w:cs="Times New Roman"/>
          <w:color w:val="auto"/>
          <w:sz w:val="28"/>
          <w:szCs w:val="28"/>
          <w:highlight w:val="none"/>
        </w:rPr>
      </w:pPr>
      <w:r>
        <w:rPr>
          <w:rFonts w:hint="default" w:ascii="Times New Roman" w:hAnsi="Times New Roman" w:eastAsia="宋体" w:cs="Times New Roman"/>
          <w:b w:val="0"/>
          <w:bCs/>
          <w:sz w:val="28"/>
          <w:szCs w:val="28"/>
          <w:lang w:val="en-US" w:eastAsia="zh-CN"/>
        </w:rPr>
        <w:br w:type="page"/>
      </w:r>
      <w:r>
        <w:rPr>
          <w:rFonts w:hint="default" w:ascii="Times New Roman" w:hAnsi="Times New Roman" w:eastAsia="黑体" w:cs="Times New Roman"/>
          <w:color w:val="auto"/>
          <w:sz w:val="28"/>
          <w:szCs w:val="28"/>
          <w:highlight w:val="none"/>
        </w:rPr>
        <w:t>目     录</w:t>
      </w:r>
    </w:p>
    <w:p>
      <w:pPr>
        <w:spacing w:line="440" w:lineRule="exact"/>
        <w:rPr>
          <w:rFonts w:hint="default" w:ascii="Times New Roman" w:hAnsi="Times New Roman" w:eastAsia="黑体" w:cs="Times New Roman"/>
          <w:color w:val="auto"/>
          <w:sz w:val="20"/>
          <w:szCs w:val="20"/>
          <w:highlight w:val="none"/>
        </w:rPr>
      </w:pPr>
    </w:p>
    <w:p>
      <w:pPr>
        <w:spacing w:line="440" w:lineRule="exact"/>
        <w:ind w:left="1619" w:leftChars="771"/>
        <w:jc w:val="left"/>
        <w:rPr>
          <w:rFonts w:ascii="Times New Roman" w:hAnsi="Times New Roman" w:eastAsia="黑体" w:cs="Times New Roman"/>
          <w:sz w:val="24"/>
        </w:rPr>
      </w:pPr>
      <w:bookmarkStart w:id="90" w:name="_Toc21229_WPSOffice_Level1"/>
      <w:bookmarkStart w:id="91" w:name="_Toc30428_WPSOffice_Level1"/>
      <w:bookmarkStart w:id="92" w:name="_Toc31927_WPSOffice_Level1"/>
      <w:bookmarkStart w:id="93" w:name="_Toc32729_WPSOffice_Level1"/>
      <w:bookmarkStart w:id="94" w:name="_Toc5317_WPSOffice_Level1"/>
      <w:r>
        <w:rPr>
          <w:rFonts w:hint="eastAsia" w:ascii="Times New Roman" w:hAnsi="Times New Roman" w:eastAsia="黑体" w:cs="Times New Roman"/>
          <w:sz w:val="24"/>
          <w:lang w:val="en-US" w:eastAsia="zh-CN"/>
        </w:rPr>
        <w:t>一</w:t>
      </w:r>
      <w:r>
        <w:rPr>
          <w:rFonts w:ascii="Times New Roman" w:hAnsi="Times New Roman" w:eastAsia="黑体" w:cs="Times New Roman"/>
          <w:sz w:val="24"/>
        </w:rPr>
        <w:t>、法定代表人身份证明及授权委托书</w:t>
      </w:r>
      <w:bookmarkEnd w:id="90"/>
      <w:bookmarkEnd w:id="91"/>
      <w:bookmarkEnd w:id="92"/>
      <w:bookmarkEnd w:id="93"/>
      <w:bookmarkEnd w:id="94"/>
    </w:p>
    <w:p>
      <w:pPr>
        <w:spacing w:line="440" w:lineRule="exact"/>
        <w:ind w:left="1619" w:leftChars="771"/>
        <w:jc w:val="left"/>
        <w:rPr>
          <w:rFonts w:ascii="Times New Roman" w:hAnsi="Times New Roman" w:eastAsia="黑体" w:cs="Times New Roman"/>
          <w:sz w:val="24"/>
        </w:rPr>
      </w:pPr>
      <w:bookmarkStart w:id="95" w:name="_Toc18964_WPSOffice_Level1"/>
      <w:bookmarkStart w:id="96" w:name="_Toc7453_WPSOffice_Level1"/>
      <w:bookmarkStart w:id="97" w:name="_Toc10608_WPSOffice_Level1"/>
      <w:bookmarkStart w:id="98" w:name="_Toc23744_WPSOffice_Level1"/>
      <w:bookmarkStart w:id="99" w:name="_Toc29870_WPSOffice_Level1"/>
      <w:r>
        <w:rPr>
          <w:rFonts w:hint="eastAsia" w:ascii="Times New Roman" w:hAnsi="Times New Roman" w:eastAsia="黑体" w:cs="Times New Roman"/>
          <w:sz w:val="24"/>
          <w:lang w:val="en-US" w:eastAsia="zh-CN"/>
        </w:rPr>
        <w:t>二</w:t>
      </w:r>
      <w:r>
        <w:rPr>
          <w:rFonts w:ascii="Times New Roman" w:hAnsi="Times New Roman" w:eastAsia="黑体" w:cs="Times New Roman"/>
          <w:sz w:val="24"/>
        </w:rPr>
        <w:t>、</w:t>
      </w:r>
      <w:bookmarkEnd w:id="95"/>
      <w:bookmarkEnd w:id="96"/>
      <w:bookmarkEnd w:id="97"/>
      <w:bookmarkEnd w:id="98"/>
      <w:r>
        <w:rPr>
          <w:rFonts w:ascii="Times New Roman" w:hAnsi="Times New Roman" w:eastAsia="黑体" w:cs="Times New Roman"/>
          <w:sz w:val="24"/>
        </w:rPr>
        <w:t>供应商基本情况</w:t>
      </w:r>
      <w:bookmarkEnd w:id="99"/>
    </w:p>
    <w:p>
      <w:pPr>
        <w:spacing w:line="440" w:lineRule="exact"/>
        <w:ind w:left="1619" w:leftChars="771"/>
        <w:jc w:val="left"/>
        <w:rPr>
          <w:rFonts w:ascii="Times New Roman" w:hAnsi="Times New Roman" w:eastAsia="黑体" w:cs="Times New Roman"/>
          <w:sz w:val="24"/>
        </w:rPr>
      </w:pPr>
      <w:bookmarkStart w:id="100" w:name="_Toc19601_WPSOffice_Level1"/>
      <w:bookmarkStart w:id="101" w:name="_Toc9006_WPSOffice_Level1"/>
      <w:bookmarkStart w:id="102" w:name="_Toc1578_WPSOffice_Level1"/>
      <w:bookmarkStart w:id="103" w:name="_Toc23751_WPSOffice_Level1"/>
      <w:bookmarkStart w:id="104" w:name="_Toc554_WPSOffice_Level1"/>
      <w:r>
        <w:rPr>
          <w:rFonts w:hint="eastAsia" w:ascii="Times New Roman" w:hAnsi="Times New Roman" w:eastAsia="黑体" w:cs="Times New Roman"/>
          <w:sz w:val="24"/>
          <w:lang w:val="en-US" w:eastAsia="zh-CN"/>
        </w:rPr>
        <w:t>三</w:t>
      </w:r>
      <w:r>
        <w:rPr>
          <w:rFonts w:ascii="Times New Roman" w:hAnsi="Times New Roman" w:eastAsia="黑体" w:cs="Times New Roman"/>
          <w:sz w:val="24"/>
        </w:rPr>
        <w:t>、</w:t>
      </w:r>
      <w:bookmarkEnd w:id="100"/>
      <w:bookmarkEnd w:id="101"/>
      <w:bookmarkEnd w:id="102"/>
      <w:bookmarkEnd w:id="103"/>
      <w:bookmarkStart w:id="105" w:name="_Toc12459_WPSOffice_Level1"/>
      <w:bookmarkStart w:id="106" w:name="_Toc24262_WPSOffice_Level1"/>
      <w:r>
        <w:rPr>
          <w:rFonts w:ascii="Times New Roman" w:hAnsi="Times New Roman" w:eastAsia="黑体" w:cs="Times New Roman"/>
          <w:sz w:val="24"/>
        </w:rPr>
        <w:t>拟委任的</w:t>
      </w:r>
      <w:bookmarkEnd w:id="104"/>
      <w:r>
        <w:rPr>
          <w:rFonts w:ascii="Times New Roman" w:hAnsi="Times New Roman" w:eastAsia="黑体" w:cs="Times New Roman"/>
          <w:sz w:val="24"/>
        </w:rPr>
        <w:t>项目负责人资历表</w:t>
      </w:r>
    </w:p>
    <w:p>
      <w:pPr>
        <w:spacing w:line="440" w:lineRule="exact"/>
        <w:ind w:left="1619" w:leftChars="771"/>
        <w:jc w:val="left"/>
        <w:rPr>
          <w:rFonts w:ascii="Times New Roman" w:hAnsi="Times New Roman" w:eastAsia="黑体" w:cs="Times New Roman"/>
          <w:sz w:val="24"/>
        </w:rPr>
      </w:pPr>
      <w:bookmarkStart w:id="107" w:name="_Toc20930_WPSOffice_Level1"/>
      <w:bookmarkStart w:id="108" w:name="_Toc32220_WPSOffice_Level1"/>
      <w:bookmarkStart w:id="109" w:name="_Toc927_WPSOffice_Level1"/>
      <w:r>
        <w:rPr>
          <w:rFonts w:hint="eastAsia" w:ascii="Times New Roman" w:hAnsi="Times New Roman" w:eastAsia="黑体" w:cs="Times New Roman"/>
          <w:sz w:val="24"/>
          <w:lang w:val="en-US" w:eastAsia="zh-CN"/>
        </w:rPr>
        <w:t>四</w:t>
      </w:r>
      <w:r>
        <w:rPr>
          <w:rFonts w:ascii="Times New Roman" w:hAnsi="Times New Roman" w:eastAsia="黑体" w:cs="Times New Roman"/>
          <w:sz w:val="24"/>
        </w:rPr>
        <w:t>、</w:t>
      </w:r>
      <w:bookmarkEnd w:id="105"/>
      <w:bookmarkEnd w:id="106"/>
      <w:bookmarkEnd w:id="107"/>
      <w:bookmarkEnd w:id="108"/>
      <w:r>
        <w:rPr>
          <w:rFonts w:ascii="Times New Roman" w:hAnsi="Times New Roman" w:eastAsia="黑体" w:cs="Times New Roman"/>
          <w:sz w:val="24"/>
        </w:rPr>
        <w:t>信誉情况</w:t>
      </w:r>
      <w:bookmarkEnd w:id="109"/>
    </w:p>
    <w:p>
      <w:pPr>
        <w:spacing w:line="440" w:lineRule="exact"/>
        <w:ind w:left="1619" w:leftChars="771"/>
        <w:jc w:val="left"/>
        <w:rPr>
          <w:rFonts w:ascii="Times New Roman" w:hAnsi="Times New Roman" w:eastAsia="黑体" w:cs="Times New Roman"/>
          <w:sz w:val="24"/>
        </w:rPr>
      </w:pPr>
      <w:bookmarkStart w:id="110" w:name="_Toc23147_WPSOffice_Level1"/>
      <w:bookmarkStart w:id="111" w:name="_Toc31992_WPSOffice_Level1"/>
      <w:bookmarkStart w:id="112" w:name="_Toc30234_WPSOffice_Level1"/>
      <w:bookmarkStart w:id="113" w:name="_Toc32152_WPSOffice_Level1"/>
      <w:bookmarkStart w:id="114" w:name="_Toc4051_WPSOffice_Level1"/>
      <w:r>
        <w:rPr>
          <w:rFonts w:hint="eastAsia" w:ascii="Times New Roman" w:hAnsi="Times New Roman" w:eastAsia="黑体" w:cs="Times New Roman"/>
          <w:sz w:val="24"/>
          <w:lang w:val="en-US" w:eastAsia="zh-CN"/>
        </w:rPr>
        <w:t>五</w:t>
      </w:r>
      <w:r>
        <w:rPr>
          <w:rFonts w:ascii="Times New Roman" w:hAnsi="Times New Roman" w:eastAsia="黑体" w:cs="Times New Roman"/>
          <w:sz w:val="24"/>
        </w:rPr>
        <w:t>、</w:t>
      </w:r>
      <w:bookmarkEnd w:id="110"/>
      <w:bookmarkEnd w:id="111"/>
      <w:bookmarkEnd w:id="112"/>
      <w:bookmarkEnd w:id="113"/>
      <w:bookmarkEnd w:id="114"/>
      <w:r>
        <w:rPr>
          <w:rFonts w:hint="eastAsia" w:ascii="Times New Roman" w:hAnsi="Times New Roman" w:eastAsia="黑体" w:cs="Times New Roman"/>
          <w:sz w:val="24"/>
        </w:rPr>
        <w:t>技术</w:t>
      </w:r>
      <w:r>
        <w:rPr>
          <w:rFonts w:ascii="Times New Roman" w:hAnsi="Times New Roman" w:eastAsia="黑体" w:cs="Times New Roman"/>
          <w:sz w:val="24"/>
        </w:rPr>
        <w:t>方案</w:t>
      </w:r>
    </w:p>
    <w:p>
      <w:pPr>
        <w:spacing w:line="440" w:lineRule="exact"/>
        <w:ind w:left="1619" w:leftChars="771"/>
        <w:jc w:val="left"/>
        <w:rPr>
          <w:rFonts w:hint="eastAsia" w:ascii="Times New Roman" w:hAnsi="Times New Roman" w:eastAsia="黑体" w:cs="Times New Roman"/>
          <w:sz w:val="24"/>
          <w:lang w:val="en-US" w:eastAsia="zh-CN"/>
        </w:rPr>
      </w:pPr>
      <w:bookmarkStart w:id="115" w:name="_Toc16988_WPSOffice_Level1"/>
      <w:bookmarkStart w:id="116" w:name="_Toc5885_WPSOffice_Level1"/>
      <w:bookmarkStart w:id="117" w:name="_Toc25973_WPSOffice_Level1"/>
      <w:r>
        <w:rPr>
          <w:rFonts w:hint="eastAsia" w:ascii="Times New Roman" w:hAnsi="Times New Roman" w:eastAsia="黑体" w:cs="Times New Roman"/>
          <w:sz w:val="24"/>
          <w:lang w:val="en-US" w:eastAsia="zh-CN"/>
        </w:rPr>
        <w:t>六、其他材料</w:t>
      </w:r>
      <w:bookmarkEnd w:id="115"/>
      <w:bookmarkEnd w:id="116"/>
      <w:bookmarkEnd w:id="117"/>
    </w:p>
    <w:p>
      <w:pPr>
        <w:spacing w:line="440" w:lineRule="exact"/>
        <w:ind w:left="1619" w:leftChars="771"/>
        <w:jc w:val="left"/>
        <w:rPr>
          <w:rFonts w:hint="eastAsia" w:ascii="Times New Roman" w:hAnsi="Times New Roman" w:eastAsia="黑体" w:cs="Times New Roman"/>
          <w:sz w:val="24"/>
          <w:lang w:val="en-US" w:eastAsia="zh-CN"/>
        </w:rPr>
      </w:pPr>
      <w:r>
        <w:rPr>
          <w:rFonts w:hint="eastAsia" w:ascii="Times New Roman" w:hAnsi="Times New Roman" w:eastAsia="黑体" w:cs="Times New Roman"/>
          <w:sz w:val="24"/>
          <w:lang w:val="en-US" w:eastAsia="zh-CN"/>
        </w:rPr>
        <w:br w:type="page"/>
      </w:r>
    </w:p>
    <w:p>
      <w:pPr>
        <w:spacing w:line="440" w:lineRule="exact"/>
        <w:jc w:val="center"/>
        <w:outlineLvl w:val="0"/>
        <w:rPr>
          <w:rFonts w:ascii="Times New Roman" w:hAnsi="Times New Roman" w:eastAsia="黑体" w:cs="Times New Roman"/>
          <w:sz w:val="28"/>
          <w:szCs w:val="28"/>
        </w:rPr>
      </w:pPr>
      <w:bookmarkStart w:id="118" w:name="_Toc14563_WPSOffice_Level1"/>
      <w:bookmarkStart w:id="119" w:name="_Toc21740_WPSOffice_Level1"/>
      <w:bookmarkStart w:id="120" w:name="_Toc1996_WPSOffice_Level1"/>
      <w:bookmarkStart w:id="121" w:name="_Toc18668_WPSOffice_Level1"/>
      <w:bookmarkStart w:id="122" w:name="_Toc3536"/>
      <w:bookmarkStart w:id="123" w:name="_Toc32350_WPSOffice_Level1"/>
      <w:bookmarkStart w:id="124" w:name="_Toc4951_WPSOffice_Level1"/>
      <w:r>
        <w:rPr>
          <w:rFonts w:hint="eastAsia" w:ascii="Times New Roman" w:hAnsi="Times New Roman" w:eastAsia="黑体" w:cs="Times New Roman"/>
          <w:sz w:val="28"/>
          <w:szCs w:val="28"/>
          <w:lang w:val="en-US" w:eastAsia="zh-CN"/>
        </w:rPr>
        <w:t>一</w:t>
      </w:r>
      <w:r>
        <w:rPr>
          <w:rFonts w:ascii="Times New Roman" w:hAnsi="Times New Roman" w:eastAsia="黑体" w:cs="Times New Roman"/>
          <w:sz w:val="28"/>
          <w:szCs w:val="28"/>
        </w:rPr>
        <w:t>、法定代表人身份证明及授权委托书</w:t>
      </w:r>
      <w:bookmarkEnd w:id="118"/>
      <w:bookmarkEnd w:id="119"/>
      <w:bookmarkEnd w:id="120"/>
      <w:bookmarkEnd w:id="121"/>
      <w:bookmarkEnd w:id="122"/>
      <w:bookmarkEnd w:id="123"/>
      <w:bookmarkEnd w:id="124"/>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25" w:name="_Toc5153_WPSOffice_Level2"/>
      <w:bookmarkStart w:id="126" w:name="_Toc20803_WPSOffice_Level2"/>
      <w:r>
        <w:rPr>
          <w:rFonts w:hint="eastAsia" w:ascii="Times New Roman" w:hAnsi="Times New Roman" w:eastAsia="黑体" w:cs="Times New Roman"/>
          <w:bCs/>
          <w:sz w:val="28"/>
          <w:szCs w:val="28"/>
          <w:lang w:val="en-US" w:eastAsia="zh-CN"/>
        </w:rPr>
        <w:t>1</w:t>
      </w:r>
      <w:r>
        <w:rPr>
          <w:rFonts w:ascii="Times New Roman" w:hAnsi="Times New Roman" w:eastAsia="黑体" w:cs="Times New Roman"/>
          <w:bCs/>
          <w:sz w:val="28"/>
          <w:szCs w:val="28"/>
        </w:rPr>
        <w:t>-1 法定代表人身份证明</w:t>
      </w:r>
      <w:bookmarkEnd w:id="125"/>
      <w:bookmarkEnd w:id="126"/>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成立时间：</w:t>
      </w:r>
      <w:r>
        <w:rPr>
          <w:rFonts w:ascii="Times New Roman" w:hAnsi="Times New Roman" w:cs="Times New Roman"/>
          <w:sz w:val="24"/>
          <w:u w:val="single"/>
        </w:rPr>
        <w:t xml:space="preserve">         </w:t>
      </w:r>
      <w:r>
        <w:rPr>
          <w:rFonts w:ascii="Times New Roman" w:hAnsi="Times New Roman" w:cs="Times New Roman"/>
          <w:sz w:val="24"/>
        </w:rPr>
        <w:t xml:space="preserve"> 年</w:t>
      </w:r>
      <w:r>
        <w:rPr>
          <w:rFonts w:ascii="Times New Roman" w:hAnsi="Times New Roman" w:cs="Times New Roman"/>
          <w:sz w:val="24"/>
          <w:u w:val="single"/>
        </w:rPr>
        <w:t xml:space="preserve">       </w:t>
      </w:r>
      <w:r>
        <w:rPr>
          <w:rFonts w:ascii="Times New Roman" w:hAnsi="Times New Roman" w:cs="Times New Roman"/>
          <w:sz w:val="24"/>
        </w:rPr>
        <w:t xml:space="preserve"> 月</w:t>
      </w:r>
      <w:r>
        <w:rPr>
          <w:rFonts w:ascii="Times New Roman" w:hAnsi="Times New Roman" w:cs="Times New Roman"/>
          <w:sz w:val="24"/>
          <w:u w:val="single"/>
        </w:rPr>
        <w:t xml:space="preserve">       </w:t>
      </w:r>
      <w:r>
        <w:rPr>
          <w:rFonts w:ascii="Times New Roman" w:hAnsi="Times New Roman" w:cs="Times New Roman"/>
          <w:sz w:val="24"/>
        </w:rPr>
        <w:t xml:space="preserve"> 日</w:t>
      </w:r>
    </w:p>
    <w:p>
      <w:pPr>
        <w:spacing w:line="440" w:lineRule="exact"/>
        <w:rPr>
          <w:rFonts w:ascii="Times New Roman" w:hAnsi="Times New Roman" w:cs="Times New Roman"/>
          <w:sz w:val="24"/>
        </w:rPr>
      </w:pPr>
      <w:r>
        <w:rPr>
          <w:rFonts w:ascii="Times New Roman" w:hAnsi="Times New Roman" w:cs="Times New Roman"/>
          <w:sz w:val="24"/>
        </w:rPr>
        <w:t>经营期限：</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姓名：</w:t>
      </w:r>
      <w:r>
        <w:rPr>
          <w:rFonts w:ascii="Times New Roman" w:hAnsi="Times New Roman" w:cs="Times New Roman"/>
          <w:sz w:val="24"/>
          <w:u w:val="single"/>
        </w:rPr>
        <w:t xml:space="preserve">  </w:t>
      </w:r>
      <w:r>
        <w:rPr>
          <w:rFonts w:ascii="Times New Roman" w:hAnsi="Times New Roman" w:cs="Times New Roman"/>
          <w:bCs/>
          <w:sz w:val="24"/>
          <w:u w:val="single"/>
        </w:rPr>
        <w:t xml:space="preserve">                </w:t>
      </w:r>
      <w:r>
        <w:rPr>
          <w:rFonts w:ascii="Times New Roman" w:hAnsi="Times New Roman" w:cs="Times New Roman"/>
          <w:sz w:val="24"/>
        </w:rPr>
        <w:t xml:space="preserve"> 性别：</w:t>
      </w:r>
      <w:r>
        <w:rPr>
          <w:rFonts w:ascii="Times New Roman" w:hAnsi="Times New Roman" w:cs="Times New Roman"/>
          <w:sz w:val="24"/>
          <w:u w:val="single"/>
        </w:rPr>
        <w:t xml:space="preserve">     </w:t>
      </w:r>
      <w:r>
        <w:rPr>
          <w:rFonts w:ascii="Times New Roman" w:hAnsi="Times New Roman" w:cs="Times New Roman"/>
          <w:sz w:val="24"/>
        </w:rPr>
        <w:t xml:space="preserve"> 年龄：</w:t>
      </w:r>
      <w:r>
        <w:rPr>
          <w:rFonts w:ascii="Times New Roman" w:hAnsi="Times New Roman" w:cs="Times New Roman"/>
          <w:sz w:val="24"/>
          <w:u w:val="single"/>
        </w:rPr>
        <w:t xml:space="preserve">        </w:t>
      </w:r>
      <w:r>
        <w:rPr>
          <w:rFonts w:ascii="Times New Roman" w:hAnsi="Times New Roman" w:cs="Times New Roman"/>
          <w:sz w:val="24"/>
        </w:rPr>
        <w:t>职务：</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 xml:space="preserve">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日           </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widowControl/>
        <w:autoSpaceDE w:val="0"/>
        <w:autoSpaceDN w:val="0"/>
        <w:spacing w:line="360" w:lineRule="atLeast"/>
        <w:textAlignment w:val="bottom"/>
        <w:rPr>
          <w:rFonts w:ascii="Times New Roman" w:hAnsi="Times New Roman" w:eastAsia="黑体" w:cs="Times New Roman"/>
          <w:szCs w:val="21"/>
        </w:rPr>
      </w:pPr>
      <w:r>
        <w:rPr>
          <w:rFonts w:ascii="Times New Roman" w:hAnsi="Times New Roman" w:eastAsia="黑体" w:cs="Times New Roman"/>
          <w:szCs w:val="21"/>
        </w:rPr>
        <w:t>注：1.本身份证明需由报价人加盖单位公章。</w:t>
      </w:r>
    </w:p>
    <w:p>
      <w:pPr>
        <w:topLinePunct/>
        <w:spacing w:line="440" w:lineRule="exact"/>
        <w:ind w:firstLine="420" w:firstLineChars="200"/>
        <w:rPr>
          <w:rFonts w:ascii="Times New Roman" w:hAnsi="Times New Roman" w:eastAsia="黑体" w:cs="Times New Roman"/>
          <w:szCs w:val="21"/>
        </w:rPr>
      </w:pPr>
      <w:r>
        <w:rPr>
          <w:rFonts w:ascii="Times New Roman" w:hAnsi="Times New Roman" w:eastAsia="黑体" w:cs="Times New Roman"/>
          <w:szCs w:val="21"/>
        </w:rPr>
        <w:t>2.法定代表人的签字必须是亲笔签名，不得使用印章、签名章或其他电子制版签名。</w:t>
      </w: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27" w:name="_Toc12035_WPSOffice_Level2"/>
      <w:bookmarkStart w:id="128" w:name="_Toc19768_WPSOffice_Level2"/>
      <w:r>
        <w:rPr>
          <w:rFonts w:hint="eastAsia" w:ascii="Times New Roman" w:hAnsi="Times New Roman" w:eastAsia="黑体" w:cs="Times New Roman"/>
          <w:bCs/>
          <w:sz w:val="28"/>
          <w:szCs w:val="28"/>
          <w:lang w:val="en-US" w:eastAsia="zh-CN"/>
        </w:rPr>
        <w:t>1</w:t>
      </w:r>
      <w:r>
        <w:rPr>
          <w:rFonts w:ascii="Times New Roman" w:hAnsi="Times New Roman" w:eastAsia="黑体" w:cs="Times New Roman"/>
          <w:bCs/>
          <w:sz w:val="28"/>
          <w:szCs w:val="28"/>
        </w:rPr>
        <w:t xml:space="preserve">-2 </w:t>
      </w:r>
      <w:r>
        <w:rPr>
          <w:rFonts w:ascii="Times New Roman" w:hAnsi="Times New Roman" w:eastAsia="黑体" w:cs="Times New Roman"/>
          <w:sz w:val="28"/>
          <w:szCs w:val="28"/>
        </w:rPr>
        <w:t>授权委托书</w:t>
      </w:r>
      <w:bookmarkEnd w:id="127"/>
      <w:bookmarkEnd w:id="128"/>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(姓名)系</w:t>
      </w:r>
      <w:r>
        <w:rPr>
          <w:rFonts w:ascii="Times New Roman" w:hAnsi="Times New Roman" w:cs="Times New Roman"/>
          <w:sz w:val="24"/>
          <w:u w:val="single"/>
        </w:rPr>
        <w:t xml:space="preserve">          </w:t>
      </w:r>
      <w:r>
        <w:rPr>
          <w:rFonts w:ascii="Times New Roman" w:hAnsi="Times New Roman" w:cs="Times New Roman"/>
          <w:sz w:val="24"/>
        </w:rPr>
        <w:t>(供应商名称)的法定代表人，现委托</w:t>
      </w:r>
      <w:r>
        <w:rPr>
          <w:rFonts w:ascii="Times New Roman" w:hAnsi="Times New Roman" w:cs="Times New Roman"/>
          <w:sz w:val="24"/>
          <w:u w:val="single"/>
        </w:rPr>
        <w:t xml:space="preserve">        </w:t>
      </w:r>
      <w:r>
        <w:rPr>
          <w:rFonts w:ascii="Times New Roman" w:hAnsi="Times New Roman" w:cs="Times New Roman"/>
          <w:sz w:val="24"/>
        </w:rPr>
        <w:t>(姓名)为我方代理人。代理人根据授权，以我方名义签署、澄清、说明、补正、递交、撤回、修改</w:t>
      </w:r>
      <w:r>
        <w:rPr>
          <w:rFonts w:ascii="Times New Roman" w:hAnsi="Times New Roman" w:cs="Times New Roman"/>
          <w:sz w:val="24"/>
          <w:u w:val="single"/>
        </w:rPr>
        <w:t xml:space="preserve">                     </w:t>
      </w:r>
      <w:r>
        <w:rPr>
          <w:rFonts w:ascii="Times New Roman" w:hAnsi="Times New Roman" w:cs="Times New Roman"/>
          <w:sz w:val="24"/>
        </w:rPr>
        <w:t>(项目名称)</w:t>
      </w:r>
      <w:r>
        <w:rPr>
          <w:rFonts w:ascii="Times New Roman" w:hAnsi="Times New Roman" w:cs="Times New Roman"/>
          <w:sz w:val="24"/>
          <w:u w:val="single"/>
        </w:rPr>
        <w:t xml:space="preserve">     </w:t>
      </w:r>
      <w:r>
        <w:rPr>
          <w:rFonts w:ascii="Times New Roman" w:hAnsi="Times New Roman" w:cs="Times New Roman"/>
          <w:sz w:val="24"/>
        </w:rPr>
        <w:t>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 xml:space="preserve">    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ascii="Times New Roman" w:hAnsi="Times New Roman" w:cs="Times New Roman"/>
          <w:sz w:val="24"/>
        </w:rPr>
        <w:t>(签名)</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ascii="Times New Roman" w:hAnsi="Times New Roman" w:cs="Times New Roman"/>
          <w:sz w:val="24"/>
        </w:rPr>
        <w:t>(签名)</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spacing w:line="440" w:lineRule="exact"/>
        <w:rPr>
          <w:rFonts w:ascii="Times New Roman" w:hAnsi="Times New Roman" w:eastAsia="黑体" w:cs="Times New Roman"/>
          <w:sz w:val="24"/>
        </w:rPr>
      </w:pPr>
      <w:r>
        <w:rPr>
          <w:rFonts w:ascii="Times New Roman" w:hAnsi="Times New Roman" w:eastAsia="黑体" w:cs="Times New Roman"/>
          <w:sz w:val="24"/>
        </w:rPr>
        <w:t xml:space="preserve"> </w:t>
      </w:r>
    </w:p>
    <w:p>
      <w:pPr>
        <w:spacing w:line="360" w:lineRule="exact"/>
        <w:ind w:left="360" w:hanging="360" w:hangingChars="200"/>
        <w:rPr>
          <w:rFonts w:ascii="Times New Roman" w:hAnsi="Times New Roman" w:eastAsia="黑体" w:cs="Times New Roman"/>
          <w:sz w:val="18"/>
          <w:szCs w:val="18"/>
        </w:rPr>
      </w:pPr>
    </w:p>
    <w:p>
      <w:pPr>
        <w:widowControl/>
        <w:autoSpaceDE w:val="0"/>
        <w:autoSpaceDN w:val="0"/>
        <w:spacing w:line="360" w:lineRule="atLeast"/>
        <w:textAlignment w:val="bottom"/>
        <w:rPr>
          <w:rFonts w:ascii="Times New Roman" w:hAnsi="Times New Roman" w:eastAsia="黑体" w:cs="Times New Roman"/>
          <w:szCs w:val="21"/>
        </w:rPr>
      </w:pPr>
      <w:r>
        <w:rPr>
          <w:rFonts w:ascii="Times New Roman" w:hAnsi="Times New Roman" w:eastAsia="黑体" w:cs="Times New Roman"/>
          <w:szCs w:val="21"/>
        </w:rPr>
        <w:t>注：1.本授权委托书需由报价人加盖单位公章并由其法定代表人和委托代理人签字。</w:t>
      </w:r>
    </w:p>
    <w:p>
      <w:pPr>
        <w:widowControl/>
        <w:autoSpaceDE w:val="0"/>
        <w:autoSpaceDN w:val="0"/>
        <w:spacing w:line="360" w:lineRule="atLeast"/>
        <w:ind w:firstLine="420" w:firstLineChars="200"/>
        <w:textAlignment w:val="bottom"/>
        <w:rPr>
          <w:rFonts w:ascii="Times New Roman" w:hAnsi="Times New Roman" w:eastAsia="黑体" w:cs="Times New Roman"/>
          <w:szCs w:val="21"/>
        </w:rPr>
      </w:pPr>
      <w:r>
        <w:rPr>
          <w:rFonts w:ascii="Times New Roman" w:hAnsi="Times New Roman" w:eastAsia="黑体" w:cs="Times New Roman"/>
          <w:szCs w:val="21"/>
        </w:rPr>
        <w:t>2.法定代表人和委托代理人必须在授权书上亲笔签名，不得使用印章、签名章或其他电子制版签名。</w:t>
      </w:r>
    </w:p>
    <w:p>
      <w:pPr>
        <w:widowControl/>
        <w:autoSpaceDE w:val="0"/>
        <w:autoSpaceDN w:val="0"/>
        <w:spacing w:line="360" w:lineRule="atLeast"/>
        <w:ind w:firstLine="420" w:firstLineChars="200"/>
        <w:textAlignment w:val="bottom"/>
        <w:rPr>
          <w:rFonts w:ascii="Times New Roman" w:hAnsi="Times New Roman" w:eastAsia="黑体" w:cs="Times New Roman"/>
          <w:szCs w:val="21"/>
        </w:rPr>
      </w:pPr>
      <w:r>
        <w:rPr>
          <w:rFonts w:ascii="Times New Roman" w:hAnsi="Times New Roman" w:eastAsia="黑体" w:cs="Times New Roman"/>
          <w:szCs w:val="21"/>
        </w:rPr>
        <w:t>3.如果由报价人的法定代表人亲自签署报价文件，则不需提交授权委托书。</w:t>
      </w:r>
    </w:p>
    <w:p>
      <w:pPr>
        <w:rPr>
          <w:rFonts w:ascii="Times New Roman" w:hAnsi="Times New Roman" w:eastAsia="黑体" w:cs="Times New Roman"/>
          <w:szCs w:val="21"/>
        </w:rPr>
      </w:pPr>
      <w:r>
        <w:rPr>
          <w:rFonts w:ascii="Times New Roman" w:hAnsi="Times New Roman" w:eastAsia="黑体" w:cs="Times New Roman"/>
          <w:szCs w:val="21"/>
        </w:rPr>
        <w:br w:type="page"/>
      </w:r>
    </w:p>
    <w:p>
      <w:pPr>
        <w:topLinePunct/>
        <w:spacing w:line="440" w:lineRule="exact"/>
        <w:jc w:val="center"/>
        <w:outlineLvl w:val="0"/>
        <w:rPr>
          <w:rFonts w:ascii="Times New Roman" w:hAnsi="Times New Roman" w:eastAsia="黑体" w:cs="Times New Roman"/>
          <w:sz w:val="28"/>
          <w:szCs w:val="28"/>
        </w:rPr>
      </w:pPr>
      <w:bookmarkStart w:id="129" w:name="_Toc7738_WPSOffice_Level1"/>
      <w:bookmarkStart w:id="130" w:name="_Toc17124_WPSOffice_Level1"/>
      <w:bookmarkStart w:id="131" w:name="_Toc31445_WPSOffice_Level1"/>
      <w:bookmarkStart w:id="132" w:name="_Toc10646_WPSOffice_Level1"/>
      <w:bookmarkStart w:id="133" w:name="_Toc10436_WPSOffice_Level1"/>
      <w:bookmarkStart w:id="134" w:name="_Toc19015_WPSOffice_Level1"/>
      <w:bookmarkStart w:id="135" w:name="_Toc8290"/>
      <w:r>
        <w:rPr>
          <w:rFonts w:hint="eastAsia" w:ascii="Times New Roman" w:hAnsi="Times New Roman" w:eastAsia="黑体" w:cs="Times New Roman"/>
          <w:sz w:val="28"/>
          <w:szCs w:val="28"/>
          <w:lang w:val="en-US" w:eastAsia="zh-CN"/>
        </w:rPr>
        <w:t>二</w:t>
      </w:r>
      <w:r>
        <w:rPr>
          <w:rFonts w:ascii="Times New Roman" w:hAnsi="Times New Roman" w:eastAsia="黑体" w:cs="Times New Roman"/>
          <w:sz w:val="28"/>
          <w:szCs w:val="28"/>
        </w:rPr>
        <w:t>、</w:t>
      </w:r>
      <w:bookmarkStart w:id="136" w:name="_Toc2807_WPSOffice_Level2"/>
      <w:bookmarkStart w:id="137" w:name="_Toc27600_WPSOffice_Level2"/>
      <w:r>
        <w:rPr>
          <w:rFonts w:ascii="Times New Roman" w:hAnsi="Times New Roman" w:eastAsia="黑体" w:cs="Times New Roman"/>
          <w:sz w:val="28"/>
          <w:szCs w:val="28"/>
        </w:rPr>
        <w:t>供应商基本情况</w:t>
      </w:r>
      <w:bookmarkEnd w:id="129"/>
      <w:bookmarkEnd w:id="130"/>
      <w:bookmarkEnd w:id="131"/>
      <w:bookmarkEnd w:id="132"/>
      <w:bookmarkEnd w:id="133"/>
      <w:bookmarkEnd w:id="134"/>
      <w:bookmarkEnd w:id="135"/>
      <w:bookmarkEnd w:id="136"/>
      <w:bookmarkEnd w:id="137"/>
    </w:p>
    <w:p>
      <w:pPr>
        <w:topLinePunct/>
        <w:spacing w:line="440" w:lineRule="exact"/>
        <w:jc w:val="center"/>
        <w:rPr>
          <w:rFonts w:ascii="Times New Roman" w:hAnsi="Times New Roman" w:cs="Times New Roman"/>
          <w:sz w:val="23"/>
          <w:szCs w:val="23"/>
        </w:rPr>
      </w:pPr>
    </w:p>
    <w:tbl>
      <w:tblPr>
        <w:tblStyle w:val="20"/>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8"/>
        <w:gridCol w:w="1255"/>
        <w:gridCol w:w="2510"/>
        <w:gridCol w:w="1251"/>
        <w:gridCol w:w="27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113" w:type="pc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3886" w:type="pct"/>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113" w:type="pc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1890" w:type="pct"/>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628" w:type="pc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1367" w:type="pc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113" w:type="pct"/>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630" w:type="pc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1260" w:type="pc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628" w:type="pc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1367" w:type="pc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113" w:type="pct"/>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630" w:type="pc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职  务</w:t>
            </w:r>
          </w:p>
        </w:tc>
        <w:tc>
          <w:tcPr>
            <w:tcW w:w="1260" w:type="pc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628" w:type="pc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电子邮箱</w:t>
            </w:r>
          </w:p>
        </w:tc>
        <w:tc>
          <w:tcPr>
            <w:tcW w:w="1367" w:type="pc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113" w:type="pc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630" w:type="pc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260" w:type="pc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628" w:type="pc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367" w:type="pc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113" w:type="pc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3886" w:type="pct"/>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113" w:type="pc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3886" w:type="pct"/>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113" w:type="pc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3886" w:type="pct"/>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在本表后应附企业法人营业执照、资质证书（如有）、安全生产许可证（如有）及资格审查要求的其他证件复印件。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topLinePunct/>
        <w:spacing w:line="340" w:lineRule="atLeast"/>
        <w:rPr>
          <w:rFonts w:ascii="Times New Roman" w:hAnsi="Times New Roman" w:eastAsia="黑体" w:cs="Times New Roman"/>
          <w:sz w:val="24"/>
        </w:rPr>
      </w:pPr>
    </w:p>
    <w:p>
      <w:pPr>
        <w:widowControl/>
        <w:autoSpaceDE w:val="0"/>
        <w:autoSpaceDN w:val="0"/>
        <w:spacing w:line="360" w:lineRule="auto"/>
        <w:ind w:left="180"/>
        <w:jc w:val="center"/>
        <w:textAlignment w:val="bottom"/>
        <w:outlineLvl w:val="0"/>
        <w:rPr>
          <w:rFonts w:ascii="Times New Roman" w:hAnsi="Times New Roman" w:eastAsia="黑体" w:cs="Times New Roman"/>
          <w:sz w:val="28"/>
          <w:szCs w:val="28"/>
        </w:rPr>
      </w:pPr>
      <w:bookmarkStart w:id="138" w:name="_Toc1987_WPSOffice_Level1"/>
      <w:bookmarkStart w:id="139" w:name="_Toc29313_WPSOffice_Level1"/>
      <w:bookmarkStart w:id="140" w:name="_Toc24001_WPSOffice_Level1"/>
      <w:bookmarkStart w:id="141" w:name="_Toc8003_WPSOffice_Level1"/>
      <w:bookmarkStart w:id="142" w:name="_Toc31444_WPSOffice_Level1"/>
      <w:bookmarkStart w:id="143" w:name="_Toc4739_WPSOffice_Level1"/>
      <w:bookmarkStart w:id="144" w:name="_Toc19063"/>
      <w:r>
        <w:rPr>
          <w:rFonts w:hint="eastAsia" w:ascii="Times New Roman" w:hAnsi="Times New Roman" w:eastAsia="黑体" w:cs="Times New Roman"/>
          <w:sz w:val="28"/>
          <w:szCs w:val="28"/>
          <w:lang w:val="en-US" w:eastAsia="zh-CN"/>
        </w:rPr>
        <w:t>三</w:t>
      </w:r>
      <w:r>
        <w:rPr>
          <w:rFonts w:ascii="Times New Roman" w:hAnsi="Times New Roman" w:eastAsia="黑体" w:cs="Times New Roman"/>
          <w:sz w:val="28"/>
          <w:szCs w:val="28"/>
        </w:rPr>
        <w:t>、拟委任的</w:t>
      </w:r>
      <w:bookmarkEnd w:id="138"/>
      <w:bookmarkEnd w:id="139"/>
      <w:bookmarkEnd w:id="140"/>
      <w:bookmarkEnd w:id="141"/>
      <w:bookmarkEnd w:id="142"/>
      <w:bookmarkEnd w:id="143"/>
      <w:r>
        <w:rPr>
          <w:rFonts w:ascii="Times New Roman" w:hAnsi="Times New Roman" w:eastAsia="黑体" w:cs="Times New Roman"/>
          <w:sz w:val="28"/>
          <w:szCs w:val="28"/>
        </w:rPr>
        <w:t>项目负责人资历表</w:t>
      </w:r>
      <w:bookmarkEnd w:id="144"/>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385"/>
        <w:gridCol w:w="57"/>
        <w:gridCol w:w="1630"/>
        <w:gridCol w:w="1189"/>
        <w:gridCol w:w="1548"/>
        <w:gridCol w:w="382"/>
        <w:gridCol w:w="1728"/>
        <w:gridCol w:w="436"/>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2" w:hRule="atLeast"/>
        </w:trPr>
        <w:tc>
          <w:tcPr>
            <w:tcW w:w="707" w:type="pct"/>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姓    名</w:t>
            </w:r>
          </w:p>
        </w:tc>
        <w:tc>
          <w:tcPr>
            <w:tcW w:w="861" w:type="pct"/>
            <w:gridSpan w:val="2"/>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607" w:type="pct"/>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年    龄</w:t>
            </w:r>
          </w:p>
        </w:tc>
        <w:tc>
          <w:tcPr>
            <w:tcW w:w="790" w:type="pct"/>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1077" w:type="pct"/>
            <w:gridSpan w:val="2"/>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专    业</w:t>
            </w:r>
          </w:p>
        </w:tc>
        <w:tc>
          <w:tcPr>
            <w:tcW w:w="955" w:type="pct"/>
            <w:gridSpan w:val="2"/>
          </w:tcPr>
          <w:p>
            <w:pPr>
              <w:widowControl/>
              <w:autoSpaceDE w:val="0"/>
              <w:autoSpaceDN w:val="0"/>
              <w:spacing w:before="40" w:after="40" w:line="280" w:lineRule="atLeast"/>
              <w:textAlignment w:val="bottom"/>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6" w:hRule="atLeast"/>
        </w:trPr>
        <w:tc>
          <w:tcPr>
            <w:tcW w:w="707" w:type="pct"/>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职    称</w:t>
            </w:r>
          </w:p>
        </w:tc>
        <w:tc>
          <w:tcPr>
            <w:tcW w:w="861" w:type="pct"/>
            <w:gridSpan w:val="2"/>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607" w:type="pct"/>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职    务</w:t>
            </w:r>
          </w:p>
        </w:tc>
        <w:tc>
          <w:tcPr>
            <w:tcW w:w="790" w:type="pct"/>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1077" w:type="pct"/>
            <w:gridSpan w:val="2"/>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拟在本项目</w:t>
            </w:r>
          </w:p>
          <w:p>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工程担任职务</w:t>
            </w:r>
          </w:p>
        </w:tc>
        <w:tc>
          <w:tcPr>
            <w:tcW w:w="955" w:type="pct"/>
            <w:gridSpan w:val="2"/>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5000" w:type="pct"/>
            <w:gridSpan w:val="9"/>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15" w:hRule="atLeast"/>
        </w:trPr>
        <w:tc>
          <w:tcPr>
            <w:tcW w:w="736" w:type="pct"/>
            <w:gridSpan w:val="2"/>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__年~__年</w:t>
            </w:r>
          </w:p>
        </w:tc>
        <w:tc>
          <w:tcPr>
            <w:tcW w:w="2424" w:type="pct"/>
            <w:gridSpan w:val="4"/>
            <w:vAlign w:val="center"/>
          </w:tcPr>
          <w:p>
            <w:pPr>
              <w:pStyle w:val="34"/>
              <w:widowControl/>
              <w:adjustRightInd/>
              <w:snapToGrid/>
              <w:spacing w:before="40" w:after="40" w:line="280" w:lineRule="atLeast"/>
              <w:textAlignment w:val="bottom"/>
              <w:rPr>
                <w:rFonts w:ascii="Times New Roman" w:hAnsi="Times New Roman" w:cs="Times New Roman"/>
                <w:spacing w:val="0"/>
                <w:kern w:val="2"/>
                <w:szCs w:val="21"/>
              </w:rPr>
            </w:pPr>
            <w:r>
              <w:rPr>
                <w:rFonts w:ascii="Times New Roman" w:hAnsi="Times New Roman" w:cs="Times New Roman"/>
                <w:spacing w:val="0"/>
                <w:kern w:val="2"/>
                <w:szCs w:val="21"/>
              </w:rPr>
              <w:t>参加过的工程项目名称</w:t>
            </w:r>
          </w:p>
        </w:tc>
        <w:tc>
          <w:tcPr>
            <w:tcW w:w="1104" w:type="pct"/>
            <w:gridSpan w:val="2"/>
            <w:vAlign w:val="center"/>
          </w:tcPr>
          <w:p>
            <w:pPr>
              <w:pStyle w:val="34"/>
              <w:widowControl/>
              <w:adjustRightInd/>
              <w:snapToGrid/>
              <w:spacing w:before="40" w:after="40" w:line="280" w:lineRule="atLeast"/>
              <w:textAlignment w:val="bottom"/>
              <w:rPr>
                <w:rFonts w:ascii="Times New Roman" w:hAnsi="Times New Roman" w:cs="Times New Roman"/>
                <w:spacing w:val="0"/>
                <w:kern w:val="2"/>
                <w:szCs w:val="21"/>
              </w:rPr>
            </w:pPr>
            <w:r>
              <w:rPr>
                <w:rFonts w:ascii="Times New Roman" w:hAnsi="Times New Roman" w:cs="Times New Roman"/>
                <w:spacing w:val="0"/>
                <w:kern w:val="2"/>
                <w:szCs w:val="21"/>
              </w:rPr>
              <w:t>担任何职</w:t>
            </w:r>
          </w:p>
        </w:tc>
        <w:tc>
          <w:tcPr>
            <w:tcW w:w="734" w:type="pct"/>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736" w:type="pct"/>
            <w:gridSpan w:val="2"/>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2424" w:type="pct"/>
            <w:gridSpan w:val="4"/>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1104" w:type="pct"/>
            <w:gridSpan w:val="2"/>
          </w:tcPr>
          <w:p>
            <w:pPr>
              <w:widowControl/>
              <w:autoSpaceDE w:val="0"/>
              <w:autoSpaceDN w:val="0"/>
              <w:spacing w:before="40" w:after="40" w:line="280" w:lineRule="atLeast"/>
              <w:textAlignment w:val="bottom"/>
              <w:rPr>
                <w:rFonts w:ascii="Times New Roman" w:hAnsi="Times New Roman" w:cs="Times New Roman"/>
                <w:szCs w:val="21"/>
              </w:rPr>
            </w:pPr>
          </w:p>
        </w:tc>
        <w:tc>
          <w:tcPr>
            <w:tcW w:w="734" w:type="pct"/>
          </w:tcPr>
          <w:p>
            <w:pPr>
              <w:widowControl/>
              <w:autoSpaceDE w:val="0"/>
              <w:autoSpaceDN w:val="0"/>
              <w:spacing w:before="40" w:after="40" w:line="280" w:lineRule="atLeast"/>
              <w:textAlignment w:val="bottom"/>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736" w:type="pct"/>
            <w:gridSpan w:val="2"/>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2424" w:type="pct"/>
            <w:gridSpan w:val="4"/>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1104" w:type="pct"/>
            <w:gridSpan w:val="2"/>
          </w:tcPr>
          <w:p>
            <w:pPr>
              <w:widowControl/>
              <w:autoSpaceDE w:val="0"/>
              <w:autoSpaceDN w:val="0"/>
              <w:spacing w:before="40" w:after="40" w:line="280" w:lineRule="atLeast"/>
              <w:textAlignment w:val="bottom"/>
              <w:rPr>
                <w:rFonts w:ascii="Times New Roman" w:hAnsi="Times New Roman" w:cs="Times New Roman"/>
                <w:szCs w:val="21"/>
              </w:rPr>
            </w:pPr>
          </w:p>
        </w:tc>
        <w:tc>
          <w:tcPr>
            <w:tcW w:w="734" w:type="pct"/>
          </w:tcPr>
          <w:p>
            <w:pPr>
              <w:widowControl/>
              <w:autoSpaceDE w:val="0"/>
              <w:autoSpaceDN w:val="0"/>
              <w:spacing w:before="40" w:after="40" w:line="280" w:lineRule="atLeast"/>
              <w:textAlignment w:val="bottom"/>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736" w:type="pct"/>
            <w:gridSpan w:val="2"/>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2424" w:type="pct"/>
            <w:gridSpan w:val="4"/>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1104" w:type="pct"/>
            <w:gridSpan w:val="2"/>
          </w:tcPr>
          <w:p>
            <w:pPr>
              <w:widowControl/>
              <w:autoSpaceDE w:val="0"/>
              <w:autoSpaceDN w:val="0"/>
              <w:spacing w:before="40" w:after="40" w:line="280" w:lineRule="atLeast"/>
              <w:textAlignment w:val="bottom"/>
              <w:rPr>
                <w:rFonts w:ascii="Times New Roman" w:hAnsi="Times New Roman" w:cs="Times New Roman"/>
                <w:szCs w:val="21"/>
              </w:rPr>
            </w:pPr>
          </w:p>
        </w:tc>
        <w:tc>
          <w:tcPr>
            <w:tcW w:w="734" w:type="pct"/>
          </w:tcPr>
          <w:p>
            <w:pPr>
              <w:widowControl/>
              <w:autoSpaceDE w:val="0"/>
              <w:autoSpaceDN w:val="0"/>
              <w:spacing w:before="40" w:after="40" w:line="280" w:lineRule="atLeast"/>
              <w:textAlignment w:val="bottom"/>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736" w:type="pct"/>
            <w:gridSpan w:val="2"/>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2424" w:type="pct"/>
            <w:gridSpan w:val="4"/>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1104" w:type="pct"/>
            <w:gridSpan w:val="2"/>
          </w:tcPr>
          <w:p>
            <w:pPr>
              <w:widowControl/>
              <w:autoSpaceDE w:val="0"/>
              <w:autoSpaceDN w:val="0"/>
              <w:spacing w:before="40" w:after="40" w:line="280" w:lineRule="atLeast"/>
              <w:textAlignment w:val="bottom"/>
              <w:rPr>
                <w:rFonts w:ascii="Times New Roman" w:hAnsi="Times New Roman" w:cs="Times New Roman"/>
                <w:szCs w:val="21"/>
              </w:rPr>
            </w:pPr>
          </w:p>
        </w:tc>
        <w:tc>
          <w:tcPr>
            <w:tcW w:w="734" w:type="pct"/>
          </w:tcPr>
          <w:p>
            <w:pPr>
              <w:widowControl/>
              <w:autoSpaceDE w:val="0"/>
              <w:autoSpaceDN w:val="0"/>
              <w:spacing w:before="40" w:after="40" w:line="280" w:lineRule="atLeast"/>
              <w:textAlignment w:val="bottom"/>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8" w:hRule="atLeast"/>
        </w:trPr>
        <w:tc>
          <w:tcPr>
            <w:tcW w:w="736" w:type="pct"/>
            <w:gridSpan w:val="2"/>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2424" w:type="pct"/>
            <w:gridSpan w:val="4"/>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1104" w:type="pct"/>
            <w:gridSpan w:val="2"/>
          </w:tcPr>
          <w:p>
            <w:pPr>
              <w:widowControl/>
              <w:autoSpaceDE w:val="0"/>
              <w:autoSpaceDN w:val="0"/>
              <w:spacing w:before="40" w:after="40" w:line="280" w:lineRule="atLeast"/>
              <w:textAlignment w:val="bottom"/>
              <w:rPr>
                <w:rFonts w:ascii="Times New Roman" w:hAnsi="Times New Roman" w:cs="Times New Roman"/>
                <w:szCs w:val="21"/>
              </w:rPr>
            </w:pPr>
          </w:p>
        </w:tc>
        <w:tc>
          <w:tcPr>
            <w:tcW w:w="734" w:type="pct"/>
          </w:tcPr>
          <w:p>
            <w:pPr>
              <w:widowControl/>
              <w:autoSpaceDE w:val="0"/>
              <w:autoSpaceDN w:val="0"/>
              <w:spacing w:before="40" w:after="40" w:line="280" w:lineRule="atLeast"/>
              <w:textAlignment w:val="bottom"/>
              <w:rPr>
                <w:rFonts w:ascii="Times New Roman" w:hAnsi="Times New Roman" w:cs="Times New Roman"/>
                <w:szCs w:val="21"/>
              </w:rPr>
            </w:pPr>
          </w:p>
        </w:tc>
      </w:tr>
    </w:tbl>
    <w:p>
      <w:pPr>
        <w:pStyle w:val="10"/>
        <w:spacing w:line="240" w:lineRule="atLeast"/>
        <w:ind w:left="0" w:leftChars="0"/>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有其有效的身份证、响应文件递交截止时间前一年内连续三个月在供应商本单位的社保缴费记录、业绩证明材料（合同协议书或）扫描件（如有）。所有证件、材料的扫描件均应清晰可辨，否则，将被认为证书无效。</w:t>
      </w:r>
    </w:p>
    <w:p>
      <w:pPr>
        <w:pStyle w:val="10"/>
        <w:spacing w:after="0" w:line="240" w:lineRule="atLeast"/>
        <w:ind w:left="630" w:leftChars="100" w:hanging="420" w:hangingChars="200"/>
        <w:rPr>
          <w:rFonts w:ascii="Times New Roman" w:hAnsi="Times New Roman" w:eastAsia="黑体" w:cs="Times New Roman"/>
          <w:bCs/>
          <w:kern w:val="0"/>
          <w:szCs w:val="21"/>
        </w:rPr>
      </w:pPr>
    </w:p>
    <w:p>
      <w:pPr>
        <w:pStyle w:val="10"/>
        <w:spacing w:after="0" w:line="240" w:lineRule="atLeast"/>
        <w:ind w:left="630" w:leftChars="100" w:hanging="420" w:hangingChars="200"/>
        <w:rPr>
          <w:rFonts w:ascii="Times New Roman" w:hAnsi="Times New Roman" w:cs="Times New Roman"/>
          <w:bCs/>
          <w:kern w:val="0"/>
          <w:sz w:val="20"/>
          <w:szCs w:val="20"/>
        </w:rPr>
      </w:pPr>
      <w:r>
        <w:rPr>
          <w:rFonts w:ascii="Times New Roman" w:hAnsi="Times New Roman" w:eastAsia="黑体" w:cs="Times New Roman"/>
          <w:bCs/>
          <w:kern w:val="0"/>
          <w:szCs w:val="21"/>
        </w:rPr>
        <w:br w:type="page"/>
      </w:r>
    </w:p>
    <w:p>
      <w:pPr>
        <w:tabs>
          <w:tab w:val="left" w:pos="3060"/>
        </w:tabs>
        <w:topLinePunct/>
        <w:spacing w:line="440" w:lineRule="exact"/>
        <w:jc w:val="center"/>
        <w:outlineLvl w:val="0"/>
        <w:rPr>
          <w:rFonts w:ascii="Times New Roman" w:hAnsi="Times New Roman" w:eastAsia="黑体" w:cs="Times New Roman"/>
          <w:sz w:val="28"/>
          <w:szCs w:val="28"/>
        </w:rPr>
      </w:pPr>
      <w:bookmarkStart w:id="145" w:name="_Toc5403_WPSOffice_Level1"/>
      <w:bookmarkStart w:id="146" w:name="_Toc12019_WPSOffice_Level1"/>
      <w:bookmarkStart w:id="147" w:name="_Toc3893_WPSOffice_Level1"/>
      <w:bookmarkStart w:id="148" w:name="_Toc26594_WPSOffice_Level1"/>
      <w:bookmarkStart w:id="149" w:name="_Toc5889_WPSOffice_Level1"/>
      <w:bookmarkStart w:id="150" w:name="_Toc6728"/>
      <w:bookmarkStart w:id="151" w:name="_Toc10810_WPSOffice_Level1"/>
      <w:r>
        <w:rPr>
          <w:rFonts w:hint="eastAsia" w:ascii="Times New Roman" w:hAnsi="Times New Roman" w:eastAsia="黑体" w:cs="Times New Roman"/>
          <w:sz w:val="28"/>
          <w:szCs w:val="28"/>
          <w:lang w:val="en-US" w:eastAsia="zh-CN"/>
        </w:rPr>
        <w:t>四</w:t>
      </w:r>
      <w:r>
        <w:rPr>
          <w:rFonts w:ascii="Times New Roman" w:hAnsi="Times New Roman" w:eastAsia="黑体" w:cs="Times New Roman"/>
          <w:sz w:val="28"/>
          <w:szCs w:val="28"/>
        </w:rPr>
        <w:t>、信誉情况</w:t>
      </w:r>
      <w:bookmarkEnd w:id="145"/>
      <w:bookmarkEnd w:id="146"/>
      <w:bookmarkEnd w:id="147"/>
      <w:bookmarkEnd w:id="148"/>
      <w:bookmarkEnd w:id="149"/>
      <w:bookmarkEnd w:id="150"/>
      <w:bookmarkEnd w:id="151"/>
    </w:p>
    <w:p>
      <w:pPr>
        <w:topLinePunct/>
        <w:spacing w:line="440" w:lineRule="exact"/>
        <w:rPr>
          <w:rFonts w:ascii="Times New Roman" w:hAnsi="Times New Roman" w:cs="Times New Roman"/>
          <w:bCs/>
          <w:sz w:val="23"/>
          <w:szCs w:val="23"/>
        </w:rPr>
      </w:pPr>
    </w:p>
    <w:tbl>
      <w:tblPr>
        <w:tblStyle w:val="2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4"/>
        <w:gridCol w:w="5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pct"/>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 目</w:t>
            </w:r>
          </w:p>
        </w:tc>
        <w:tc>
          <w:tcPr>
            <w:tcW w:w="2608" w:type="pct"/>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91" w:type="pct"/>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2608" w:type="pct"/>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91" w:type="pct"/>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2608" w:type="pct"/>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91" w:type="pct"/>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2608" w:type="pct"/>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91" w:type="pct"/>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2608" w:type="pct"/>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91" w:type="pct"/>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是否在近三年内（自响应文件递交截止之日向前追溯3年）供应商或其法定代表人、拟委任的项目经理有行贿犯罪行为</w:t>
            </w:r>
          </w:p>
        </w:tc>
        <w:tc>
          <w:tcPr>
            <w:tcW w:w="2608" w:type="pct"/>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91" w:type="pct"/>
            <w:vAlign w:val="center"/>
          </w:tcPr>
          <w:p>
            <w:pPr>
              <w:topLinePunct/>
              <w:spacing w:line="440" w:lineRule="exact"/>
              <w:rPr>
                <w:rFonts w:ascii="Times New Roman" w:hAnsi="Times New Roman" w:cs="Times New Roman"/>
                <w:sz w:val="24"/>
                <w:szCs w:val="28"/>
              </w:rPr>
            </w:pPr>
            <w:r>
              <w:rPr>
                <w:rFonts w:ascii="Times New Roman" w:hAnsi="Times New Roman" w:cs="Times New Roman"/>
                <w:sz w:val="24"/>
                <w:szCs w:val="28"/>
              </w:rPr>
              <w:t>……</w:t>
            </w:r>
          </w:p>
        </w:tc>
        <w:tc>
          <w:tcPr>
            <w:tcW w:w="2608" w:type="pct"/>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注：本表无需附证明材料，提供承诺即可。</w:t>
      </w:r>
    </w:p>
    <w:p>
      <w:pPr>
        <w:pStyle w:val="2"/>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pStyle w:val="2"/>
        <w:jc w:val="right"/>
        <w:rPr>
          <w:rFonts w:ascii="Times New Roman" w:hAnsi="Times New Roman" w:cs="Times New Roman"/>
          <w:u w:val="single"/>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pStyle w:val="2"/>
        <w:rPr>
          <w:rFonts w:ascii="Times New Roman" w:hAnsi="Times New Roman" w:cs="Times New Roman"/>
        </w:rPr>
      </w:pPr>
    </w:p>
    <w:p>
      <w:pPr>
        <w:pStyle w:val="2"/>
        <w:spacing w:line="440" w:lineRule="exact"/>
        <w:rPr>
          <w:rFonts w:ascii="Times New Roman" w:hAnsi="Times New Roman" w:cs="Times New Roman"/>
          <w:sz w:val="24"/>
        </w:rPr>
      </w:pPr>
    </w:p>
    <w:p>
      <w:pPr>
        <w:spacing w:line="400" w:lineRule="atLeast"/>
        <w:jc w:val="center"/>
        <w:rPr>
          <w:rFonts w:ascii="Times New Roman" w:hAnsi="Times New Roman" w:cs="Times New Roman"/>
          <w:sz w:val="24"/>
        </w:rPr>
      </w:pPr>
      <w:r>
        <w:rPr>
          <w:rFonts w:ascii="Times New Roman" w:hAnsi="Times New Roman" w:eastAsia="黑体" w:cs="Times New Roman"/>
          <w:sz w:val="27"/>
          <w:szCs w:val="27"/>
        </w:rPr>
        <w:br w:type="page"/>
      </w:r>
    </w:p>
    <w:p>
      <w:pPr>
        <w:spacing w:line="440" w:lineRule="exact"/>
        <w:jc w:val="center"/>
        <w:outlineLvl w:val="0"/>
        <w:rPr>
          <w:rFonts w:ascii="Times New Roman" w:hAnsi="Times New Roman" w:eastAsia="黑体" w:cs="Times New Roman"/>
          <w:sz w:val="28"/>
          <w:szCs w:val="28"/>
        </w:rPr>
      </w:pPr>
      <w:bookmarkStart w:id="152" w:name="_Toc13527"/>
      <w:bookmarkStart w:id="153" w:name="_Toc1483_WPSOffice_Level1"/>
      <w:bookmarkStart w:id="154" w:name="_Toc10198_WPSOffice_Level1"/>
      <w:bookmarkStart w:id="155" w:name="_Toc19201_WPSOffice_Level1"/>
      <w:bookmarkStart w:id="156" w:name="_Toc13732_WPSOffice_Level1"/>
      <w:bookmarkStart w:id="157" w:name="_Toc23493_WPSOffice_Level1"/>
      <w:bookmarkStart w:id="158" w:name="_Toc2048_WPSOffice_Level1"/>
      <w:r>
        <w:rPr>
          <w:rFonts w:hint="eastAsia" w:ascii="Times New Roman" w:hAnsi="Times New Roman" w:eastAsia="黑体" w:cs="Times New Roman"/>
          <w:sz w:val="28"/>
          <w:szCs w:val="28"/>
          <w:lang w:val="en-US" w:eastAsia="zh-CN"/>
        </w:rPr>
        <w:t>五</w:t>
      </w:r>
      <w:r>
        <w:rPr>
          <w:rFonts w:ascii="Times New Roman" w:hAnsi="Times New Roman" w:eastAsia="黑体" w:cs="Times New Roman"/>
          <w:sz w:val="28"/>
          <w:szCs w:val="28"/>
        </w:rPr>
        <w:t>、</w:t>
      </w:r>
      <w:bookmarkEnd w:id="152"/>
      <w:bookmarkEnd w:id="153"/>
      <w:bookmarkEnd w:id="154"/>
      <w:bookmarkEnd w:id="155"/>
      <w:bookmarkEnd w:id="156"/>
      <w:bookmarkEnd w:id="157"/>
      <w:bookmarkEnd w:id="158"/>
      <w:r>
        <w:rPr>
          <w:rFonts w:hint="eastAsia" w:ascii="Times New Roman" w:hAnsi="Times New Roman" w:eastAsia="黑体" w:cs="Times New Roman"/>
          <w:sz w:val="28"/>
          <w:szCs w:val="28"/>
        </w:rPr>
        <w:t>技术</w:t>
      </w:r>
      <w:r>
        <w:rPr>
          <w:rFonts w:ascii="Times New Roman" w:hAnsi="Times New Roman" w:eastAsia="黑体" w:cs="Times New Roman"/>
          <w:sz w:val="28"/>
          <w:szCs w:val="28"/>
        </w:rPr>
        <w:t>方案</w:t>
      </w:r>
    </w:p>
    <w:p>
      <w:pPr>
        <w:spacing w:line="440" w:lineRule="exact"/>
        <w:rPr>
          <w:rFonts w:ascii="Times New Roman" w:hAnsi="Times New Roman" w:eastAsia="黑体" w:cs="Times New Roman"/>
          <w:sz w:val="20"/>
          <w:szCs w:val="20"/>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供应商应按项目特点编制</w:t>
      </w:r>
      <w:r>
        <w:rPr>
          <w:rFonts w:hint="eastAsia" w:ascii="Times New Roman" w:hAnsi="Times New Roman" w:cs="Times New Roman"/>
          <w:sz w:val="24"/>
        </w:rPr>
        <w:t>技术文件</w:t>
      </w:r>
      <w:r>
        <w:rPr>
          <w:rFonts w:ascii="Times New Roman" w:hAnsi="Times New Roman" w:cs="Times New Roman"/>
          <w:sz w:val="24"/>
        </w:rPr>
        <w:t>(文字宜精炼、内容具有针对性)。</w:t>
      </w:r>
    </w:p>
    <w:p>
      <w:pPr>
        <w:numPr>
          <w:ilvl w:val="255"/>
          <w:numId w:val="0"/>
        </w:numPr>
        <w:rPr>
          <w:rFonts w:ascii="Times New Roman" w:hAnsi="Times New Roman" w:cs="Times New Roman"/>
          <w:sz w:val="24"/>
        </w:rPr>
      </w:pPr>
      <w:bookmarkStart w:id="159" w:name="_Toc16609_WPSOffice_Level2"/>
      <w:bookmarkStart w:id="160" w:name="_Toc4794_WPSOffice_Level2"/>
      <w:r>
        <w:rPr>
          <w:rFonts w:ascii="Times New Roman" w:hAnsi="Times New Roman" w:cs="Times New Roman"/>
          <w:sz w:val="24"/>
        </w:rPr>
        <w:br w:type="page"/>
      </w:r>
    </w:p>
    <w:bookmarkEnd w:id="159"/>
    <w:bookmarkEnd w:id="160"/>
    <w:p>
      <w:pPr>
        <w:spacing w:line="440" w:lineRule="exact"/>
        <w:jc w:val="center"/>
        <w:outlineLvl w:val="0"/>
        <w:rPr>
          <w:rFonts w:ascii="Times New Roman" w:hAnsi="Times New Roman" w:eastAsia="黑体" w:cs="Times New Roman"/>
          <w:sz w:val="28"/>
          <w:szCs w:val="28"/>
        </w:rPr>
      </w:pPr>
      <w:bookmarkStart w:id="161" w:name="_Toc22303_WPSOffice_Level1"/>
      <w:bookmarkStart w:id="162" w:name="_Toc19034_WPSOffice_Level1"/>
      <w:bookmarkStart w:id="163" w:name="_Toc31963_WPSOffice_Level1"/>
      <w:bookmarkStart w:id="164" w:name="_Toc10900"/>
      <w:bookmarkStart w:id="165" w:name="_Toc13165_WPSOffice_Level1"/>
      <w:bookmarkStart w:id="166" w:name="_Toc5957_WPSOffice_Level1"/>
      <w:bookmarkStart w:id="167" w:name="_Toc2428_WPSOffice_Level1"/>
      <w:r>
        <w:rPr>
          <w:rFonts w:hint="eastAsia" w:ascii="Times New Roman" w:hAnsi="Times New Roman" w:eastAsia="黑体" w:cs="Times New Roman"/>
          <w:sz w:val="28"/>
          <w:szCs w:val="28"/>
          <w:lang w:val="en-US" w:eastAsia="zh-CN"/>
        </w:rPr>
        <w:t>六</w:t>
      </w:r>
      <w:r>
        <w:rPr>
          <w:rFonts w:ascii="Times New Roman" w:hAnsi="Times New Roman" w:eastAsia="黑体" w:cs="Times New Roman"/>
          <w:sz w:val="28"/>
          <w:szCs w:val="28"/>
        </w:rPr>
        <w:t>、其它</w:t>
      </w:r>
      <w:bookmarkEnd w:id="161"/>
      <w:r>
        <w:rPr>
          <w:rFonts w:ascii="Times New Roman" w:hAnsi="Times New Roman" w:eastAsia="黑体" w:cs="Times New Roman"/>
          <w:sz w:val="28"/>
          <w:szCs w:val="28"/>
        </w:rPr>
        <w:t>材料</w:t>
      </w:r>
      <w:bookmarkEnd w:id="162"/>
      <w:bookmarkEnd w:id="163"/>
      <w:bookmarkEnd w:id="164"/>
      <w:bookmarkEnd w:id="165"/>
      <w:bookmarkEnd w:id="166"/>
      <w:bookmarkEnd w:id="167"/>
    </w:p>
    <w:p>
      <w:pPr>
        <w:pStyle w:val="29"/>
        <w:rPr>
          <w:rFonts w:hint="default" w:ascii="Times New Roman" w:hAnsi="Times New Roman"/>
          <w:color w:val="auto"/>
          <w:szCs w:val="28"/>
        </w:rPr>
      </w:pPr>
    </w:p>
    <w:p>
      <w:pPr>
        <w:pStyle w:val="29"/>
        <w:ind w:firstLine="420" w:firstLineChars="175"/>
        <w:rPr>
          <w:rFonts w:hint="default" w:ascii="Times New Roman" w:hAnsi="Times New Roman"/>
          <w:color w:val="auto"/>
          <w:szCs w:val="28"/>
        </w:rPr>
      </w:pPr>
      <w:r>
        <w:rPr>
          <w:rFonts w:hint="default" w:ascii="Times New Roman" w:hAnsi="Times New Roman"/>
          <w:color w:val="auto"/>
          <w:szCs w:val="28"/>
        </w:rPr>
        <w:t>响应保证金的银行凭证（电汇回单）复印件、业绩证明材料</w:t>
      </w:r>
      <w:r>
        <w:rPr>
          <w:rFonts w:hint="eastAsia" w:ascii="Times New Roman" w:hAnsi="Times New Roman"/>
          <w:color w:val="auto"/>
          <w:szCs w:val="28"/>
          <w:lang w:eastAsia="zh-CN"/>
        </w:rPr>
        <w:t>、</w:t>
      </w:r>
      <w:r>
        <w:rPr>
          <w:rFonts w:hint="eastAsia" w:ascii="Times New Roman" w:hAnsi="Times New Roman"/>
          <w:color w:val="auto"/>
          <w:szCs w:val="28"/>
          <w:lang w:val="en-US" w:eastAsia="zh-CN"/>
        </w:rPr>
        <w:t>补遗书</w:t>
      </w:r>
      <w:r>
        <w:rPr>
          <w:rFonts w:hint="default" w:ascii="Times New Roman" w:hAnsi="Times New Roman"/>
          <w:color w:val="auto"/>
          <w:szCs w:val="28"/>
        </w:rPr>
        <w:t>等。</w:t>
      </w:r>
    </w:p>
    <w:p>
      <w:pPr>
        <w:rPr>
          <w:rFonts w:ascii="Times New Roman" w:hAnsi="Times New Roman" w:cs="Times New Roman"/>
        </w:rPr>
      </w:pPr>
      <w:r>
        <w:rPr>
          <w:rFonts w:ascii="Times New Roman" w:hAnsi="Times New Roman" w:cs="Times New Roman"/>
        </w:rPr>
        <w:br w:type="page"/>
      </w:r>
    </w:p>
    <w:p>
      <w:pPr>
        <w:bidi w:val="0"/>
        <w:jc w:val="right"/>
        <w:rPr>
          <w:sz w:val="36"/>
          <w:szCs w:val="36"/>
        </w:rPr>
      </w:pPr>
      <w:r>
        <w:rPr>
          <w:rFonts w:hint="eastAsia"/>
          <w:sz w:val="36"/>
          <w:szCs w:val="36"/>
        </w:rPr>
        <w:t>正本/副本</w:t>
      </w:r>
    </w:p>
    <w:p>
      <w:pPr>
        <w:bidi w:val="0"/>
        <w:rPr>
          <w:rFonts w:hint="eastAsia"/>
          <w:lang w:val="en-US" w:eastAsia="zh-CN"/>
        </w:rPr>
      </w:pPr>
    </w:p>
    <w:p>
      <w:pPr>
        <w:bidi w:val="0"/>
        <w:rPr>
          <w:rFonts w:hint="eastAsia"/>
          <w:lang w:val="en-US" w:eastAsia="zh-CN"/>
        </w:rPr>
      </w:pPr>
    </w:p>
    <w:p>
      <w:pPr>
        <w:bidi w:val="0"/>
        <w:jc w:val="center"/>
        <w:rPr>
          <w:rFonts w:hint="eastAsia" w:ascii="宋体" w:hAnsi="宋体" w:eastAsia="宋体" w:cs="宋体"/>
          <w:sz w:val="36"/>
          <w:szCs w:val="36"/>
        </w:rPr>
      </w:pPr>
      <w:r>
        <w:rPr>
          <w:rFonts w:hint="eastAsia" w:ascii="宋体" w:hAnsi="宋体" w:eastAsia="宋体" w:cs="宋体"/>
          <w:sz w:val="36"/>
          <w:szCs w:val="36"/>
        </w:rPr>
        <w:t>______________________(项目名称)</w:t>
      </w:r>
    </w:p>
    <w:p>
      <w:pPr>
        <w:bidi w:val="0"/>
        <w:rPr>
          <w:rFonts w:hint="default"/>
          <w:lang w:val="en-US" w:eastAsia="zh-CN"/>
        </w:rPr>
      </w:pPr>
    </w:p>
    <w:p>
      <w:pPr>
        <w:bidi w:val="0"/>
        <w:rPr>
          <w:rFonts w:hint="eastAsia"/>
        </w:rPr>
      </w:pPr>
    </w:p>
    <w:p>
      <w:pPr>
        <w:spacing w:line="440" w:lineRule="exact"/>
        <w:rPr>
          <w:rFonts w:ascii="Times New Roman" w:hAnsi="Times New Roman" w:eastAsia="黑体" w:cs="Times New Roman"/>
          <w:color w:val="auto"/>
          <w:sz w:val="40"/>
          <w:szCs w:val="40"/>
        </w:rPr>
      </w:pPr>
    </w:p>
    <w:p>
      <w:pPr>
        <w:bidi w:val="0"/>
        <w:jc w:val="center"/>
        <w:rPr>
          <w:rFonts w:hint="eastAsia" w:ascii="黑体" w:hAnsi="黑体" w:eastAsia="黑体" w:cs="黑体"/>
          <w:sz w:val="44"/>
          <w:szCs w:val="44"/>
        </w:rPr>
      </w:pPr>
    </w:p>
    <w:p>
      <w:pPr>
        <w:bidi w:val="0"/>
        <w:jc w:val="center"/>
        <w:rPr>
          <w:rFonts w:hint="eastAsia" w:ascii="黑体" w:hAnsi="黑体" w:eastAsia="黑体" w:cs="黑体"/>
          <w:sz w:val="44"/>
          <w:szCs w:val="44"/>
        </w:rPr>
      </w:pPr>
      <w:r>
        <w:rPr>
          <w:rFonts w:hint="eastAsia" w:ascii="黑体" w:hAnsi="黑体" w:eastAsia="黑体" w:cs="黑体"/>
          <w:sz w:val="44"/>
          <w:szCs w:val="44"/>
          <w:lang w:val="en-US" w:eastAsia="zh-CN"/>
        </w:rPr>
        <w:t>报价</w:t>
      </w:r>
      <w:r>
        <w:rPr>
          <w:rFonts w:hint="eastAsia" w:ascii="黑体" w:hAnsi="黑体" w:eastAsia="黑体" w:cs="黑体"/>
          <w:sz w:val="44"/>
          <w:szCs w:val="44"/>
        </w:rPr>
        <w:t>文件</w:t>
      </w:r>
    </w:p>
    <w:p>
      <w:pPr>
        <w:spacing w:line="440" w:lineRule="exact"/>
        <w:jc w:val="center"/>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val="en-US" w:eastAsia="zh-CN"/>
        </w:rPr>
        <w:t>二</w:t>
      </w:r>
      <w:r>
        <w:rPr>
          <w:rFonts w:hint="eastAsia" w:ascii="Times New Roman" w:hAnsi="Times New Roman" w:eastAsia="黑体" w:cs="Times New Roman"/>
          <w:color w:val="auto"/>
          <w:sz w:val="32"/>
          <w:szCs w:val="32"/>
        </w:rPr>
        <w:t>信封）</w:t>
      </w:r>
    </w:p>
    <w:p>
      <w:pPr>
        <w:spacing w:line="440" w:lineRule="exact"/>
        <w:jc w:val="center"/>
        <w:outlineLvl w:val="9"/>
        <w:rPr>
          <w:rFonts w:ascii="Times New Roman" w:hAnsi="Times New Roman" w:eastAsia="黑体" w:cs="Times New Roman"/>
          <w:color w:val="auto"/>
          <w:sz w:val="40"/>
          <w:szCs w:val="40"/>
        </w:rPr>
      </w:pPr>
    </w:p>
    <w:p>
      <w:pPr>
        <w:spacing w:line="440" w:lineRule="exact"/>
        <w:jc w:val="center"/>
        <w:rPr>
          <w:rFonts w:ascii="Times New Roman" w:hAnsi="Times New Roman" w:eastAsia="黑体" w:cs="Times New Roman"/>
          <w:color w:val="auto"/>
          <w:sz w:val="40"/>
          <w:szCs w:val="40"/>
        </w:rPr>
      </w:pPr>
    </w:p>
    <w:p>
      <w:pPr>
        <w:pStyle w:val="3"/>
        <w:outlineLvl w:val="9"/>
        <w:rPr>
          <w:color w:val="auto"/>
        </w:rPr>
      </w:pPr>
    </w:p>
    <w:p>
      <w:pPr>
        <w:rPr>
          <w:color w:val="auto"/>
        </w:rPr>
      </w:pPr>
    </w:p>
    <w:p>
      <w:pPr>
        <w:pStyle w:val="2"/>
        <w:rPr>
          <w:color w:val="auto"/>
        </w:rPr>
      </w:pPr>
    </w:p>
    <w:p>
      <w:pPr>
        <w:spacing w:line="440" w:lineRule="exact"/>
        <w:jc w:val="center"/>
        <w:rPr>
          <w:rFonts w:ascii="Times New Roman" w:hAnsi="Times New Roman" w:eastAsia="黑体" w:cs="Times New Roman"/>
          <w:color w:val="auto"/>
          <w:sz w:val="40"/>
          <w:szCs w:val="40"/>
        </w:rPr>
      </w:pPr>
    </w:p>
    <w:p>
      <w:pPr>
        <w:bidi w:val="0"/>
        <w:jc w:val="center"/>
        <w:rPr>
          <w:rFonts w:ascii="Times New Roman" w:hAnsi="Times New Roman" w:eastAsia="黑体" w:cs="Times New Roman"/>
          <w:color w:val="auto"/>
          <w:sz w:val="28"/>
          <w:szCs w:val="28"/>
        </w:rPr>
      </w:pPr>
    </w:p>
    <w:p>
      <w:pPr>
        <w:bidi w:val="0"/>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供应商：</w:t>
      </w:r>
      <w:r>
        <w:rPr>
          <w:rFonts w:ascii="Times New Roman" w:hAnsi="Times New Roman" w:eastAsia="黑体" w:cs="Times New Roman"/>
          <w:color w:val="auto"/>
          <w:sz w:val="28"/>
          <w:szCs w:val="28"/>
          <w:u w:val="single"/>
        </w:rPr>
        <w:t xml:space="preserve">            (全称、盖单位章)</w:t>
      </w:r>
    </w:p>
    <w:p>
      <w:pPr>
        <w:spacing w:line="440" w:lineRule="exact"/>
        <w:ind w:firstLine="2158" w:firstLineChars="771"/>
        <w:jc w:val="center"/>
        <w:rPr>
          <w:rFonts w:ascii="Times New Roman" w:hAnsi="Times New Roman" w:eastAsia="黑体" w:cs="Times New Roman"/>
          <w:color w:val="auto"/>
          <w:sz w:val="28"/>
          <w:szCs w:val="28"/>
        </w:rPr>
      </w:pPr>
    </w:p>
    <w:p>
      <w:pPr>
        <w:bidi w:val="0"/>
        <w:jc w:val="center"/>
        <w:rPr>
          <w:rFonts w:hint="eastAsia" w:ascii="黑体" w:hAnsi="黑体" w:eastAsia="黑体" w:cs="黑体"/>
          <w:sz w:val="28"/>
          <w:szCs w:val="28"/>
        </w:rPr>
      </w:pPr>
      <w:r>
        <w:rPr>
          <w:rFonts w:hint="eastAsia" w:ascii="黑体" w:hAnsi="黑体" w:eastAsia="黑体" w:cs="黑体"/>
          <w:sz w:val="28"/>
          <w:szCs w:val="28"/>
        </w:rPr>
        <w:t>年</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月</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日</w:t>
      </w:r>
    </w:p>
    <w:p>
      <w:pPr>
        <w:rPr>
          <w:rFonts w:hint="eastAsia" w:ascii="黑体" w:hAnsi="黑体" w:eastAsia="黑体" w:cs="黑体"/>
          <w:sz w:val="28"/>
          <w:szCs w:val="28"/>
        </w:rPr>
      </w:pPr>
      <w:r>
        <w:rPr>
          <w:rFonts w:hint="eastAsia" w:ascii="黑体" w:hAnsi="黑体" w:eastAsia="黑体" w:cs="黑体"/>
          <w:sz w:val="28"/>
          <w:szCs w:val="28"/>
        </w:rPr>
        <w:br w:type="page"/>
      </w:r>
    </w:p>
    <w:p>
      <w:pPr>
        <w:spacing w:line="440" w:lineRule="exact"/>
        <w:jc w:val="center"/>
        <w:outlineLvl w:val="0"/>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目     录</w:t>
      </w:r>
    </w:p>
    <w:p>
      <w:pPr>
        <w:spacing w:line="440" w:lineRule="exact"/>
        <w:rPr>
          <w:rFonts w:ascii="Times New Roman" w:hAnsi="Times New Roman" w:eastAsia="黑体" w:cs="Times New Roman"/>
          <w:color w:val="auto"/>
          <w:sz w:val="20"/>
          <w:szCs w:val="20"/>
        </w:rPr>
      </w:pPr>
    </w:p>
    <w:p>
      <w:pPr>
        <w:bidi w:val="0"/>
        <w:spacing w:line="360" w:lineRule="auto"/>
        <w:rPr>
          <w:rFonts w:hint="eastAsia" w:ascii="黑体" w:hAnsi="黑体" w:eastAsia="黑体" w:cs="黑体"/>
          <w:sz w:val="24"/>
          <w:szCs w:val="32"/>
        </w:rPr>
      </w:pPr>
      <w:r>
        <w:rPr>
          <w:rFonts w:hint="eastAsia" w:ascii="黑体" w:hAnsi="黑体" w:eastAsia="黑体" w:cs="黑体"/>
          <w:sz w:val="24"/>
          <w:szCs w:val="32"/>
        </w:rPr>
        <w:t>一、报价函</w:t>
      </w:r>
    </w:p>
    <w:p>
      <w:pPr>
        <w:bidi w:val="0"/>
        <w:spacing w:line="360" w:lineRule="auto"/>
        <w:rPr>
          <w:rFonts w:hint="eastAsia" w:ascii="黑体" w:hAnsi="黑体" w:eastAsia="黑体" w:cs="黑体"/>
          <w:sz w:val="24"/>
          <w:szCs w:val="32"/>
        </w:rPr>
      </w:pPr>
      <w:r>
        <w:rPr>
          <w:rFonts w:hint="eastAsia" w:ascii="黑体" w:hAnsi="黑体" w:eastAsia="黑体" w:cs="黑体"/>
          <w:sz w:val="24"/>
          <w:szCs w:val="32"/>
        </w:rPr>
        <w:t>二、</w:t>
      </w:r>
      <w:bookmarkStart w:id="168" w:name="_Toc31532_WPSOffice_Level1"/>
      <w:r>
        <w:rPr>
          <w:rFonts w:hint="eastAsia" w:ascii="黑体" w:hAnsi="黑体" w:eastAsia="黑体" w:cs="黑体"/>
          <w:sz w:val="24"/>
          <w:szCs w:val="32"/>
          <w:lang w:val="en-US" w:eastAsia="zh-CN"/>
        </w:rPr>
        <w:t>已标价的工程量</w:t>
      </w:r>
      <w:r>
        <w:rPr>
          <w:rFonts w:hint="eastAsia" w:ascii="黑体" w:hAnsi="黑体" w:eastAsia="黑体" w:cs="黑体"/>
          <w:sz w:val="24"/>
          <w:szCs w:val="32"/>
        </w:rPr>
        <w:t>清单</w:t>
      </w:r>
      <w:bookmarkEnd w:id="168"/>
    </w:p>
    <w:p>
      <w:pPr>
        <w:rPr>
          <w:rFonts w:hint="eastAsia" w:ascii="Times New Roman" w:hAnsi="Times New Roman" w:eastAsia="黑体" w:cs="Times New Roman"/>
          <w:color w:val="auto"/>
          <w:sz w:val="24"/>
        </w:rPr>
      </w:pPr>
      <w:r>
        <w:rPr>
          <w:rFonts w:hint="eastAsia" w:ascii="Times New Roman" w:hAnsi="Times New Roman" w:eastAsia="黑体" w:cs="Times New Roman"/>
          <w:color w:val="auto"/>
          <w:sz w:val="24"/>
        </w:rPr>
        <w:br w:type="page"/>
      </w:r>
    </w:p>
    <w:p>
      <w:pPr>
        <w:numPr>
          <w:ilvl w:val="0"/>
          <w:numId w:val="7"/>
        </w:numPr>
        <w:spacing w:line="440" w:lineRule="exact"/>
        <w:jc w:val="center"/>
        <w:outlineLvl w:val="0"/>
        <w:rPr>
          <w:rFonts w:ascii="Times New Roman" w:hAnsi="Times New Roman" w:eastAsia="黑体" w:cs="Times New Roman"/>
          <w:sz w:val="28"/>
          <w:szCs w:val="28"/>
        </w:rPr>
      </w:pPr>
      <w:bookmarkStart w:id="169" w:name="_Toc18312_WPSOffice_Level1"/>
      <w:bookmarkStart w:id="170" w:name="_Toc3972_WPSOffice_Level1"/>
      <w:bookmarkStart w:id="171" w:name="_Toc1362_WPSOffice_Level1"/>
      <w:bookmarkStart w:id="172" w:name="_Toc2765_WPSOffice_Level1"/>
      <w:bookmarkStart w:id="173" w:name="_Toc1017_WPSOffice_Level1"/>
      <w:bookmarkStart w:id="174" w:name="_Toc1687_WPSOffice_Level1"/>
      <w:bookmarkStart w:id="175" w:name="_Toc4600"/>
      <w:r>
        <w:rPr>
          <w:rFonts w:ascii="Times New Roman" w:hAnsi="Times New Roman" w:eastAsia="黑体" w:cs="Times New Roman"/>
          <w:sz w:val="28"/>
          <w:szCs w:val="28"/>
        </w:rPr>
        <w:t>报价函</w:t>
      </w:r>
      <w:bookmarkEnd w:id="169"/>
      <w:bookmarkEnd w:id="170"/>
      <w:bookmarkEnd w:id="171"/>
      <w:bookmarkEnd w:id="172"/>
      <w:bookmarkEnd w:id="173"/>
      <w:bookmarkEnd w:id="174"/>
      <w:bookmarkEnd w:id="175"/>
    </w:p>
    <w:p>
      <w:pPr>
        <w:pStyle w:val="2"/>
        <w:rPr>
          <w:rFonts w:ascii="Times New Roman" w:hAnsi="Times New Roman" w:cs="Times New Roman"/>
        </w:rPr>
      </w:pP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(采购人名称)：</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ascii="Times New Roman" w:hAnsi="Times New Roman" w:cs="Times New Roman"/>
          <w:sz w:val="24"/>
          <w:u w:val="single"/>
        </w:rPr>
        <w:t xml:space="preserve">      </w:t>
      </w:r>
      <w:r>
        <w:rPr>
          <w:rFonts w:ascii="Times New Roman" w:hAnsi="Times New Roman" w:cs="Times New Roman"/>
          <w:sz w:val="24"/>
        </w:rPr>
        <w:t>(项目名称)</w:t>
      </w:r>
      <w:r>
        <w:rPr>
          <w:rFonts w:ascii="Times New Roman" w:hAnsi="Times New Roman" w:cs="Times New Roman"/>
          <w:sz w:val="24"/>
          <w:u w:val="single"/>
        </w:rPr>
        <w:t xml:space="preserve">     </w:t>
      </w:r>
      <w:r>
        <w:rPr>
          <w:rFonts w:ascii="Times New Roman" w:hAnsi="Times New Roman" w:cs="Times New Roman"/>
          <w:sz w:val="24"/>
        </w:rPr>
        <w:t>合同包询比文件的全部内容(含补遗书第__号至第__号)，在考察工程现场后，愿意以人民币(大写)</w:t>
      </w:r>
      <w:r>
        <w:rPr>
          <w:rFonts w:ascii="Times New Roman" w:hAnsi="Times New Roman" w:cs="Times New Roman"/>
          <w:sz w:val="24"/>
          <w:u w:val="single"/>
        </w:rPr>
        <w:t xml:space="preserve">     </w:t>
      </w:r>
      <w:r>
        <w:rPr>
          <w:rFonts w:ascii="Times New Roman" w:hAnsi="Times New Roman" w:cs="Times New Roman"/>
          <w:sz w:val="24"/>
        </w:rPr>
        <w:t>(小写：¥</w:t>
      </w:r>
      <w:r>
        <w:rPr>
          <w:rFonts w:ascii="Times New Roman" w:hAnsi="Times New Roman" w:cs="Times New Roman"/>
          <w:sz w:val="24"/>
          <w:u w:val="single"/>
        </w:rPr>
        <w:t xml:space="preserve">       </w:t>
      </w:r>
      <w:r>
        <w:rPr>
          <w:rFonts w:ascii="Times New Roman" w:hAnsi="Times New Roman" w:cs="Times New Roman"/>
          <w:sz w:val="24"/>
        </w:rPr>
        <w:t>)的总报价，工期</w:t>
      </w:r>
      <w:r>
        <w:rPr>
          <w:rFonts w:ascii="Times New Roman" w:hAnsi="Times New Roman" w:cs="Times New Roman"/>
          <w:sz w:val="24"/>
          <w:u w:val="single"/>
        </w:rPr>
        <w:t xml:space="preserve">           </w:t>
      </w:r>
      <w:r>
        <w:rPr>
          <w:rFonts w:ascii="Times New Roman" w:hAnsi="Times New Roman" w:cs="Times New Roman"/>
          <w:sz w:val="24"/>
        </w:rPr>
        <w:t>，按合同约定实施和完成承包工程，修补工程中的任何缺陷，工程质量目标达到</w:t>
      </w:r>
      <w:r>
        <w:rPr>
          <w:rFonts w:ascii="Times New Roman" w:hAnsi="Times New Roman" w:cs="Times New Roman"/>
          <w:sz w:val="24"/>
          <w:u w:val="single"/>
        </w:rPr>
        <w:t xml:space="preserve">     </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3．随同本报价函提交响应保证金一份，金额为人民币(大写)</w:t>
      </w:r>
      <w:r>
        <w:rPr>
          <w:rFonts w:ascii="Times New Roman" w:hAnsi="Times New Roman" w:cs="Times New Roman"/>
          <w:sz w:val="24"/>
          <w:u w:val="single"/>
        </w:rPr>
        <w:t xml:space="preserve">      </w:t>
      </w:r>
      <w:r>
        <w:rPr>
          <w:rFonts w:ascii="Times New Roman" w:hAnsi="Times New Roman" w:cs="Times New Roman"/>
          <w:sz w:val="24"/>
        </w:rPr>
        <w:t>元(¥</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4．如我方成交：</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(3)我方承诺在合同约定的期限内完成并移交全部合同工程。</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5．我方在此声明，所递交的响应文件及有关资料内容完整、真实和准确。</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6．在合同协议书正式签署生效之前，本报价函连同你方的成交通知书将构成我们双方之间共同遵守的文件，对双方具有约束力。</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7．____________。</w:t>
      </w:r>
    </w:p>
    <w:p>
      <w:pPr>
        <w:pStyle w:val="2"/>
        <w:spacing w:line="440" w:lineRule="exact"/>
        <w:rPr>
          <w:rFonts w:ascii="Times New Roman" w:hAnsi="Times New Roman" w:cs="Times New Roman"/>
          <w:sz w:val="24"/>
        </w:rPr>
      </w:pPr>
    </w:p>
    <w:p>
      <w:pPr>
        <w:pStyle w:val="3"/>
        <w:spacing w:line="440" w:lineRule="exact"/>
        <w:rPr>
          <w:rFonts w:ascii="Times New Roman" w:hAnsi="Times New Roman" w:cs="Times New Roman"/>
          <w:sz w:val="24"/>
        </w:rPr>
      </w:pPr>
    </w:p>
    <w:p>
      <w:pPr>
        <w:spacing w:line="440" w:lineRule="exact"/>
        <w:rPr>
          <w:rFonts w:ascii="Times New Roman" w:hAnsi="Times New Roman" w:cs="Times New Roman"/>
        </w:rPr>
      </w:pPr>
    </w:p>
    <w:p>
      <w:pPr>
        <w:spacing w:line="440" w:lineRule="exact"/>
        <w:ind w:firstLine="3420" w:firstLineChars="1425"/>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ind w:firstLine="3420" w:firstLineChars="1425"/>
        <w:rPr>
          <w:rFonts w:ascii="Times New Roman" w:hAnsi="Times New Roman" w:cs="Times New Roman"/>
          <w:sz w:val="24"/>
        </w:rPr>
      </w:pPr>
      <w:r>
        <w:rPr>
          <w:rFonts w:ascii="Times New Roman" w:hAnsi="Times New Roman" w:cs="Times New Roman"/>
          <w:sz w:val="24"/>
        </w:rPr>
        <w:t>法定代表人或委托代理人：</w:t>
      </w:r>
      <w:r>
        <w:rPr>
          <w:rFonts w:ascii="Times New Roman" w:hAnsi="Times New Roman" w:cs="Times New Roman"/>
          <w:sz w:val="24"/>
          <w:u w:val="single"/>
        </w:rPr>
        <w:t xml:space="preserve">        </w:t>
      </w:r>
      <w:r>
        <w:rPr>
          <w:rFonts w:ascii="Times New Roman" w:hAnsi="Times New Roman" w:cs="Times New Roman"/>
          <w:sz w:val="24"/>
        </w:rPr>
        <w:t>(签名)</w:t>
      </w:r>
    </w:p>
    <w:p>
      <w:pPr>
        <w:spacing w:line="440" w:lineRule="exact"/>
        <w:ind w:firstLine="3420" w:firstLineChars="1425"/>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ind w:firstLine="3420" w:firstLineChars="1425"/>
        <w:rPr>
          <w:rFonts w:ascii="Times New Roman" w:hAnsi="Times New Roman" w:cs="Times New Roman"/>
          <w:sz w:val="24"/>
        </w:rPr>
      </w:pPr>
      <w:r>
        <w:rPr>
          <w:rFonts w:ascii="Times New Roman" w:hAnsi="Times New Roman" w:cs="Times New Roman"/>
          <w:sz w:val="24"/>
        </w:rPr>
        <w:t>网址：</w:t>
      </w:r>
      <w:r>
        <w:rPr>
          <w:rFonts w:ascii="Times New Roman" w:hAnsi="Times New Roman" w:cs="Times New Roman"/>
          <w:sz w:val="24"/>
          <w:u w:val="single"/>
        </w:rPr>
        <w:t xml:space="preserve">                                     </w:t>
      </w:r>
    </w:p>
    <w:p>
      <w:pPr>
        <w:spacing w:line="440" w:lineRule="exact"/>
        <w:ind w:firstLine="3420" w:firstLineChars="1425"/>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ind w:firstLine="3420" w:firstLineChars="1425"/>
        <w:rPr>
          <w:rFonts w:ascii="Times New Roman" w:hAnsi="Times New Roman" w:cs="Times New Roman"/>
          <w:sz w:val="24"/>
        </w:rPr>
      </w:pPr>
      <w:r>
        <w:rPr>
          <w:rFonts w:ascii="Times New Roman" w:hAnsi="Times New Roman" w:cs="Times New Roman"/>
          <w:sz w:val="24"/>
        </w:rPr>
        <w:t>电子邮箱：</w:t>
      </w:r>
      <w:r>
        <w:rPr>
          <w:rFonts w:ascii="Times New Roman" w:hAnsi="Times New Roman" w:cs="Times New Roman"/>
          <w:sz w:val="24"/>
          <w:u w:val="single"/>
        </w:rPr>
        <w:t xml:space="preserve">                                  </w:t>
      </w:r>
    </w:p>
    <w:p>
      <w:pPr>
        <w:spacing w:line="440" w:lineRule="exact"/>
        <w:ind w:firstLine="4740" w:firstLineChars="1975"/>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numPr>
          <w:ilvl w:val="255"/>
          <w:numId w:val="0"/>
        </w:numPr>
        <w:spacing w:line="440" w:lineRule="exact"/>
        <w:jc w:val="left"/>
        <w:outlineLvl w:val="0"/>
        <w:rPr>
          <w:rFonts w:hint="eastAsia" w:ascii="Times New Roman" w:hAnsi="Times New Roman" w:eastAsia="黑体" w:cs="Times New Roman"/>
          <w:color w:val="auto"/>
          <w:sz w:val="24"/>
        </w:rPr>
      </w:pPr>
    </w:p>
    <w:p>
      <w:pPr>
        <w:bidi w:val="0"/>
        <w:jc w:val="both"/>
        <w:rPr>
          <w:rFonts w:hint="eastAsia" w:ascii="黑体" w:hAnsi="黑体" w:eastAsia="黑体" w:cs="黑体"/>
          <w:sz w:val="28"/>
          <w:szCs w:val="28"/>
        </w:rPr>
      </w:pPr>
    </w:p>
    <w:p>
      <w:pPr>
        <w:bidi w:val="0"/>
      </w:pPr>
    </w:p>
    <w:p>
      <w:pPr>
        <w:pStyle w:val="29"/>
        <w:rPr>
          <w:rFonts w:hint="default" w:ascii="Times New Roman" w:hAnsi="Times New Roman"/>
          <w:color w:val="auto"/>
          <w:szCs w:val="28"/>
        </w:rPr>
      </w:pPr>
    </w:p>
    <w:p>
      <w:pPr>
        <w:spacing w:line="360" w:lineRule="auto"/>
        <w:jc w:val="center"/>
        <w:outlineLvl w:val="0"/>
        <w:rPr>
          <w:rFonts w:ascii="Times New Roman" w:hAnsi="Times New Roman" w:eastAsia="黑体" w:cs="Times New Roman"/>
          <w:sz w:val="28"/>
          <w:szCs w:val="28"/>
        </w:rPr>
      </w:pPr>
      <w:bookmarkStart w:id="176" w:name="_Toc28828_WPSOffice_Level1"/>
      <w:bookmarkStart w:id="177" w:name="_Toc26364_WPSOffice_Level1"/>
      <w:bookmarkStart w:id="178" w:name="_Toc1246"/>
      <w:bookmarkStart w:id="179" w:name="_Toc32085_WPSOffice_Level1"/>
      <w:bookmarkStart w:id="180" w:name="_Toc27513_WPSOffice_Level1"/>
      <w:bookmarkStart w:id="181" w:name="_Toc24567_WPSOffice_Level1"/>
      <w:bookmarkStart w:id="182" w:name="_Toc24530_WPSOffice_Level1"/>
      <w:r>
        <w:rPr>
          <w:rFonts w:hint="eastAsia" w:ascii="Times New Roman" w:hAnsi="Times New Roman" w:eastAsia="黑体" w:cs="Times New Roman"/>
          <w:sz w:val="28"/>
          <w:szCs w:val="28"/>
          <w:lang w:val="en-US" w:eastAsia="zh-CN"/>
        </w:rPr>
        <w:t>二</w:t>
      </w:r>
      <w:r>
        <w:rPr>
          <w:rFonts w:ascii="Times New Roman" w:hAnsi="Times New Roman" w:eastAsia="黑体" w:cs="Times New Roman"/>
          <w:sz w:val="28"/>
          <w:szCs w:val="28"/>
        </w:rPr>
        <w:t>、已标价的工程量清单</w:t>
      </w:r>
      <w:bookmarkEnd w:id="176"/>
      <w:bookmarkEnd w:id="177"/>
      <w:bookmarkEnd w:id="178"/>
      <w:bookmarkEnd w:id="179"/>
      <w:bookmarkEnd w:id="180"/>
      <w:bookmarkEnd w:id="181"/>
      <w:bookmarkEnd w:id="182"/>
    </w:p>
    <w:p>
      <w:pPr>
        <w:tabs>
          <w:tab w:val="left" w:pos="2715"/>
        </w:tabs>
        <w:spacing w:line="440" w:lineRule="exact"/>
        <w:ind w:firstLine="420" w:firstLineChars="200"/>
        <w:rPr>
          <w:rFonts w:ascii="Times New Roman" w:hAnsi="Times New Roman" w:eastAsia="黑体" w:cs="Times New Roman"/>
          <w:szCs w:val="21"/>
        </w:rPr>
      </w:pPr>
      <w:r>
        <w:rPr>
          <w:rFonts w:ascii="Times New Roman" w:hAnsi="Times New Roman" w:eastAsia="黑体" w:cs="Times New Roman"/>
          <w:szCs w:val="21"/>
        </w:rPr>
        <w:t>1.说明</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1.1 本工程量清单是根据询比采购文件中有关工程量清单的国家标准、行业标准、合同条款中约定的工程量计算规则编制。计量采用中华人民共和国法定计量单位。</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1.2 本工程量清单应与询比采购文件中的竞标人须知、合同条款等一起阅读和理解。</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1.3 本工程量清单中所列工程数量是估算的或设计的预计数量，仅作为竞标报价的共同基础，不能作为最终结算与支付的依据。实际支付应按实际完成的工程量，由承包人按询比采购文件规定的计量方法，以业主授权负责人认可的数量计量，按本工程量清单的单价计算支付金额。</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1.4 工程量清单中所列工程量的变动，丝毫不会降低或影响合同条款的效力，也不免除承包人按规定的标准进行施工和修复缺陷的责任。</w:t>
      </w:r>
    </w:p>
    <w:p>
      <w:pPr>
        <w:tabs>
          <w:tab w:val="left" w:pos="2715"/>
        </w:tabs>
        <w:spacing w:line="440" w:lineRule="exact"/>
        <w:ind w:firstLine="420" w:firstLineChars="200"/>
        <w:rPr>
          <w:rFonts w:ascii="Times New Roman" w:hAnsi="Times New Roman" w:eastAsia="黑体" w:cs="Times New Roman"/>
          <w:szCs w:val="21"/>
        </w:rPr>
      </w:pPr>
      <w:bookmarkStart w:id="183" w:name="_Toc420682600"/>
      <w:bookmarkStart w:id="184" w:name="_Toc253315437"/>
      <w:r>
        <w:rPr>
          <w:rFonts w:ascii="Times New Roman" w:hAnsi="Times New Roman" w:eastAsia="黑体" w:cs="Times New Roman"/>
          <w:szCs w:val="21"/>
        </w:rPr>
        <w:t>2．竞标报价说明</w:t>
      </w:r>
      <w:bookmarkEnd w:id="183"/>
      <w:bookmarkEnd w:id="184"/>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2.1 工程量清单中的每一子目须填入单价或价格，且只允许有一个报价。</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2.2 除非合同另有规定，工程量清单中有标价的单价和总额价均已包括了为实施和完成合同工程所需的人工、机械、质检（自检）、安装、缺陷修复、管理、保险、税费、利润等费用，以及合同明示或暗示的所有责任、义务和一般风险。</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2.3 工程量清单中竞标人没有填入单价或价格的子目，其费用视为己分摊在工程量清单中其他相关子目的单价或价格之中。承包人必须按业主授权负责人人指令完成工程量清单中未填入单价或价格的子目，但不能得到结算与支付。</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2.4 符合合同条款规定的全部费用应认为已被计入有标价的工程量清单所列各子目之中，未列子目不予计量的工作，其费用应视为已分摊在本合同工程的有关子目的单价或总额价之中。</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2.5承包人用于本合同工程的各类装备的提供、运输、维护、拆卸、拼装等支付的费用，已包括在工程量清单的单价与总额价之中。</w:t>
      </w:r>
    </w:p>
    <w:p>
      <w:pPr>
        <w:spacing w:line="440" w:lineRule="exact"/>
        <w:ind w:firstLine="420" w:firstLineChars="200"/>
        <w:rPr>
          <w:rFonts w:ascii="Times New Roman" w:hAnsi="Times New Roman" w:cs="Times New Roman"/>
        </w:rPr>
      </w:pPr>
      <w:r>
        <w:rPr>
          <w:rFonts w:ascii="Times New Roman" w:hAnsi="Times New Roman" w:cs="Times New Roman"/>
          <w:szCs w:val="21"/>
        </w:rPr>
        <w:t>2.6 工程量清单中各项金额均以人民币（元）结算。</w:t>
      </w:r>
    </w:p>
    <w:p>
      <w:pPr>
        <w:tabs>
          <w:tab w:val="left" w:pos="2715"/>
        </w:tabs>
        <w:spacing w:line="440" w:lineRule="exact"/>
        <w:ind w:firstLine="420" w:firstLineChars="200"/>
        <w:rPr>
          <w:rFonts w:ascii="Times New Roman" w:hAnsi="Times New Roman" w:eastAsia="黑体" w:cs="Times New Roman"/>
          <w:szCs w:val="21"/>
        </w:rPr>
      </w:pPr>
      <w:bookmarkStart w:id="185" w:name="_Toc420682601"/>
      <w:bookmarkStart w:id="186" w:name="_Toc253315439"/>
      <w:r>
        <w:rPr>
          <w:rFonts w:ascii="Times New Roman" w:hAnsi="Times New Roman" w:eastAsia="黑体" w:cs="Times New Roman"/>
          <w:szCs w:val="21"/>
        </w:rPr>
        <w:t>3．其他说明</w:t>
      </w:r>
      <w:bookmarkEnd w:id="185"/>
      <w:bookmarkEnd w:id="186"/>
    </w:p>
    <w:p>
      <w:pPr>
        <w:autoSpaceDE w:val="0"/>
        <w:autoSpaceDN w:val="0"/>
        <w:adjustRightInd w:val="0"/>
        <w:spacing w:line="440" w:lineRule="exact"/>
        <w:ind w:firstLine="420" w:firstLineChars="200"/>
        <w:rPr>
          <w:rFonts w:ascii="Times New Roman" w:hAnsi="Times New Roman" w:cs="Times New Roman"/>
          <w:szCs w:val="21"/>
        </w:rPr>
      </w:pPr>
      <w:r>
        <w:rPr>
          <w:rFonts w:ascii="Times New Roman" w:hAnsi="Times New Roman" w:cs="Times New Roman"/>
          <w:szCs w:val="21"/>
        </w:rPr>
        <w:t>3.1  工程一切险和第三方责任险，以及其他保险的保险费均包含在所报的单价或总额价中，由承包人承担并支付，不单独报价。</w:t>
      </w:r>
    </w:p>
    <w:p>
      <w:pPr>
        <w:autoSpaceDE w:val="0"/>
        <w:autoSpaceDN w:val="0"/>
        <w:adjustRightInd w:val="0"/>
        <w:spacing w:line="440" w:lineRule="exact"/>
        <w:ind w:firstLine="420" w:firstLineChars="200"/>
        <w:rPr>
          <w:rFonts w:ascii="Times New Roman" w:hAnsi="Times New Roman" w:cs="Times New Roman"/>
          <w:szCs w:val="21"/>
        </w:rPr>
      </w:pPr>
      <w:r>
        <w:rPr>
          <w:rFonts w:ascii="Times New Roman" w:hAnsi="Times New Roman" w:cs="Times New Roman"/>
          <w:szCs w:val="21"/>
        </w:rPr>
        <w:t>3.2  符合合同条款规定的全部费用应认为已被计入有标价的工程量清单所列各细目之中，未列细目不予计量的工作，其费用应视为已分摊在本合同工程的有关细目的单价或总额价之中。</w:t>
      </w:r>
    </w:p>
    <w:p>
      <w:pPr>
        <w:pStyle w:val="2"/>
        <w:spacing w:after="0" w:line="440" w:lineRule="exact"/>
        <w:ind w:firstLine="420" w:firstLineChars="200"/>
        <w:rPr>
          <w:rFonts w:ascii="Times New Roman" w:hAnsi="Times New Roman" w:cs="Times New Roman"/>
          <w:szCs w:val="21"/>
        </w:rPr>
        <w:sectPr>
          <w:footnotePr>
            <w:numFmt w:val="decimalEnclosedCircleChinese"/>
          </w:footnotePr>
          <w:pgSz w:w="11906" w:h="16838"/>
          <w:pgMar w:top="1440" w:right="1080" w:bottom="1440" w:left="1080" w:header="851" w:footer="992" w:gutter="0"/>
          <w:cols w:space="720" w:num="1"/>
          <w:docGrid w:type="linesAndChars" w:linePitch="312" w:charSpace="0"/>
        </w:sectPr>
      </w:pPr>
      <w:r>
        <w:rPr>
          <w:rFonts w:ascii="Times New Roman" w:hAnsi="Times New Roman" w:cs="Times New Roman"/>
          <w:szCs w:val="21"/>
        </w:rPr>
        <w:t>3.3  施工过程中临时用地、临时供电、电讯和供水、排污、设施的修建与拆除等工程所有费用，均包含在工程量清单综合单价中，不再单独计量。</w:t>
      </w:r>
    </w:p>
    <w:p>
      <w:pPr>
        <w:spacing w:line="360" w:lineRule="auto"/>
        <w:jc w:val="center"/>
        <w:rPr>
          <w:rFonts w:ascii="Times New Roman" w:hAnsi="Times New Roman" w:cs="Times New Roman"/>
          <w:sz w:val="28"/>
          <w:szCs w:val="36"/>
        </w:rPr>
      </w:pPr>
      <w:r>
        <w:rPr>
          <w:rFonts w:ascii="Times New Roman" w:hAnsi="Times New Roman" w:cs="Times New Roman"/>
          <w:sz w:val="28"/>
          <w:szCs w:val="36"/>
        </w:rPr>
        <w:t>表一 报价汇总表</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92"/>
        <w:gridCol w:w="6041"/>
        <w:gridCol w:w="6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8" w:type="pct"/>
            <w:tcBorders>
              <w:tl2br w:val="nil"/>
              <w:tr2bl w:val="nil"/>
            </w:tcBorders>
            <w:shd w:val="clear" w:color="auto" w:fill="auto"/>
            <w:noWrap/>
            <w:vAlign w:val="center"/>
          </w:tcPr>
          <w:p>
            <w:pPr>
              <w:jc w:val="center"/>
              <w:rPr>
                <w:rFonts w:ascii="Times New Roman" w:hAnsi="Times New Roman" w:eastAsia="宋体" w:cs="Times New Roman"/>
                <w:color w:val="000000"/>
                <w:sz w:val="24"/>
              </w:rPr>
            </w:pPr>
            <w:r>
              <w:rPr>
                <w:rFonts w:ascii="Times New Roman" w:hAnsi="Times New Roman" w:eastAsia="宋体" w:cs="Times New Roman"/>
                <w:color w:val="000000"/>
                <w:sz w:val="24"/>
              </w:rPr>
              <w:t>序号</w:t>
            </w:r>
          </w:p>
        </w:tc>
        <w:tc>
          <w:tcPr>
            <w:tcW w:w="2131" w:type="pct"/>
            <w:tcBorders>
              <w:tl2br w:val="nil"/>
              <w:tr2bl w:val="nil"/>
            </w:tcBorders>
            <w:shd w:val="clear" w:color="auto" w:fill="auto"/>
            <w:noWrap/>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内容</w:t>
            </w:r>
          </w:p>
        </w:tc>
        <w:tc>
          <w:tcPr>
            <w:tcW w:w="2131" w:type="pct"/>
            <w:tcBorders>
              <w:tl2br w:val="nil"/>
              <w:tr2bl w:val="nil"/>
            </w:tcBorders>
            <w:shd w:val="clear" w:color="auto" w:fill="auto"/>
            <w:noWrap/>
            <w:vAlign w:val="center"/>
          </w:tcPr>
          <w:p>
            <w:pPr>
              <w:jc w:val="center"/>
              <w:rPr>
                <w:rFonts w:ascii="Times New Roman" w:hAnsi="Times New Roman" w:eastAsia="宋体" w:cs="Times New Roman"/>
                <w:color w:val="000000"/>
                <w:sz w:val="24"/>
              </w:rPr>
            </w:pPr>
            <w:r>
              <w:rPr>
                <w:rFonts w:ascii="Times New Roman" w:hAnsi="Times New Roman" w:eastAsia="宋体" w:cs="Times New Roman"/>
                <w:color w:val="000000"/>
                <w:sz w:val="24"/>
              </w:rPr>
              <w:t>价格（元）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8" w:type="pct"/>
            <w:tcBorders>
              <w:tl2br w:val="nil"/>
              <w:tr2bl w:val="nil"/>
            </w:tcBorders>
            <w:shd w:val="clear" w:color="auto" w:fill="auto"/>
            <w:noWrap/>
            <w:vAlign w:val="center"/>
          </w:tcPr>
          <w:p>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sz w:val="24"/>
              </w:rPr>
              <w:t>1</w:t>
            </w:r>
          </w:p>
        </w:tc>
        <w:tc>
          <w:tcPr>
            <w:tcW w:w="2131" w:type="pct"/>
            <w:tcBorders>
              <w:tl2br w:val="nil"/>
              <w:tr2bl w:val="nil"/>
            </w:tcBorders>
            <w:shd w:val="clear" w:color="auto" w:fill="auto"/>
            <w:noWrap/>
            <w:vAlign w:val="center"/>
          </w:tcPr>
          <w:p>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基建工程</w:t>
            </w:r>
          </w:p>
        </w:tc>
        <w:tc>
          <w:tcPr>
            <w:tcW w:w="2131" w:type="pct"/>
            <w:tcBorders>
              <w:tl2br w:val="nil"/>
              <w:tr2bl w:val="nil"/>
            </w:tcBorders>
            <w:shd w:val="clear" w:color="auto" w:fill="auto"/>
            <w:noWrap/>
            <w:vAlign w:val="center"/>
          </w:tcPr>
          <w:p>
            <w:pPr>
              <w:widowControl/>
              <w:jc w:val="center"/>
              <w:textAlignment w:val="bottom"/>
              <w:rPr>
                <w:rFonts w:ascii="Times New Roman" w:hAnsi="Times New Roman" w:eastAsia="宋体"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8" w:type="pct"/>
            <w:tcBorders>
              <w:tl2br w:val="nil"/>
              <w:tr2bl w:val="nil"/>
            </w:tcBorders>
            <w:shd w:val="clear" w:color="auto" w:fill="auto"/>
            <w:noWrap/>
            <w:vAlign w:val="center"/>
          </w:tcPr>
          <w:p>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sz w:val="24"/>
              </w:rPr>
              <w:t>2</w:t>
            </w:r>
          </w:p>
        </w:tc>
        <w:tc>
          <w:tcPr>
            <w:tcW w:w="2131" w:type="pct"/>
            <w:tcBorders>
              <w:tl2br w:val="nil"/>
              <w:tr2bl w:val="nil"/>
            </w:tcBorders>
            <w:shd w:val="clear" w:color="auto" w:fill="auto"/>
            <w:noWrap/>
            <w:vAlign w:val="center"/>
          </w:tcPr>
          <w:p>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水电工程</w:t>
            </w:r>
          </w:p>
        </w:tc>
        <w:tc>
          <w:tcPr>
            <w:tcW w:w="2131" w:type="pct"/>
            <w:tcBorders>
              <w:tl2br w:val="nil"/>
              <w:tr2bl w:val="nil"/>
            </w:tcBorders>
            <w:shd w:val="clear" w:color="auto" w:fill="auto"/>
            <w:noWrap/>
            <w:vAlign w:val="center"/>
          </w:tcPr>
          <w:p>
            <w:pPr>
              <w:widowControl/>
              <w:jc w:val="center"/>
              <w:textAlignment w:val="bottom"/>
              <w:rPr>
                <w:rFonts w:ascii="Times New Roman" w:hAnsi="Times New Roman" w:eastAsia="宋体"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8" w:type="pct"/>
            <w:tcBorders>
              <w:tl2br w:val="nil"/>
              <w:tr2bl w:val="nil"/>
            </w:tcBorders>
            <w:shd w:val="clear" w:color="auto" w:fill="auto"/>
            <w:noWrap/>
            <w:vAlign w:val="center"/>
          </w:tcPr>
          <w:p>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sz w:val="24"/>
              </w:rPr>
              <w:t>3</w:t>
            </w:r>
          </w:p>
        </w:tc>
        <w:tc>
          <w:tcPr>
            <w:tcW w:w="2131" w:type="pct"/>
            <w:tcBorders>
              <w:tl2br w:val="nil"/>
              <w:tr2bl w:val="nil"/>
            </w:tcBorders>
            <w:shd w:val="clear" w:color="auto" w:fill="auto"/>
            <w:noWrap/>
            <w:vAlign w:val="center"/>
          </w:tcPr>
          <w:p>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弱电工程</w:t>
            </w:r>
          </w:p>
        </w:tc>
        <w:tc>
          <w:tcPr>
            <w:tcW w:w="2131" w:type="pct"/>
            <w:tcBorders>
              <w:tl2br w:val="nil"/>
              <w:tr2bl w:val="nil"/>
            </w:tcBorders>
            <w:shd w:val="clear" w:color="auto" w:fill="auto"/>
            <w:noWrap/>
            <w:vAlign w:val="center"/>
          </w:tcPr>
          <w:p>
            <w:pPr>
              <w:widowControl/>
              <w:jc w:val="center"/>
              <w:textAlignment w:val="bottom"/>
              <w:rPr>
                <w:rFonts w:ascii="Times New Roman" w:hAnsi="Times New Roman" w:eastAsia="宋体"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8" w:type="pct"/>
            <w:tcBorders>
              <w:tl2br w:val="nil"/>
              <w:tr2bl w:val="nil"/>
            </w:tcBorders>
            <w:shd w:val="clear" w:color="auto" w:fill="auto"/>
            <w:noWrap/>
            <w:vAlign w:val="center"/>
          </w:tcPr>
          <w:p>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sz w:val="24"/>
              </w:rPr>
              <w:t>4</w:t>
            </w:r>
          </w:p>
        </w:tc>
        <w:tc>
          <w:tcPr>
            <w:tcW w:w="2131" w:type="pct"/>
            <w:tcBorders>
              <w:tl2br w:val="nil"/>
              <w:tr2bl w:val="nil"/>
            </w:tcBorders>
            <w:shd w:val="clear" w:color="auto" w:fill="auto"/>
            <w:noWrap/>
            <w:vAlign w:val="center"/>
          </w:tcPr>
          <w:p>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kern w:val="0"/>
                <w:sz w:val="24"/>
                <w:lang w:bidi="ar"/>
              </w:rPr>
              <w:t>制图费</w:t>
            </w:r>
          </w:p>
        </w:tc>
        <w:tc>
          <w:tcPr>
            <w:tcW w:w="2131" w:type="pct"/>
            <w:tcBorders>
              <w:tl2br w:val="nil"/>
              <w:tr2bl w:val="nil"/>
            </w:tcBorders>
            <w:shd w:val="clear" w:color="auto" w:fill="auto"/>
            <w:noWrap/>
            <w:vAlign w:val="center"/>
          </w:tcPr>
          <w:p>
            <w:pPr>
              <w:widowControl/>
              <w:jc w:val="center"/>
              <w:textAlignment w:val="bottom"/>
              <w:rPr>
                <w:rFonts w:ascii="Times New Roman" w:hAnsi="Times New Roman" w:eastAsia="宋体" w:cs="Times New Roman"/>
                <w:color w:val="FF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8" w:type="pct"/>
            <w:tcBorders>
              <w:tl2br w:val="nil"/>
              <w:tr2bl w:val="nil"/>
            </w:tcBorders>
            <w:shd w:val="clear" w:color="auto" w:fill="auto"/>
            <w:noWrap/>
            <w:vAlign w:val="center"/>
          </w:tcPr>
          <w:p>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sz w:val="24"/>
              </w:rPr>
              <w:t>5</w:t>
            </w:r>
          </w:p>
        </w:tc>
        <w:tc>
          <w:tcPr>
            <w:tcW w:w="2131" w:type="pct"/>
            <w:tcBorders>
              <w:tl2br w:val="nil"/>
              <w:tr2bl w:val="nil"/>
            </w:tcBorders>
            <w:shd w:val="clear" w:color="auto" w:fill="auto"/>
            <w:noWrap/>
            <w:vAlign w:val="center"/>
          </w:tcPr>
          <w:p>
            <w:pPr>
              <w:widowControl/>
              <w:jc w:val="center"/>
              <w:textAlignment w:val="bottom"/>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安全文明施工费</w:t>
            </w:r>
          </w:p>
        </w:tc>
        <w:tc>
          <w:tcPr>
            <w:tcW w:w="2131" w:type="pct"/>
            <w:tcBorders>
              <w:tl2br w:val="nil"/>
              <w:tr2bl w:val="nil"/>
            </w:tcBorders>
            <w:shd w:val="clear" w:color="auto" w:fill="auto"/>
            <w:noWrap/>
            <w:vAlign w:val="center"/>
          </w:tcPr>
          <w:p>
            <w:pPr>
              <w:widowControl/>
              <w:jc w:val="center"/>
              <w:textAlignment w:val="bottom"/>
              <w:rPr>
                <w:rFonts w:ascii="Times New Roman" w:hAnsi="Times New Roman" w:eastAsia="宋体" w:cs="Times New Roman"/>
                <w:color w:val="FF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8" w:type="pct"/>
            <w:tcBorders>
              <w:tl2br w:val="nil"/>
              <w:tr2bl w:val="nil"/>
            </w:tcBorders>
            <w:shd w:val="clear" w:color="auto" w:fill="auto"/>
            <w:noWrap/>
            <w:vAlign w:val="center"/>
          </w:tcPr>
          <w:p>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sz w:val="24"/>
              </w:rPr>
              <w:t>6</w:t>
            </w:r>
          </w:p>
        </w:tc>
        <w:tc>
          <w:tcPr>
            <w:tcW w:w="2131" w:type="pct"/>
            <w:tcBorders>
              <w:tl2br w:val="nil"/>
              <w:tr2bl w:val="nil"/>
            </w:tcBorders>
            <w:shd w:val="clear" w:color="auto" w:fill="auto"/>
            <w:noWrap/>
            <w:vAlign w:val="center"/>
          </w:tcPr>
          <w:p>
            <w:pPr>
              <w:jc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暂 定 金</w:t>
            </w:r>
          </w:p>
        </w:tc>
        <w:tc>
          <w:tcPr>
            <w:tcW w:w="2131" w:type="pct"/>
            <w:tcBorders>
              <w:tl2br w:val="nil"/>
              <w:tr2bl w:val="nil"/>
            </w:tcBorders>
            <w:shd w:val="clear" w:color="auto" w:fill="auto"/>
            <w:noWrap/>
            <w:vAlign w:val="center"/>
          </w:tcPr>
          <w:p>
            <w:pPr>
              <w:widowControl/>
              <w:jc w:val="center"/>
              <w:textAlignment w:val="bottom"/>
              <w:rPr>
                <w:rFonts w:ascii="Times New Roman" w:hAnsi="Times New Roman" w:eastAsia="宋体" w:cs="Times New Roman"/>
                <w:color w:val="FF0000"/>
                <w:sz w:val="24"/>
              </w:rPr>
            </w:pPr>
            <w:r>
              <w:rPr>
                <w:rFonts w:ascii="Times New Roman" w:hAnsi="Times New Roman" w:eastAsia="宋体" w:cs="Times New Roman"/>
                <w:b/>
                <w:bCs/>
                <w:kern w:val="0"/>
                <w:sz w:val="24"/>
                <w:lang w:bidi="ar"/>
              </w:rPr>
              <w:t>50000.00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8" w:type="pct"/>
            <w:tcBorders>
              <w:tl2br w:val="nil"/>
              <w:tr2bl w:val="nil"/>
            </w:tcBorders>
            <w:shd w:val="clear" w:color="auto" w:fill="auto"/>
            <w:noWrap/>
            <w:vAlign w:val="center"/>
          </w:tcPr>
          <w:p>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sz w:val="24"/>
              </w:rPr>
              <w:t>7</w:t>
            </w:r>
          </w:p>
        </w:tc>
        <w:tc>
          <w:tcPr>
            <w:tcW w:w="2131" w:type="pct"/>
            <w:tcBorders>
              <w:tl2br w:val="nil"/>
              <w:tr2bl w:val="nil"/>
            </w:tcBorders>
            <w:shd w:val="clear" w:color="auto" w:fill="auto"/>
            <w:noWrap/>
            <w:vAlign w:val="center"/>
          </w:tcPr>
          <w:p>
            <w:pPr>
              <w:widowControl/>
              <w:jc w:val="center"/>
              <w:textAlignment w:val="bottom"/>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工程总造价</w:t>
            </w:r>
          </w:p>
        </w:tc>
        <w:tc>
          <w:tcPr>
            <w:tcW w:w="2131" w:type="pct"/>
            <w:tcBorders>
              <w:tl2br w:val="nil"/>
              <w:tr2bl w:val="nil"/>
            </w:tcBorders>
            <w:shd w:val="clear" w:color="auto" w:fill="auto"/>
            <w:noWrap/>
            <w:vAlign w:val="center"/>
          </w:tcPr>
          <w:p>
            <w:pPr>
              <w:widowControl/>
              <w:ind w:firstLine="482" w:firstLineChars="200"/>
              <w:textAlignment w:val="bottom"/>
              <w:rPr>
                <w:rFonts w:ascii="Times New Roman" w:hAnsi="Times New Roman" w:eastAsia="宋体" w:cs="Times New Roman"/>
                <w:b/>
                <w:bCs/>
                <w:color w:val="000000"/>
                <w:kern w:val="0"/>
                <w:sz w:val="24"/>
                <w:lang w:bidi="ar"/>
              </w:rPr>
            </w:pPr>
            <w:r>
              <w:rPr>
                <w:rFonts w:ascii="Times New Roman" w:hAnsi="Times New Roman" w:eastAsia="宋体" w:cs="Times New Roman"/>
                <w:b/>
                <w:bCs/>
                <w:color w:val="000000"/>
                <w:kern w:val="0"/>
                <w:sz w:val="24"/>
                <w:lang w:bidi="ar"/>
              </w:rPr>
              <w:t>大写：</w:t>
            </w:r>
            <w:r>
              <w:rPr>
                <w:rFonts w:ascii="Times New Roman" w:hAnsi="Times New Roman" w:eastAsia="宋体" w:cs="Times New Roman"/>
                <w:b/>
                <w:bCs/>
                <w:color w:val="000000"/>
                <w:kern w:val="0"/>
                <w:sz w:val="24"/>
                <w:u w:val="single"/>
                <w:lang w:bidi="ar"/>
              </w:rPr>
              <w:t xml:space="preserve">                             </w:t>
            </w:r>
          </w:p>
          <w:p>
            <w:pPr>
              <w:widowControl/>
              <w:ind w:firstLine="482" w:firstLineChars="200"/>
              <w:textAlignment w:val="bottom"/>
              <w:rPr>
                <w:rFonts w:ascii="Times New Roman" w:hAnsi="Times New Roman" w:eastAsia="宋体" w:cs="Times New Roman"/>
                <w:color w:val="000000"/>
                <w:kern w:val="0"/>
                <w:sz w:val="24"/>
                <w:lang w:bidi="ar"/>
              </w:rPr>
            </w:pPr>
            <w:r>
              <w:rPr>
                <w:rFonts w:ascii="Times New Roman" w:hAnsi="Times New Roman" w:eastAsia="宋体" w:cs="Times New Roman"/>
                <w:b/>
                <w:bCs/>
                <w:color w:val="000000"/>
                <w:kern w:val="0"/>
                <w:sz w:val="24"/>
                <w:lang w:bidi="ar"/>
              </w:rPr>
              <w:t>小写：</w:t>
            </w:r>
            <w:r>
              <w:rPr>
                <w:rFonts w:ascii="Times New Roman" w:hAnsi="Times New Roman" w:eastAsia="宋体" w:cs="Times New Roman"/>
                <w:b/>
                <w:bCs/>
                <w:color w:val="000000"/>
                <w:kern w:val="0"/>
                <w:sz w:val="24"/>
                <w:u w:val="single"/>
                <w:lang w:bidi="ar"/>
              </w:rPr>
              <w:t xml:space="preserve">                             </w:t>
            </w:r>
          </w:p>
        </w:tc>
      </w:tr>
    </w:tbl>
    <w:p>
      <w:pPr>
        <w:rPr>
          <w:rFonts w:ascii="Times New Roman" w:hAnsi="Times New Roman" w:cs="Times New Roman"/>
          <w:b/>
          <w:bCs/>
          <w:sz w:val="22"/>
          <w:szCs w:val="28"/>
        </w:rPr>
      </w:pPr>
    </w:p>
    <w:p>
      <w:pPr>
        <w:spacing w:line="440" w:lineRule="exact"/>
        <w:ind w:firstLine="482" w:firstLineChars="200"/>
        <w:rPr>
          <w:rFonts w:ascii="Times New Roman" w:hAnsi="Times New Roman" w:cs="Times New Roman"/>
          <w:b/>
          <w:bCs/>
          <w:sz w:val="24"/>
        </w:rPr>
        <w:sectPr>
          <w:footnotePr>
            <w:numFmt w:val="decimalEnclosedCircleChinese"/>
          </w:footnotePr>
          <w:pgSz w:w="16838" w:h="11906" w:orient="landscape"/>
          <w:pgMar w:top="1797" w:right="1440" w:bottom="1797" w:left="1440" w:header="851" w:footer="992" w:gutter="0"/>
          <w:cols w:space="720" w:num="1"/>
          <w:docGrid w:linePitch="312" w:charSpace="0"/>
        </w:sectPr>
      </w:pPr>
      <w:r>
        <w:rPr>
          <w:rFonts w:ascii="Times New Roman" w:hAnsi="Times New Roman" w:cs="Times New Roman"/>
          <w:b/>
          <w:bCs/>
          <w:sz w:val="24"/>
        </w:rPr>
        <w:t>注：对分项表中推荐的品牌，各投标人必须选择其中一种品牌，规格型号自行选定且</w:t>
      </w:r>
      <w:r>
        <w:rPr>
          <w:rFonts w:hint="eastAsia" w:ascii="Times New Roman" w:hAnsi="Times New Roman" w:cs="Times New Roman"/>
          <w:b/>
          <w:bCs/>
          <w:sz w:val="24"/>
        </w:rPr>
        <w:t>必须</w:t>
      </w:r>
      <w:r>
        <w:rPr>
          <w:rFonts w:ascii="Times New Roman" w:hAnsi="Times New Roman" w:cs="Times New Roman"/>
          <w:b/>
          <w:bCs/>
          <w:sz w:val="24"/>
        </w:rPr>
        <w:t>满足技术要求，施工过程中使用的品牌及规格型号需与响应文件保持一致。</w:t>
      </w:r>
    </w:p>
    <w:p>
      <w:pPr>
        <w:pStyle w:val="2"/>
        <w:spacing w:after="0" w:line="360" w:lineRule="auto"/>
        <w:jc w:val="center"/>
        <w:rPr>
          <w:rFonts w:ascii="Times New Roman" w:hAnsi="Times New Roman" w:cs="Times New Roman"/>
          <w:sz w:val="28"/>
          <w:szCs w:val="36"/>
        </w:rPr>
      </w:pPr>
      <w:r>
        <w:rPr>
          <w:rFonts w:ascii="Times New Roman" w:hAnsi="Times New Roman" w:cs="Times New Roman"/>
          <w:sz w:val="28"/>
          <w:szCs w:val="36"/>
        </w:rPr>
        <w:t>表二 基建工程分项报价表</w:t>
      </w:r>
    </w:p>
    <w:tbl>
      <w:tblPr>
        <w:tblStyle w:val="20"/>
        <w:tblW w:w="4991" w:type="pct"/>
        <w:tblInd w:w="0" w:type="dxa"/>
        <w:tblLayout w:type="autofit"/>
        <w:tblCellMar>
          <w:top w:w="0" w:type="dxa"/>
          <w:left w:w="108" w:type="dxa"/>
          <w:bottom w:w="0" w:type="dxa"/>
          <w:right w:w="108" w:type="dxa"/>
        </w:tblCellMar>
      </w:tblPr>
      <w:tblGrid>
        <w:gridCol w:w="894"/>
        <w:gridCol w:w="3005"/>
        <w:gridCol w:w="730"/>
        <w:gridCol w:w="866"/>
        <w:gridCol w:w="1480"/>
        <w:gridCol w:w="1497"/>
        <w:gridCol w:w="3234"/>
        <w:gridCol w:w="1021"/>
        <w:gridCol w:w="1421"/>
      </w:tblGrid>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b/>
                <w:bCs/>
                <w:color w:val="000000"/>
                <w:szCs w:val="21"/>
              </w:rPr>
            </w:pPr>
            <w:r>
              <w:rPr>
                <w:rFonts w:ascii="Times New Roman" w:hAnsi="Times New Roman" w:eastAsia="新宋体" w:cs="Times New Roman"/>
                <w:b/>
                <w:bCs/>
                <w:color w:val="000000"/>
                <w:kern w:val="0"/>
                <w:szCs w:val="21"/>
                <w:lang w:bidi="ar"/>
              </w:rPr>
              <w:t>序号</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b/>
                <w:bCs/>
                <w:color w:val="000000"/>
                <w:szCs w:val="21"/>
              </w:rPr>
            </w:pPr>
            <w:r>
              <w:rPr>
                <w:rFonts w:ascii="Times New Roman" w:hAnsi="Times New Roman" w:eastAsia="新宋体" w:cs="Times New Roman"/>
                <w:b/>
                <w:bCs/>
                <w:color w:val="000000"/>
                <w:kern w:val="0"/>
                <w:szCs w:val="21"/>
                <w:lang w:bidi="ar"/>
              </w:rPr>
              <w:t>项目名称</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b/>
                <w:bCs/>
                <w:color w:val="000000"/>
                <w:szCs w:val="21"/>
              </w:rPr>
            </w:pPr>
            <w:r>
              <w:rPr>
                <w:rFonts w:ascii="Times New Roman" w:hAnsi="Times New Roman" w:eastAsia="新宋体" w:cs="Times New Roman"/>
                <w:b/>
                <w:bCs/>
                <w:color w:val="000000"/>
                <w:kern w:val="0"/>
                <w:szCs w:val="21"/>
                <w:lang w:bidi="ar"/>
              </w:rPr>
              <w:t>单位</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b/>
                <w:bCs/>
                <w:color w:val="000000"/>
                <w:szCs w:val="21"/>
              </w:rPr>
            </w:pPr>
            <w:r>
              <w:rPr>
                <w:rFonts w:ascii="Times New Roman" w:hAnsi="Times New Roman" w:eastAsia="新宋体" w:cs="Times New Roman"/>
                <w:b/>
                <w:bCs/>
                <w:color w:val="000000"/>
                <w:kern w:val="0"/>
                <w:szCs w:val="21"/>
                <w:lang w:bidi="ar"/>
              </w:rPr>
              <w:t>数量</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b/>
                <w:bCs/>
                <w:color w:val="000000"/>
                <w:szCs w:val="21"/>
              </w:rPr>
            </w:pPr>
            <w:r>
              <w:rPr>
                <w:rFonts w:ascii="Times New Roman" w:hAnsi="Times New Roman" w:eastAsia="新宋体" w:cs="Times New Roman"/>
                <w:b/>
                <w:bCs/>
                <w:color w:val="000000"/>
                <w:kern w:val="0"/>
                <w:szCs w:val="21"/>
                <w:lang w:bidi="ar"/>
              </w:rPr>
              <w:t>单价（元）</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b/>
                <w:bCs/>
                <w:color w:val="000000"/>
                <w:szCs w:val="21"/>
              </w:rPr>
            </w:pPr>
            <w:r>
              <w:rPr>
                <w:rFonts w:ascii="Times New Roman" w:hAnsi="Times New Roman" w:eastAsia="新宋体" w:cs="Times New Roman"/>
                <w:b/>
                <w:bCs/>
                <w:color w:val="000000"/>
                <w:kern w:val="0"/>
                <w:szCs w:val="21"/>
                <w:lang w:bidi="ar"/>
              </w:rPr>
              <w:t>金额（元）</w:t>
            </w:r>
          </w:p>
        </w:tc>
        <w:tc>
          <w:tcPr>
            <w:tcW w:w="11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b/>
                <w:bCs/>
                <w:color w:val="000000"/>
                <w:szCs w:val="21"/>
              </w:rPr>
            </w:pPr>
            <w:r>
              <w:rPr>
                <w:rFonts w:ascii="Times New Roman" w:hAnsi="Times New Roman" w:eastAsia="新宋体" w:cs="Times New Roman"/>
                <w:b/>
                <w:bCs/>
                <w:color w:val="000000"/>
                <w:kern w:val="0"/>
                <w:szCs w:val="21"/>
                <w:lang w:bidi="ar"/>
              </w:rPr>
              <w:t>技术要求</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b/>
                <w:bCs/>
                <w:color w:val="000000"/>
                <w:szCs w:val="21"/>
              </w:rPr>
            </w:pPr>
            <w:r>
              <w:rPr>
                <w:rFonts w:ascii="Times New Roman" w:hAnsi="Times New Roman" w:eastAsia="新宋体" w:cs="Times New Roman"/>
                <w:b/>
                <w:bCs/>
                <w:color w:val="000000"/>
                <w:kern w:val="0"/>
                <w:szCs w:val="21"/>
                <w:lang w:bidi="ar"/>
              </w:rPr>
              <w:t>推荐品牌</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b/>
                <w:bCs/>
                <w:color w:val="000000"/>
                <w:kern w:val="0"/>
                <w:szCs w:val="21"/>
                <w:lang w:bidi="ar"/>
              </w:rPr>
            </w:pPr>
            <w:r>
              <w:rPr>
                <w:rFonts w:ascii="Times New Roman" w:hAnsi="Times New Roman" w:eastAsia="新宋体" w:cs="Times New Roman"/>
                <w:b/>
                <w:bCs/>
                <w:color w:val="000000"/>
                <w:kern w:val="0"/>
                <w:szCs w:val="21"/>
                <w:lang w:bidi="ar"/>
              </w:rPr>
              <w:t>规格型号</w:t>
            </w: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b/>
                <w:bCs/>
                <w:color w:val="000000"/>
                <w:szCs w:val="21"/>
              </w:rPr>
            </w:pPr>
            <w:r>
              <w:rPr>
                <w:rFonts w:ascii="Times New Roman" w:hAnsi="Times New Roman" w:eastAsia="新宋体" w:cs="Times New Roman"/>
                <w:b/>
                <w:bCs/>
                <w:color w:val="000000"/>
                <w:kern w:val="0"/>
                <w:szCs w:val="21"/>
                <w:lang w:bidi="ar"/>
              </w:rPr>
              <w:t>一</w:t>
            </w:r>
          </w:p>
        </w:tc>
        <w:tc>
          <w:tcPr>
            <w:tcW w:w="468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b/>
                <w:bCs/>
                <w:color w:val="000000"/>
                <w:szCs w:val="21"/>
              </w:rPr>
            </w:pPr>
            <w:r>
              <w:rPr>
                <w:rFonts w:ascii="Times New Roman" w:hAnsi="Times New Roman" w:eastAsia="新宋体" w:cs="Times New Roman"/>
                <w:b/>
                <w:bCs/>
                <w:color w:val="000000"/>
                <w:kern w:val="0"/>
                <w:szCs w:val="21"/>
                <w:lang w:bidi="ar"/>
              </w:rPr>
              <w:t>一楼改造</w:t>
            </w: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b/>
                <w:bCs/>
                <w:color w:val="000000"/>
                <w:szCs w:val="21"/>
              </w:rPr>
            </w:pPr>
            <w:r>
              <w:rPr>
                <w:rFonts w:ascii="Times New Roman" w:hAnsi="Times New Roman" w:eastAsia="新宋体" w:cs="Times New Roman"/>
                <w:b/>
                <w:bCs/>
                <w:color w:val="000000"/>
                <w:kern w:val="0"/>
                <w:szCs w:val="21"/>
                <w:lang w:bidi="ar"/>
              </w:rPr>
              <w:t>（一）</w:t>
            </w:r>
          </w:p>
        </w:tc>
        <w:tc>
          <w:tcPr>
            <w:tcW w:w="468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新宋体" w:cs="Times New Roman"/>
                <w:b/>
                <w:bCs/>
                <w:color w:val="000000"/>
                <w:szCs w:val="21"/>
              </w:rPr>
            </w:pPr>
            <w:r>
              <w:rPr>
                <w:rFonts w:ascii="Times New Roman" w:hAnsi="Times New Roman" w:eastAsia="新宋体" w:cs="Times New Roman"/>
                <w:b/>
                <w:bCs/>
                <w:color w:val="000000"/>
                <w:kern w:val="0"/>
                <w:szCs w:val="21"/>
                <w:lang w:bidi="ar"/>
              </w:rPr>
              <w:t>拆建工程</w:t>
            </w: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1 </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原实验室地面凿平</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170.3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按实结算；凿后地面高度与相邻试验室保持一致</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2 </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地面水泥砂浆找平</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170.3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按实结算；不低于20mm厚</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3 </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原实验室墙面护墙板与墙体、顶面、门、窗拆除</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项</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清运到指定地点</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4 </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一楼净化板隔墙</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693.1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按实结算；隔墙高度4.8米；厚度50mm；防火：A1级、隔音：25db、芯材：高品质憎水岩板、颜色：提供小样选择；</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szCs w:val="21"/>
              </w:rPr>
              <w:t>莫干山、兔宝宝、伟业</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5 </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双开门配件</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套</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10.0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含安装门所需所有配件；标准锁具；铆钉标号5*13、5*30；自攻丝标准标号</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r>
              <w:rPr>
                <w:rFonts w:ascii="Times New Roman" w:hAnsi="Times New Roman" w:eastAsia="新宋体" w:cs="Times New Roman"/>
                <w:color w:val="000000"/>
                <w:szCs w:val="21"/>
              </w:rPr>
              <w:t>顶固、雅洁、坚朗</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6 </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单开门配件</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套</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含安装门所需所有配件；标准锁具；铆钉标号5*13、5*30；自攻丝标准标号</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r>
              <w:rPr>
                <w:rFonts w:ascii="Times New Roman" w:hAnsi="Times New Roman" w:eastAsia="新宋体" w:cs="Times New Roman"/>
                <w:color w:val="000000"/>
                <w:szCs w:val="21"/>
              </w:rPr>
              <w:t>顶固、雅洁、坚朗</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7 </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电磁振动室墙面消音处理</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22.8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轻钢龙骨打底，0.2mm厚隔音毡+1.2mm厚密度吸音板，或者0.8mm厚聚酯纤维吸音板(隔音玻璃墙)</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8 </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电梯井小红砖砌墙</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m</w:t>
            </w:r>
            <w:r>
              <w:rPr>
                <w:rStyle w:val="45"/>
                <w:rFonts w:hint="default" w:ascii="Times New Roman" w:hAnsi="Times New Roman" w:cs="Times New Roman"/>
                <w:sz w:val="21"/>
                <w:szCs w:val="21"/>
                <w:lang w:bidi="ar"/>
              </w:rPr>
              <w:t>2</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63.9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按实结算；含粉刷；小红砖10公分</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b/>
                <w:bCs/>
                <w:color w:val="000000"/>
                <w:szCs w:val="21"/>
              </w:rPr>
            </w:pPr>
            <w:r>
              <w:rPr>
                <w:rFonts w:ascii="Times New Roman" w:hAnsi="Times New Roman" w:eastAsia="新宋体" w:cs="Times New Roman"/>
                <w:b/>
                <w:bCs/>
                <w:color w:val="000000"/>
                <w:kern w:val="0"/>
                <w:szCs w:val="21"/>
                <w:lang w:bidi="ar"/>
              </w:rPr>
              <w:t>（二）</w:t>
            </w:r>
          </w:p>
        </w:tc>
        <w:tc>
          <w:tcPr>
            <w:tcW w:w="468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新宋体" w:cs="Times New Roman"/>
                <w:color w:val="000000"/>
                <w:szCs w:val="21"/>
              </w:rPr>
            </w:pPr>
            <w:r>
              <w:rPr>
                <w:rFonts w:ascii="Times New Roman" w:hAnsi="Times New Roman" w:eastAsia="新宋体" w:cs="Times New Roman"/>
                <w:b/>
                <w:bCs/>
                <w:color w:val="000000"/>
                <w:kern w:val="0"/>
                <w:szCs w:val="21"/>
                <w:lang w:bidi="ar"/>
              </w:rPr>
              <w:t>地面工程</w:t>
            </w: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9 </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地面地坪漆基层</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518.0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按实结算；将浮起的砂浆、旧环氧水泥结块等打磨平整，并且将其基层表面的浮灰、污染物等垃圾清理干净</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10 </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地面地坪漆</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518.0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按实结算；厚度2mm；地坪漆材质：高分子、颜色：绿色；耐磨性耐磨性（750g/500r）；工艺：一遍底漆，一遍中涂二遍面漆</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szCs w:val="21"/>
              </w:rPr>
              <w:t>立邦、多乐士、巴德士</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11 </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喷淋试验室</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新宋体" w:cs="Times New Roman"/>
                <w:color w:val="000000"/>
                <w:szCs w:val="21"/>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新宋体" w:cs="Times New Roman"/>
                <w:color w:val="000000"/>
                <w:szCs w:val="21"/>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imes New Roman" w:hAnsi="Times New Roman" w:eastAsia="新宋体" w:cs="Times New Roman"/>
                <w:color w:val="000000"/>
                <w:szCs w:val="21"/>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11.1</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排水沟下挖</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米</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16.3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按实结算；宽200mm*深100mm</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11.2</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排水沟盖板</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米</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16.3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按实结算；盖板材质：不锈钢</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11.3</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排水沟防水</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6.6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按实结算；侧面和地面三面防水</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11.4</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排水沟贴砖</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6.6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按实结算；尺寸暂定,含材料</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11.5</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喷淋试验室地面防水</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24.7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含防水材料和工艺</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r>
              <w:rPr>
                <w:rFonts w:ascii="Times New Roman" w:hAnsi="Times New Roman" w:eastAsia="新宋体" w:cs="Times New Roman"/>
                <w:color w:val="000000"/>
                <w:szCs w:val="21"/>
              </w:rPr>
              <w:t>东方雨虹、三棵树、亚士</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11.6</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喷淋试验室进门处地面抬高3公分，做防水坡</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6.0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含水泥黄沙等材料</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11.7</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喷淋试验室做防水四周做防水梁</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米</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19.6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双开门位置除外；防水梁规格尺寸：高200mm宽100mm</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12 </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喷淋试验室门槛石</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块</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人造大理石门槛石，颜色提供选样</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b/>
                <w:bCs/>
                <w:color w:val="000000"/>
                <w:szCs w:val="21"/>
              </w:rPr>
            </w:pPr>
            <w:r>
              <w:rPr>
                <w:rFonts w:ascii="Times New Roman" w:hAnsi="Times New Roman" w:eastAsia="新宋体" w:cs="Times New Roman"/>
                <w:b/>
                <w:bCs/>
                <w:color w:val="000000"/>
                <w:kern w:val="0"/>
                <w:szCs w:val="21"/>
                <w:lang w:bidi="ar"/>
              </w:rPr>
              <w:t>（三）</w:t>
            </w:r>
          </w:p>
        </w:tc>
        <w:tc>
          <w:tcPr>
            <w:tcW w:w="468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新宋体" w:cs="Times New Roman"/>
                <w:color w:val="000000"/>
                <w:szCs w:val="21"/>
              </w:rPr>
            </w:pPr>
            <w:r>
              <w:rPr>
                <w:rFonts w:ascii="Times New Roman" w:hAnsi="Times New Roman" w:eastAsia="新宋体" w:cs="Times New Roman"/>
                <w:b/>
                <w:bCs/>
                <w:color w:val="000000"/>
                <w:kern w:val="0"/>
                <w:szCs w:val="21"/>
                <w:lang w:bidi="ar"/>
              </w:rPr>
              <w:t>顶面工程</w:t>
            </w: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13 </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一楼顶面喷黑(灰）</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408.1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按实结算；现场调色，供甲方确认选择；低温成膜性：5℃甲醛含量：mg/kg≤50</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szCs w:val="21"/>
              </w:rPr>
              <w:t>多乐士、立邦、三棵树</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14 </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喷淋试验室净化板吊顶</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27.9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按实结算；三件套，吊丝0.8#国标；净化板材质：高品质玻镁、防火：A1级、颜色：提供小样选择</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szCs w:val="21"/>
              </w:rPr>
              <w:t>莫干山、兔宝宝、伟业</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15 </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走廊吊顶</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82.0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按实结算；30mm*30mm镀锌方钢龙骨，60mm*60cm*9mm矿棉板吊顶，含一切辅材</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b/>
                <w:bCs/>
                <w:color w:val="000000"/>
                <w:szCs w:val="21"/>
              </w:rPr>
            </w:pPr>
            <w:r>
              <w:rPr>
                <w:rFonts w:ascii="Times New Roman" w:hAnsi="Times New Roman" w:eastAsia="新宋体" w:cs="Times New Roman"/>
                <w:b/>
                <w:bCs/>
                <w:color w:val="000000"/>
                <w:kern w:val="0"/>
                <w:szCs w:val="21"/>
                <w:lang w:bidi="ar"/>
              </w:rPr>
              <w:t>（四）</w:t>
            </w:r>
          </w:p>
        </w:tc>
        <w:tc>
          <w:tcPr>
            <w:tcW w:w="468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新宋体" w:cs="Times New Roman"/>
                <w:color w:val="000000"/>
                <w:szCs w:val="21"/>
              </w:rPr>
            </w:pPr>
            <w:r>
              <w:rPr>
                <w:rFonts w:ascii="Times New Roman" w:hAnsi="Times New Roman" w:eastAsia="新宋体" w:cs="Times New Roman"/>
                <w:b/>
                <w:bCs/>
                <w:color w:val="000000"/>
                <w:kern w:val="0"/>
                <w:szCs w:val="21"/>
                <w:lang w:bidi="ar"/>
              </w:rPr>
              <w:t>卫生间工程</w:t>
            </w: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16 </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铝扣板吊顶</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6.2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300mm*300mm，0.5mm厚，铝扣板提供选样</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17 </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铝扣板吊顶配套灯</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只</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300mm*300mm配套灯，16瓦led灯具</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szCs w:val="21"/>
              </w:rPr>
              <w:t>欧普、雷士、飞利浦</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18 </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排气扇</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只</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300mm*300mm配套排气扇</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19 </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卫生间地面防水</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9.4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含防水材料和工艺；墙面刷到0.3米高</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r>
              <w:rPr>
                <w:rFonts w:ascii="Times New Roman" w:hAnsi="Times New Roman" w:eastAsia="新宋体" w:cs="Times New Roman"/>
                <w:color w:val="000000"/>
                <w:szCs w:val="21"/>
              </w:rPr>
              <w:t>东方雨虹、三棵树、亚士</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20 </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门槛石</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块</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人造大理石门槛石颜色提供选样</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21 </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成品台盆</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套</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长800mm*470mm，提供选样；含全铜水龙头、镜子及其他安装辅材</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22 </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小便池（立式自动）</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套</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立式，自动感应，规格为400mm*340mm*980mm，含安装辅材</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r>
              <w:rPr>
                <w:rFonts w:ascii="Times New Roman" w:hAnsi="Times New Roman" w:eastAsia="新宋体" w:cs="Times New Roman"/>
                <w:color w:val="000000"/>
                <w:szCs w:val="21"/>
              </w:rPr>
              <w:t>恒洁、九牧、东鹏</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23 </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蹲便器</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套</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提供选样</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r>
              <w:rPr>
                <w:rFonts w:ascii="Times New Roman" w:hAnsi="Times New Roman" w:eastAsia="新宋体" w:cs="Times New Roman"/>
                <w:color w:val="000000"/>
                <w:szCs w:val="21"/>
              </w:rPr>
              <w:t>恒洁、九牧、东鹏</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24 </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砌蹲坑地台</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个</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含小红砖等材料</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25 </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成品套装门</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樘</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木门，含门、门套及安装所需五金、辅材等</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b/>
                <w:bCs/>
                <w:color w:val="000000"/>
                <w:szCs w:val="21"/>
              </w:rPr>
            </w:pPr>
            <w:r>
              <w:rPr>
                <w:rFonts w:ascii="Times New Roman" w:hAnsi="Times New Roman" w:eastAsia="新宋体" w:cs="Times New Roman"/>
                <w:b/>
                <w:bCs/>
                <w:color w:val="000000"/>
                <w:kern w:val="0"/>
                <w:szCs w:val="21"/>
                <w:lang w:bidi="ar"/>
              </w:rPr>
              <w:t>（五）</w:t>
            </w:r>
          </w:p>
        </w:tc>
        <w:tc>
          <w:tcPr>
            <w:tcW w:w="468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新宋体" w:cs="Times New Roman"/>
                <w:color w:val="000000"/>
                <w:szCs w:val="21"/>
              </w:rPr>
            </w:pPr>
            <w:r>
              <w:rPr>
                <w:rFonts w:ascii="Times New Roman" w:hAnsi="Times New Roman" w:eastAsia="新宋体" w:cs="Times New Roman"/>
                <w:b/>
                <w:bCs/>
                <w:color w:val="000000"/>
                <w:kern w:val="0"/>
                <w:szCs w:val="21"/>
                <w:lang w:bidi="ar"/>
              </w:rPr>
              <w:t>楼梯间</w:t>
            </w: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26 </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楼梯不锈钢扶手</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米</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18.5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按实结算；不锈钢单边扶手；厚度：1.5mm</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27 </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踏步地坪漆</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m</w:t>
            </w:r>
            <w:r>
              <w:rPr>
                <w:rStyle w:val="45"/>
                <w:rFonts w:hint="default" w:ascii="Times New Roman" w:hAnsi="Times New Roman" w:cs="Times New Roman"/>
                <w:sz w:val="21"/>
                <w:szCs w:val="21"/>
                <w:lang w:bidi="ar"/>
              </w:rPr>
              <w:t>2</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21.5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按实结算；厚度2mm；地坪漆材质：高分子；颜色：绿色；耐磨性（750g/500r）；工艺：一遍底漆，一遍中涂二遍面漆</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szCs w:val="21"/>
              </w:rPr>
              <w:t>立邦、多乐士、巴德士</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b/>
                <w:bCs/>
                <w:color w:val="000000"/>
                <w:szCs w:val="21"/>
              </w:rPr>
            </w:pPr>
            <w:r>
              <w:rPr>
                <w:rFonts w:ascii="Times New Roman" w:hAnsi="Times New Roman" w:eastAsia="新宋体" w:cs="Times New Roman"/>
                <w:b/>
                <w:bCs/>
                <w:color w:val="000000"/>
                <w:kern w:val="0"/>
                <w:szCs w:val="21"/>
                <w:lang w:bidi="ar"/>
              </w:rPr>
              <w:t>二</w:t>
            </w:r>
          </w:p>
        </w:tc>
        <w:tc>
          <w:tcPr>
            <w:tcW w:w="468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r>
              <w:rPr>
                <w:rFonts w:ascii="Times New Roman" w:hAnsi="Times New Roman" w:eastAsia="新宋体" w:cs="Times New Roman"/>
                <w:b/>
                <w:bCs/>
                <w:color w:val="000000"/>
                <w:kern w:val="0"/>
                <w:szCs w:val="21"/>
                <w:lang w:bidi="ar"/>
              </w:rPr>
              <w:t>二楼改造</w:t>
            </w: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b/>
                <w:bCs/>
                <w:color w:val="000000"/>
                <w:szCs w:val="21"/>
              </w:rPr>
            </w:pPr>
            <w:r>
              <w:rPr>
                <w:rFonts w:ascii="Times New Roman" w:hAnsi="Times New Roman" w:eastAsia="新宋体" w:cs="Times New Roman"/>
                <w:b/>
                <w:bCs/>
                <w:color w:val="000000"/>
                <w:kern w:val="0"/>
                <w:szCs w:val="21"/>
                <w:lang w:bidi="ar"/>
              </w:rPr>
              <w:t>（六）</w:t>
            </w:r>
          </w:p>
        </w:tc>
        <w:tc>
          <w:tcPr>
            <w:tcW w:w="468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新宋体" w:cs="Times New Roman"/>
                <w:color w:val="000000"/>
                <w:szCs w:val="21"/>
              </w:rPr>
            </w:pPr>
            <w:r>
              <w:rPr>
                <w:rFonts w:ascii="Times New Roman" w:hAnsi="Times New Roman" w:eastAsia="新宋体" w:cs="Times New Roman"/>
                <w:b/>
                <w:bCs/>
                <w:color w:val="000000"/>
                <w:kern w:val="0"/>
                <w:szCs w:val="21"/>
                <w:lang w:bidi="ar"/>
              </w:rPr>
              <w:t>拆建工程</w:t>
            </w: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28 </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窗拆除</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项</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清运到指定地点</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29 </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二楼净化板隔墙</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481.6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按实结算；隔墙高度4.8米；厚度50mm；防火：A1级；隔音：不大于25db；芯材：高品质憎水岩板；颜色：提供小样选择</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r>
              <w:rPr>
                <w:rFonts w:ascii="Times New Roman" w:hAnsi="Times New Roman" w:eastAsia="新宋体" w:cs="Times New Roman"/>
                <w:color w:val="000000"/>
                <w:szCs w:val="21"/>
              </w:rPr>
              <w:t>莫干山、兔宝宝、伟业</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30 </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双开门配件</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套</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11.0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含安装门所需所有配件；标准锁具；铆钉标号5*13、5*30；自攻丝标准标号</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r>
              <w:rPr>
                <w:rFonts w:ascii="Times New Roman" w:hAnsi="Times New Roman" w:eastAsia="新宋体" w:cs="Times New Roman"/>
                <w:color w:val="000000"/>
                <w:szCs w:val="21"/>
              </w:rPr>
              <w:t>顶固、雅洁、坚朗</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31 </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钢制防火门</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套</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规格尺寸900mm*2100mm；框厚1.2mm，门扇5cm，耐火极限：甲级1.2小时；包含配套五金配件、防火门锁</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32 </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门禁系统(实验室过道入户门）</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项</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刷卡、刷脸、密码</w:t>
            </w:r>
          </w:p>
        </w:tc>
        <w:tc>
          <w:tcPr>
            <w:tcW w:w="3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新宋体" w:cs="Times New Roman"/>
                <w:color w:val="000000"/>
                <w:szCs w:val="21"/>
              </w:rPr>
            </w:pPr>
            <w:r>
              <w:rPr>
                <w:rFonts w:ascii="Times New Roman" w:hAnsi="Times New Roman" w:eastAsia="新宋体" w:cs="Times New Roman"/>
                <w:color w:val="000000"/>
                <w:szCs w:val="21"/>
              </w:rPr>
              <w:t>欧莱卡、西门子、达实智能</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b/>
                <w:bCs/>
                <w:color w:val="000000"/>
                <w:szCs w:val="21"/>
              </w:rPr>
            </w:pPr>
            <w:r>
              <w:rPr>
                <w:rFonts w:ascii="Times New Roman" w:hAnsi="Times New Roman" w:eastAsia="新宋体" w:cs="Times New Roman"/>
                <w:b/>
                <w:bCs/>
                <w:color w:val="000000"/>
                <w:kern w:val="0"/>
                <w:szCs w:val="21"/>
                <w:lang w:bidi="ar"/>
              </w:rPr>
              <w:t>（七）</w:t>
            </w:r>
          </w:p>
        </w:tc>
        <w:tc>
          <w:tcPr>
            <w:tcW w:w="468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新宋体" w:cs="Times New Roman"/>
                <w:color w:val="000000"/>
                <w:szCs w:val="21"/>
              </w:rPr>
            </w:pPr>
            <w:r>
              <w:rPr>
                <w:rFonts w:ascii="Times New Roman" w:hAnsi="Times New Roman" w:eastAsia="新宋体" w:cs="Times New Roman"/>
                <w:b/>
                <w:bCs/>
                <w:color w:val="000000"/>
                <w:kern w:val="0"/>
                <w:szCs w:val="21"/>
                <w:lang w:bidi="ar"/>
              </w:rPr>
              <w:t>地面工程</w:t>
            </w: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33 </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地面地坪漆基层</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509.7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按实结算；将浮起的砂浆、旧环氧水泥结块等打磨平整，并且将其基层表面的浮灰、污染物等垃圾清理干净</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34 </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地面地坪漆</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509.7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按实结算；厚度2MM；地坪漆材质：高分子；颜色：绿色；耐磨性耐磨性（750g/500r）；工艺：一遍底漆，一遍中涂二遍面漆</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szCs w:val="21"/>
              </w:rPr>
              <w:t>立邦、多乐士、巴德士</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Cs w:val="21"/>
              </w:rPr>
            </w:pPr>
            <w:r>
              <w:rPr>
                <w:rFonts w:ascii="Times New Roman" w:hAnsi="Times New Roman" w:eastAsia="宋体" w:cs="Times New Roman"/>
                <w:b/>
                <w:bCs/>
                <w:color w:val="000000"/>
                <w:kern w:val="0"/>
                <w:szCs w:val="21"/>
                <w:lang w:bidi="ar"/>
              </w:rPr>
              <w:t>（八）</w:t>
            </w:r>
          </w:p>
        </w:tc>
        <w:tc>
          <w:tcPr>
            <w:tcW w:w="468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新宋体" w:cs="Times New Roman"/>
                <w:color w:val="000000"/>
                <w:szCs w:val="21"/>
              </w:rPr>
            </w:pPr>
            <w:r>
              <w:rPr>
                <w:rFonts w:ascii="Times New Roman" w:hAnsi="Times New Roman" w:eastAsia="新宋体" w:cs="Times New Roman"/>
                <w:b/>
                <w:bCs/>
                <w:color w:val="000000"/>
                <w:kern w:val="0"/>
                <w:szCs w:val="21"/>
                <w:lang w:bidi="ar"/>
              </w:rPr>
              <w:t>墙顶面工程</w:t>
            </w: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35 </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吊顶</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518.2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按实结算；30mm*30mm镀锌方钢龙骨，60mm*60cm*9mm矿棉板吊顶，含一切辅材</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36 </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消音室墙和顶面消音处理</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63.5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按实结算；轻钢龙骨打底，0.2厚隔音毡+1.2厚密度吸音板，或者0.8厚聚酯纤维吸音板(隔音玻璃墙)</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37 </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消音室隔音门</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樘</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规格尺寸:900*2100、材质:桥洞力学板、隔音效果:25-33dB</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b/>
                <w:bCs/>
                <w:color w:val="000000"/>
                <w:szCs w:val="21"/>
              </w:rPr>
            </w:pPr>
            <w:r>
              <w:rPr>
                <w:rFonts w:ascii="Times New Roman" w:hAnsi="Times New Roman" w:eastAsia="新宋体" w:cs="Times New Roman"/>
                <w:b/>
                <w:bCs/>
                <w:color w:val="000000"/>
                <w:kern w:val="0"/>
                <w:szCs w:val="21"/>
                <w:lang w:bidi="ar"/>
              </w:rPr>
              <w:t>三</w:t>
            </w:r>
          </w:p>
        </w:tc>
        <w:tc>
          <w:tcPr>
            <w:tcW w:w="468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新宋体" w:cs="Times New Roman"/>
                <w:color w:val="000000"/>
                <w:szCs w:val="21"/>
              </w:rPr>
            </w:pPr>
            <w:r>
              <w:rPr>
                <w:rFonts w:ascii="Times New Roman" w:hAnsi="Times New Roman" w:eastAsia="新宋体" w:cs="Times New Roman"/>
                <w:b/>
                <w:bCs/>
                <w:color w:val="000000"/>
                <w:kern w:val="0"/>
                <w:szCs w:val="21"/>
                <w:lang w:bidi="ar"/>
              </w:rPr>
              <w:t>内外墙工程</w:t>
            </w: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38 </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外墙内侧墙体隔净化板</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1141.3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按实结算；隔墙高度8.3米；厚度50mm；防火：A1级、隔音：25db、芯材：高品质憎水岩板、颜色：提供小样选择（含冷却塔外围围挡2米高）</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szCs w:val="21"/>
              </w:rPr>
              <w:t>莫干山、兔宝宝、伟业</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39 </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外墙喷真石漆</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651.6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按实结算；厚度：2MM；批刮外墙腻子2道，辊涂抗碱封闭底漆，打磨边角及粗糙部位，喷涂真石漆，弹线部位粘贴胶带分格</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szCs w:val="21"/>
              </w:rPr>
              <w:t>立邦、多乐士、三棵树</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40 </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外墙喷真石漆基层处理</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651.6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按实结算；清洁墙面基础，处理墙面孔洞、裂缝等；采用刷一道水泥浆加20%胶液后抹1：3水泥砂浆进行局部勾抹修补；腻子基层的平整度和阴阳角垂直度批刮2遍，腻子打磨平整</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r>
              <w:rPr>
                <w:rFonts w:ascii="Times New Roman" w:hAnsi="Times New Roman" w:eastAsia="新宋体" w:cs="Times New Roman"/>
                <w:color w:val="000000"/>
                <w:szCs w:val="21"/>
              </w:rPr>
              <w:t>立邦、多乐士、三棵树</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41 </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外墙消防楼梯</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套</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1.平台：12槽钢和40角铁；2.楼梯两侧横梁：6mm厚平钢板；3.楼梯踏步：2.5mm厚花纹钢板 (楼梯踏步镂空)；4.立柱：4根（100mm*100mm*2mm）</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42 </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外墙消防楼梯雨棚</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3.2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按实结算；铝合金架子；PC耐力板</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43 </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外墙消防楼梯雨棚铡面固定基础</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项</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经验算基础规格、材料和安全承重满足要求</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44 </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一楼南外墙玻璃窗</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15.6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玻璃窗尺寸：卫生间1200mm*2000mm；楼梯间2000mm*2400mm；防腐试验室1200mm*2000mm  </w:t>
            </w:r>
            <w:r>
              <w:rPr>
                <w:rFonts w:ascii="Times New Roman" w:hAnsi="Times New Roman" w:eastAsia="新宋体" w:cs="Times New Roman"/>
                <w:color w:val="000000"/>
                <w:kern w:val="0"/>
                <w:szCs w:val="21"/>
                <w:lang w:bidi="ar"/>
              </w:rPr>
              <w:br w:type="textWrapping"/>
            </w:r>
            <w:r>
              <w:rPr>
                <w:rFonts w:ascii="Times New Roman" w:hAnsi="Times New Roman" w:eastAsia="新宋体" w:cs="Times New Roman"/>
                <w:color w:val="000000"/>
                <w:kern w:val="0"/>
                <w:szCs w:val="21"/>
                <w:lang w:bidi="ar"/>
              </w:rPr>
              <w:t>型材厚度1.4mm；玻璃5+12</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45 </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一楼北外墙玻璃窗</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24.0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玻璃窗尺寸3000mm*2000mm 型材厚度1.4mm 玻璃5+12</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46 </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二楼北外墙玻璃窗</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42.0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玻璃窗尺寸3000mm*2000mm 型材厚度1.4mm 玻璃5+12</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47 </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二楼南外墙玻璃窗</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7.7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玻璃窗尺寸1600mm*2400mm  型材厚度1.4mm 玻璃5+12</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48 </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防盗不锈钢窗护栏</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89.3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按实结算；不锈钢；厚度：0.45mm；2.5mm*2.5mm方管</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49 </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窗帘</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65.3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材质：绒布 遮光帘、耐火阻燃（含轨道或者罗马杆）</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50 </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12mm厚玻璃电动感应门</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17.5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门洞尺寸：5m*3.5m；槽钢结构；玻璃类型：12mm无框玻璃门；含配套电机等整套设备；</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szCs w:val="21"/>
              </w:rPr>
              <w:t>西门子、LG、三菱</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51 </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感应玻璃门不锈钢门套</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米</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12.0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门洞尺寸：5m*3.5m；厚度：0.8mm；不锈钢型号：201</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52 </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门禁系统</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项</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刷卡、刷脸、密码</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szCs w:val="21"/>
              </w:rPr>
              <w:t>欧莱卡、西门子、达实智能</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53 </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无框玻璃双开门</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6.0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门规格尺寸：2000mm*3000mm；10MM钢化玻璃；含地弹簧及门锁等</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54 </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玻璃门不锈钢门套</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m</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8.0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厚度：0.8mm；不锈钢型号：201</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Cs w:val="21"/>
              </w:rPr>
            </w:pPr>
            <w:r>
              <w:rPr>
                <w:rFonts w:ascii="Times New Roman" w:hAnsi="Times New Roman" w:eastAsia="宋体" w:cs="Times New Roman"/>
                <w:b/>
                <w:bCs/>
                <w:color w:val="000000"/>
                <w:kern w:val="0"/>
                <w:szCs w:val="21"/>
                <w:lang w:bidi="ar"/>
              </w:rPr>
              <w:t>四</w:t>
            </w:r>
          </w:p>
        </w:tc>
        <w:tc>
          <w:tcPr>
            <w:tcW w:w="468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b/>
                <w:bCs/>
                <w:color w:val="000000"/>
                <w:kern w:val="0"/>
                <w:szCs w:val="21"/>
                <w:lang w:bidi="ar"/>
              </w:rPr>
            </w:pPr>
            <w:r>
              <w:rPr>
                <w:rFonts w:ascii="Times New Roman" w:hAnsi="Times New Roman" w:eastAsia="新宋体" w:cs="Times New Roman"/>
                <w:b/>
                <w:bCs/>
                <w:color w:val="000000"/>
                <w:kern w:val="0"/>
                <w:szCs w:val="21"/>
                <w:lang w:bidi="ar"/>
              </w:rPr>
              <w:t>卷闸门</w:t>
            </w: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56 </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静音卷闸门</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16.8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砂尘试验室；尺寸3400mm*4500mm；厚度0.8mm；提升力600公斤；卷柱直径45公分；门重量每平方7公斤；控制：电控系统</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57 </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静音卷闸门</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13.4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按实结算；电梯；尺寸2700mm*4500mm；厚度0.8mm；提升力600公斤；卷柱直径45公分；门重量每平方7公斤，控制：电控系统</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58 </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静音卷闸门(带小门）</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22.3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环境室；尺寸4500mm*4500mm；厚度0.8mm；提升力600公斤；卷柱直径45公分；门重量每平方7公斤，控制：电控系统</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59 </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静音卷闸门(带小门）</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17.4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3M积分球室；尺寸3500mm*4500mm；厚度0.8mm；提升力600公斤；卷柱直径45公分；门重量每平方7公斤，控制：电控系统</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60 </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静音卷闸门电机</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项</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4.0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电机功率250w</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szCs w:val="21"/>
              </w:rPr>
              <w:t>西门子、LG、三菱</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kern w:val="0"/>
                <w:szCs w:val="21"/>
                <w:lang w:bidi="ar"/>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61 </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静音卷闸门(带小门）门框</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项</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2.0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洞口尺寸宽50公分，高1.7米,门边厚度1.7厚，门框材质：镀锌扁铁</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62 </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外墙开窗开门</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项</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按要求施工，垃圾清运到制定地点</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63 </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外墙修封原有门窗洞口</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项</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石膏板封洞</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64 </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外廊顶钢结构加固</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项</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对存在安全隐患的钢结构进行维修加固</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65 </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外廊顶棚喷真石漆</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336.0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按实结算；厚度：2mm；批刮外墙腻子2道，辊涂抗碱封闭底漆，打磨边角及粗糙部位，喷涂真石漆，弹线部位粘贴胶带分格</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szCs w:val="21"/>
              </w:rPr>
              <w:t>多乐士、立邦、三棵树</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66 </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外廊顶棚喷真石漆基层处理</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336.0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按实结算；清洁墙面基础，处理墙面孔洞、裂缝等；采用刷一道水泥浆加20%胶液后抹1：3水泥砂浆进行局部勾抹修补；腻子基层的平整度和阴阳角垂直度批刮2遍，腻子打磨平整</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b/>
                <w:bCs/>
                <w:color w:val="000000"/>
                <w:szCs w:val="21"/>
              </w:rPr>
            </w:pPr>
            <w:r>
              <w:rPr>
                <w:rFonts w:ascii="Times New Roman" w:hAnsi="Times New Roman" w:eastAsia="新宋体" w:cs="Times New Roman"/>
                <w:b/>
                <w:bCs/>
                <w:color w:val="000000"/>
                <w:kern w:val="0"/>
                <w:szCs w:val="21"/>
                <w:lang w:bidi="ar"/>
              </w:rPr>
              <w:t>五</w:t>
            </w:r>
          </w:p>
        </w:tc>
        <w:tc>
          <w:tcPr>
            <w:tcW w:w="468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b/>
                <w:bCs/>
                <w:color w:val="000000"/>
                <w:kern w:val="0"/>
                <w:szCs w:val="21"/>
                <w:lang w:bidi="ar"/>
              </w:rPr>
              <w:t>钢结构土建工程</w:t>
            </w: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67 </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地基基础及梁柱</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511.0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按实结算；</w:t>
            </w:r>
            <w:r>
              <w:rPr>
                <w:rFonts w:ascii="Times New Roman" w:hAnsi="Times New Roman" w:eastAsia="新宋体" w:cs="Times New Roman"/>
                <w:b/>
                <w:bCs/>
                <w:color w:val="000000"/>
                <w:kern w:val="0"/>
                <w:szCs w:val="21"/>
                <w:lang w:bidi="ar"/>
              </w:rPr>
              <w:t>将现有仓库分隔成两层，一楼层高4.8米，二楼层高3.5米；</w:t>
            </w:r>
            <w:r>
              <w:rPr>
                <w:rFonts w:ascii="Times New Roman" w:hAnsi="Times New Roman" w:eastAsia="新宋体" w:cs="Times New Roman"/>
                <w:color w:val="000000"/>
                <w:kern w:val="0"/>
                <w:szCs w:val="21"/>
                <w:lang w:bidi="ar"/>
              </w:rPr>
              <w:t>含地基基础、立柱和梁，C30混凝土；28天养护；经验算用料规格型号和安全承重满足要求；新建钢结构混凝土结构单独成型和受力，不改变现有钢结构形式，不增加新受力点，不影响现有建筑结构安全</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68 </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现浇楼板</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511.0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按实结算；</w:t>
            </w:r>
            <w:r>
              <w:rPr>
                <w:rFonts w:ascii="Times New Roman" w:hAnsi="Times New Roman" w:eastAsia="新宋体" w:cs="Times New Roman"/>
                <w:b/>
                <w:bCs/>
                <w:color w:val="000000"/>
                <w:kern w:val="0"/>
                <w:szCs w:val="21"/>
                <w:lang w:bidi="ar"/>
              </w:rPr>
              <w:t>将现有仓库分隔成两层，一楼层高4.8米，二楼层高3.5米；</w:t>
            </w:r>
            <w:r>
              <w:rPr>
                <w:rFonts w:ascii="Times New Roman" w:hAnsi="Times New Roman" w:eastAsia="新宋体" w:cs="Times New Roman"/>
                <w:color w:val="000000"/>
                <w:kern w:val="0"/>
                <w:szCs w:val="21"/>
                <w:lang w:bidi="ar"/>
              </w:rPr>
              <w:t>楼板厚度：15公分；C30混凝土；28天养护；经验算用料规格型号和安全承重满足要求；新建钢结构混凝土结构单独成型和受力，不改变现有钢结构形式，不增加新受力点，不影响现有建筑结构安全</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69 </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楼梯</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步</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34.0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经验算用料规格型号和安全承重满足要求，不影响现有建筑结构安全</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70 </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 w:val="28"/>
                <w:szCs w:val="28"/>
              </w:rPr>
            </w:pPr>
            <w:r>
              <w:rPr>
                <w:rFonts w:ascii="Times New Roman" w:hAnsi="Times New Roman" w:eastAsia="新宋体" w:cs="Times New Roman"/>
                <w:color w:val="000000"/>
                <w:kern w:val="0"/>
                <w:szCs w:val="21"/>
                <w:lang w:bidi="ar"/>
              </w:rPr>
              <w:t>混凝土地面找平</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150.0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按实结算；实验室东、北两侧混凝土地面找平，C30混凝土，平均厚度100mm</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71 </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万能试验机基础</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个</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3.0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按图纸施工，钢筋、混凝土、基础尺寸和强度满足要求</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b/>
                <w:bCs/>
                <w:color w:val="000000"/>
                <w:szCs w:val="21"/>
              </w:rPr>
            </w:pPr>
            <w:r>
              <w:rPr>
                <w:rFonts w:ascii="Times New Roman" w:hAnsi="Times New Roman" w:eastAsia="新宋体" w:cs="Times New Roman"/>
                <w:b/>
                <w:bCs/>
                <w:color w:val="000000"/>
                <w:kern w:val="0"/>
                <w:szCs w:val="21"/>
                <w:lang w:bidi="ar"/>
              </w:rPr>
              <w:t>六</w:t>
            </w:r>
          </w:p>
        </w:tc>
        <w:tc>
          <w:tcPr>
            <w:tcW w:w="468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b/>
                <w:bCs/>
                <w:color w:val="000000"/>
                <w:kern w:val="0"/>
                <w:szCs w:val="21"/>
                <w:lang w:bidi="ar"/>
              </w:rPr>
              <w:t>其它</w:t>
            </w: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72 </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实验桌</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米</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41.2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按实结算；成品定制；台面宽度800mm；高度800mm；金属骨架，实验室专用镀锌钢架（40mm*60mm*1.5mm），承重力强；大理石台面；柜体、门板及抽面为优质环保时尚蓝三聚氰胺板；滑轨采用三节静音滚珠滑轨；铰链采用优质铰链，开启110゜，拉手采用一体成型式槽拉手或不锈钢拉手；整体美观</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73 </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升降梯</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升降台框架120mm*60mm*5mm方管；升降台面板</w:t>
            </w:r>
            <w:r>
              <w:rPr>
                <w:rStyle w:val="46"/>
                <w:rFonts w:ascii="Times New Roman" w:hAnsi="Times New Roman" w:eastAsia="新宋体" w:cs="Times New Roman"/>
                <w:sz w:val="21"/>
                <w:szCs w:val="21"/>
                <w:lang w:bidi="ar"/>
              </w:rPr>
              <w:t>Δ</w:t>
            </w:r>
            <w:r>
              <w:rPr>
                <w:rFonts w:ascii="Times New Roman" w:hAnsi="Times New Roman" w:eastAsia="新宋体" w:cs="Times New Roman"/>
                <w:color w:val="000000"/>
                <w:kern w:val="0"/>
                <w:szCs w:val="21"/>
                <w:lang w:bidi="ar"/>
              </w:rPr>
              <w:t>4mm花纹钢板；尺寸：2400*3100mm；承重2000kg；带自动两侧双开单控卷帘门</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74 </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暗室遮光、吸光布</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420.0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按实结算；双层黑色绒布，一层遮光，一层吸光，含安装辅材/材质：麻布</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75 </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排烟系统</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套</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2.0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不锈钢烟罩800mm*500mm；管道直径200mm，风机功率：0.55千瓦，风量：5000风量</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76 </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排气扇</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个</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5.0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沙尘实验室并排两个，喷淋实验室并排两个，循环烟雾实验室1个加长排烟管，加墙面开孔；排气扇规格尺寸：300*300功率：40瓦</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szCs w:val="21"/>
              </w:rPr>
              <w:t>绿岛风、正野、雷士</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77 </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直饮机</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立式尺寸：500mm*170mm*430mm 功率：2200W 过滤精度：0.0001</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szCs w:val="21"/>
              </w:rPr>
              <w:t>美的、3M、史密斯</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78 </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台盆</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个</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3.0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不锈钢台盆；含高杆水龙头及其他配件；台盆规格尺寸：750mm*410mm</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r>
      <w:tr>
        <w:tblPrEx>
          <w:tblCellMar>
            <w:top w:w="0" w:type="dxa"/>
            <w:left w:w="108" w:type="dxa"/>
            <w:bottom w:w="0" w:type="dxa"/>
            <w:right w:w="108" w:type="dxa"/>
          </w:tblCellMar>
        </w:tblPrEx>
        <w:trPr>
          <w:trHeight w:val="680" w:hRule="atLeast"/>
        </w:trPr>
        <w:tc>
          <w:tcPr>
            <w:tcW w:w="194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新宋体" w:cs="Times New Roman"/>
                <w:b/>
                <w:bCs/>
                <w:color w:val="000000"/>
                <w:szCs w:val="21"/>
              </w:rPr>
            </w:pPr>
            <w:r>
              <w:rPr>
                <w:rFonts w:ascii="Times New Roman" w:hAnsi="Times New Roman" w:eastAsia="新宋体" w:cs="Times New Roman"/>
                <w:b/>
                <w:bCs/>
                <w:color w:val="000000"/>
                <w:kern w:val="0"/>
                <w:szCs w:val="21"/>
                <w:lang w:bidi="ar"/>
              </w:rPr>
              <w:t>总计（元）</w:t>
            </w:r>
          </w:p>
        </w:tc>
        <w:tc>
          <w:tcPr>
            <w:tcW w:w="305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新宋体" w:cs="Times New Roman"/>
                <w:b/>
                <w:bCs/>
                <w:color w:val="000000"/>
                <w:szCs w:val="21"/>
              </w:rPr>
            </w:pPr>
            <w:r>
              <w:rPr>
                <w:rFonts w:ascii="Times New Roman" w:hAnsi="Times New Roman" w:eastAsia="新宋体" w:cs="Times New Roman"/>
                <w:b/>
                <w:bCs/>
                <w:color w:val="000000"/>
                <w:kern w:val="0"/>
                <w:szCs w:val="21"/>
                <w:lang w:bidi="ar"/>
              </w:rPr>
              <w:t xml:space="preserve"> </w:t>
            </w:r>
          </w:p>
        </w:tc>
      </w:tr>
    </w:tbl>
    <w:p>
      <w:pPr>
        <w:rPr>
          <w:rFonts w:ascii="Times New Roman" w:hAnsi="Times New Roman" w:cs="Times New Roman"/>
          <w:sz w:val="28"/>
          <w:szCs w:val="36"/>
        </w:rPr>
      </w:pPr>
      <w:r>
        <w:rPr>
          <w:rFonts w:ascii="Times New Roman" w:hAnsi="Times New Roman" w:cs="Times New Roman"/>
          <w:sz w:val="28"/>
          <w:szCs w:val="36"/>
        </w:rPr>
        <w:br w:type="page"/>
      </w:r>
    </w:p>
    <w:p>
      <w:pPr>
        <w:pStyle w:val="2"/>
        <w:spacing w:after="0" w:line="360" w:lineRule="auto"/>
        <w:jc w:val="center"/>
        <w:rPr>
          <w:rFonts w:ascii="Times New Roman" w:hAnsi="Times New Roman" w:cs="Times New Roman"/>
          <w:sz w:val="28"/>
          <w:szCs w:val="36"/>
        </w:rPr>
      </w:pPr>
      <w:r>
        <w:rPr>
          <w:rFonts w:ascii="Times New Roman" w:hAnsi="Times New Roman" w:cs="Times New Roman"/>
          <w:sz w:val="28"/>
          <w:szCs w:val="36"/>
        </w:rPr>
        <w:t>表三 水电工程分项报价表</w:t>
      </w:r>
    </w:p>
    <w:tbl>
      <w:tblPr>
        <w:tblStyle w:val="20"/>
        <w:tblW w:w="4996"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691"/>
        <w:gridCol w:w="1736"/>
        <w:gridCol w:w="660"/>
        <w:gridCol w:w="1144"/>
        <w:gridCol w:w="1275"/>
        <w:gridCol w:w="1691"/>
        <w:gridCol w:w="3402"/>
        <w:gridCol w:w="1782"/>
        <w:gridCol w:w="178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44" w:type="pct"/>
            <w:tcBorders>
              <w:top w:val="single" w:color="000000" w:sz="8" w:space="0"/>
              <w:left w:val="single" w:color="000000" w:sz="8"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b/>
                <w:bCs/>
                <w:color w:val="000000"/>
                <w:szCs w:val="21"/>
              </w:rPr>
            </w:pPr>
            <w:r>
              <w:rPr>
                <w:rFonts w:ascii="Times New Roman" w:hAnsi="Times New Roman" w:eastAsia="新宋体" w:cs="Times New Roman"/>
                <w:b/>
                <w:bCs/>
                <w:color w:val="000000"/>
                <w:kern w:val="0"/>
                <w:szCs w:val="21"/>
                <w:lang w:bidi="ar"/>
              </w:rPr>
              <w:t>序号</w:t>
            </w:r>
          </w:p>
        </w:tc>
        <w:tc>
          <w:tcPr>
            <w:tcW w:w="613" w:type="pct"/>
            <w:tcBorders>
              <w:top w:val="single" w:color="000000" w:sz="8" w:space="0"/>
              <w:left w:val="single" w:color="000000" w:sz="6" w:space="0"/>
              <w:bottom w:val="single" w:color="000000" w:sz="6" w:space="0"/>
              <w:right w:val="single" w:color="000000" w:sz="6" w:space="0"/>
              <w:tl2br w:val="nil"/>
              <w:tr2bl w:val="nil"/>
            </w:tcBorders>
            <w:shd w:val="clear" w:color="auto" w:fill="auto"/>
            <w:noWrap/>
            <w:vAlign w:val="center"/>
          </w:tcPr>
          <w:p>
            <w:pPr>
              <w:widowControl/>
              <w:jc w:val="center"/>
              <w:textAlignment w:val="center"/>
              <w:rPr>
                <w:rFonts w:ascii="Times New Roman" w:hAnsi="Times New Roman" w:eastAsia="新宋体" w:cs="Times New Roman"/>
                <w:b/>
                <w:bCs/>
                <w:color w:val="000000"/>
                <w:szCs w:val="21"/>
              </w:rPr>
            </w:pPr>
            <w:r>
              <w:rPr>
                <w:rFonts w:ascii="Times New Roman" w:hAnsi="Times New Roman" w:eastAsia="新宋体" w:cs="Times New Roman"/>
                <w:b/>
                <w:bCs/>
                <w:color w:val="000000"/>
                <w:kern w:val="0"/>
                <w:szCs w:val="21"/>
                <w:lang w:bidi="ar"/>
              </w:rPr>
              <w:t>项目名称</w:t>
            </w:r>
          </w:p>
        </w:tc>
        <w:tc>
          <w:tcPr>
            <w:tcW w:w="233" w:type="pct"/>
            <w:tcBorders>
              <w:top w:val="single" w:color="000000" w:sz="8" w:space="0"/>
              <w:left w:val="single" w:color="000000" w:sz="6" w:space="0"/>
              <w:bottom w:val="single" w:color="000000" w:sz="6" w:space="0"/>
              <w:right w:val="single" w:color="000000" w:sz="6" w:space="0"/>
              <w:tl2br w:val="nil"/>
              <w:tr2bl w:val="nil"/>
            </w:tcBorders>
            <w:shd w:val="clear" w:color="auto" w:fill="auto"/>
            <w:noWrap/>
            <w:vAlign w:val="center"/>
          </w:tcPr>
          <w:p>
            <w:pPr>
              <w:widowControl/>
              <w:jc w:val="center"/>
              <w:textAlignment w:val="center"/>
              <w:rPr>
                <w:rFonts w:ascii="Times New Roman" w:hAnsi="Times New Roman" w:eastAsia="新宋体" w:cs="Times New Roman"/>
                <w:b/>
                <w:bCs/>
                <w:color w:val="000000"/>
                <w:szCs w:val="21"/>
              </w:rPr>
            </w:pPr>
            <w:r>
              <w:rPr>
                <w:rFonts w:ascii="Times New Roman" w:hAnsi="Times New Roman" w:eastAsia="新宋体" w:cs="Times New Roman"/>
                <w:b/>
                <w:bCs/>
                <w:color w:val="000000"/>
                <w:kern w:val="0"/>
                <w:szCs w:val="21"/>
                <w:lang w:bidi="ar"/>
              </w:rPr>
              <w:t>单位</w:t>
            </w:r>
          </w:p>
        </w:tc>
        <w:tc>
          <w:tcPr>
            <w:tcW w:w="404" w:type="pct"/>
            <w:tcBorders>
              <w:top w:val="single" w:color="000000" w:sz="8" w:space="0"/>
              <w:left w:val="single" w:color="000000" w:sz="6" w:space="0"/>
              <w:bottom w:val="single" w:color="000000" w:sz="6" w:space="0"/>
              <w:right w:val="single" w:color="000000" w:sz="6" w:space="0"/>
              <w:tl2br w:val="nil"/>
              <w:tr2bl w:val="nil"/>
            </w:tcBorders>
            <w:shd w:val="clear" w:color="auto" w:fill="auto"/>
            <w:noWrap/>
            <w:vAlign w:val="center"/>
          </w:tcPr>
          <w:p>
            <w:pPr>
              <w:widowControl/>
              <w:jc w:val="center"/>
              <w:textAlignment w:val="center"/>
              <w:rPr>
                <w:rFonts w:ascii="Times New Roman" w:hAnsi="Times New Roman" w:eastAsia="新宋体" w:cs="Times New Roman"/>
                <w:b/>
                <w:bCs/>
                <w:color w:val="000000"/>
                <w:szCs w:val="21"/>
              </w:rPr>
            </w:pPr>
            <w:r>
              <w:rPr>
                <w:rFonts w:ascii="Times New Roman" w:hAnsi="Times New Roman" w:eastAsia="新宋体" w:cs="Times New Roman"/>
                <w:b/>
                <w:bCs/>
                <w:color w:val="000000"/>
                <w:kern w:val="0"/>
                <w:szCs w:val="21"/>
                <w:lang w:bidi="ar"/>
              </w:rPr>
              <w:t>数量</w:t>
            </w:r>
          </w:p>
        </w:tc>
        <w:tc>
          <w:tcPr>
            <w:tcW w:w="449" w:type="pct"/>
            <w:tcBorders>
              <w:top w:val="single" w:color="000000" w:sz="8" w:space="0"/>
              <w:left w:val="single" w:color="000000" w:sz="6" w:space="0"/>
              <w:bottom w:val="single" w:color="000000" w:sz="6" w:space="0"/>
              <w:right w:val="single" w:color="000000" w:sz="6" w:space="0"/>
              <w:tl2br w:val="nil"/>
              <w:tr2bl w:val="nil"/>
            </w:tcBorders>
            <w:shd w:val="clear" w:color="auto" w:fill="auto"/>
            <w:noWrap/>
            <w:vAlign w:val="center"/>
          </w:tcPr>
          <w:p>
            <w:pPr>
              <w:widowControl/>
              <w:jc w:val="center"/>
              <w:textAlignment w:val="center"/>
              <w:rPr>
                <w:rFonts w:ascii="Times New Roman" w:hAnsi="Times New Roman" w:eastAsia="新宋体" w:cs="Times New Roman"/>
                <w:b/>
                <w:bCs/>
                <w:color w:val="000000"/>
                <w:szCs w:val="21"/>
              </w:rPr>
            </w:pPr>
            <w:r>
              <w:rPr>
                <w:rFonts w:ascii="Times New Roman" w:hAnsi="Times New Roman" w:eastAsia="新宋体" w:cs="Times New Roman"/>
                <w:b/>
                <w:bCs/>
                <w:color w:val="000000"/>
                <w:kern w:val="0"/>
                <w:szCs w:val="21"/>
                <w:lang w:bidi="ar"/>
              </w:rPr>
              <w:t>单价（元）</w:t>
            </w:r>
          </w:p>
        </w:tc>
        <w:tc>
          <w:tcPr>
            <w:tcW w:w="597" w:type="pct"/>
            <w:tcBorders>
              <w:top w:val="single" w:color="000000" w:sz="8" w:space="0"/>
              <w:left w:val="single" w:color="000000" w:sz="6" w:space="0"/>
              <w:bottom w:val="single" w:color="000000" w:sz="6" w:space="0"/>
              <w:right w:val="single" w:color="000000" w:sz="6" w:space="0"/>
              <w:tl2br w:val="nil"/>
              <w:tr2bl w:val="nil"/>
            </w:tcBorders>
            <w:shd w:val="clear" w:color="auto" w:fill="auto"/>
            <w:noWrap/>
            <w:vAlign w:val="center"/>
          </w:tcPr>
          <w:p>
            <w:pPr>
              <w:widowControl/>
              <w:jc w:val="center"/>
              <w:textAlignment w:val="center"/>
              <w:rPr>
                <w:rFonts w:ascii="Times New Roman" w:hAnsi="Times New Roman" w:eastAsia="新宋体" w:cs="Times New Roman"/>
                <w:b/>
                <w:bCs/>
                <w:color w:val="000000"/>
                <w:szCs w:val="21"/>
              </w:rPr>
            </w:pPr>
            <w:r>
              <w:rPr>
                <w:rFonts w:ascii="Times New Roman" w:hAnsi="Times New Roman" w:eastAsia="新宋体" w:cs="Times New Roman"/>
                <w:b/>
                <w:bCs/>
                <w:color w:val="000000"/>
                <w:kern w:val="0"/>
                <w:szCs w:val="21"/>
                <w:lang w:bidi="ar"/>
              </w:rPr>
              <w:t>金额（元）</w:t>
            </w:r>
          </w:p>
        </w:tc>
        <w:tc>
          <w:tcPr>
            <w:tcW w:w="1201" w:type="pct"/>
            <w:tcBorders>
              <w:top w:val="single" w:color="000000" w:sz="8" w:space="0"/>
              <w:left w:val="single" w:color="000000" w:sz="6" w:space="0"/>
              <w:bottom w:val="single" w:color="000000" w:sz="6" w:space="0"/>
              <w:right w:val="single" w:color="000000" w:sz="6" w:space="0"/>
              <w:tl2br w:val="nil"/>
              <w:tr2bl w:val="nil"/>
            </w:tcBorders>
            <w:shd w:val="clear" w:color="auto" w:fill="auto"/>
            <w:noWrap/>
            <w:vAlign w:val="center"/>
          </w:tcPr>
          <w:p>
            <w:pPr>
              <w:widowControl/>
              <w:jc w:val="center"/>
              <w:textAlignment w:val="center"/>
              <w:rPr>
                <w:rFonts w:ascii="Times New Roman" w:hAnsi="Times New Roman" w:eastAsia="新宋体" w:cs="Times New Roman"/>
                <w:b/>
                <w:bCs/>
                <w:color w:val="000000"/>
                <w:szCs w:val="21"/>
              </w:rPr>
            </w:pPr>
            <w:r>
              <w:rPr>
                <w:rFonts w:ascii="Times New Roman" w:hAnsi="Times New Roman" w:eastAsia="新宋体" w:cs="Times New Roman"/>
                <w:b/>
                <w:bCs/>
                <w:color w:val="000000"/>
                <w:kern w:val="0"/>
                <w:szCs w:val="21"/>
                <w:lang w:bidi="ar"/>
              </w:rPr>
              <w:t>技术要求</w:t>
            </w:r>
          </w:p>
        </w:tc>
        <w:tc>
          <w:tcPr>
            <w:tcW w:w="629" w:type="pct"/>
            <w:tcBorders>
              <w:top w:val="single" w:color="000000" w:sz="8" w:space="0"/>
              <w:left w:val="single" w:color="000000" w:sz="6" w:space="0"/>
              <w:bottom w:val="single" w:color="000000" w:sz="6" w:space="0"/>
              <w:right w:val="single" w:color="000000" w:sz="6" w:space="0"/>
              <w:tl2br w:val="nil"/>
              <w:tr2bl w:val="nil"/>
            </w:tcBorders>
            <w:shd w:val="clear" w:color="auto" w:fill="auto"/>
            <w:noWrap/>
            <w:vAlign w:val="center"/>
          </w:tcPr>
          <w:p>
            <w:pPr>
              <w:widowControl/>
              <w:jc w:val="center"/>
              <w:textAlignment w:val="center"/>
              <w:rPr>
                <w:rFonts w:ascii="Times New Roman" w:hAnsi="Times New Roman" w:eastAsia="新宋体" w:cs="Times New Roman"/>
                <w:b/>
                <w:bCs/>
                <w:color w:val="000000"/>
                <w:szCs w:val="21"/>
              </w:rPr>
            </w:pPr>
            <w:r>
              <w:rPr>
                <w:rFonts w:ascii="Times New Roman" w:hAnsi="Times New Roman" w:eastAsia="新宋体" w:cs="Times New Roman"/>
                <w:b/>
                <w:bCs/>
                <w:color w:val="000000"/>
                <w:kern w:val="0"/>
                <w:szCs w:val="21"/>
                <w:lang w:bidi="ar"/>
              </w:rPr>
              <w:t>品牌</w:t>
            </w:r>
          </w:p>
        </w:tc>
        <w:tc>
          <w:tcPr>
            <w:tcW w:w="629" w:type="pct"/>
            <w:tcBorders>
              <w:top w:val="single" w:color="000000" w:sz="8" w:space="0"/>
              <w:left w:val="single" w:color="000000" w:sz="6" w:space="0"/>
              <w:bottom w:val="single" w:color="000000" w:sz="6" w:space="0"/>
              <w:right w:val="single" w:color="000000" w:sz="8" w:space="0"/>
              <w:tl2br w:val="nil"/>
              <w:tr2bl w:val="nil"/>
            </w:tcBorders>
            <w:shd w:val="clear" w:color="auto" w:fill="auto"/>
            <w:noWrap/>
            <w:vAlign w:val="center"/>
          </w:tcPr>
          <w:p>
            <w:pPr>
              <w:widowControl/>
              <w:jc w:val="center"/>
              <w:textAlignment w:val="center"/>
              <w:rPr>
                <w:rFonts w:ascii="Times New Roman" w:hAnsi="Times New Roman" w:eastAsia="新宋体" w:cs="Times New Roman"/>
                <w:b/>
                <w:bCs/>
                <w:color w:val="000000"/>
                <w:kern w:val="0"/>
                <w:szCs w:val="21"/>
                <w:lang w:bidi="ar"/>
              </w:rPr>
            </w:pPr>
            <w:r>
              <w:rPr>
                <w:rFonts w:ascii="Times New Roman" w:hAnsi="Times New Roman" w:eastAsia="新宋体" w:cs="Times New Roman"/>
                <w:b/>
                <w:bCs/>
                <w:color w:val="000000"/>
                <w:kern w:val="0"/>
                <w:szCs w:val="21"/>
                <w:lang w:bidi="ar"/>
              </w:rPr>
              <w:t>规格型号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44" w:type="pct"/>
            <w:tcBorders>
              <w:top w:val="single" w:color="000000" w:sz="6" w:space="0"/>
              <w:left w:val="single" w:color="000000" w:sz="8"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1 </w:t>
            </w:r>
          </w:p>
        </w:tc>
        <w:tc>
          <w:tcPr>
            <w:tcW w:w="613"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线盒</w:t>
            </w:r>
          </w:p>
        </w:tc>
        <w:tc>
          <w:tcPr>
            <w:tcW w:w="233"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个</w:t>
            </w:r>
          </w:p>
        </w:tc>
        <w:tc>
          <w:tcPr>
            <w:tcW w:w="404"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550.0 </w:t>
            </w:r>
          </w:p>
        </w:tc>
        <w:tc>
          <w:tcPr>
            <w:tcW w:w="449"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97"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201"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 按实结算</w:t>
            </w:r>
          </w:p>
        </w:tc>
        <w:tc>
          <w:tcPr>
            <w:tcW w:w="629"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jc w:val="left"/>
              <w:rPr>
                <w:rFonts w:ascii="Times New Roman" w:hAnsi="Times New Roman" w:eastAsia="新宋体" w:cs="Times New Roman"/>
                <w:color w:val="000000"/>
                <w:szCs w:val="21"/>
              </w:rPr>
            </w:pPr>
          </w:p>
        </w:tc>
        <w:tc>
          <w:tcPr>
            <w:tcW w:w="629" w:type="pct"/>
            <w:tcBorders>
              <w:top w:val="single" w:color="000000" w:sz="6" w:space="0"/>
              <w:left w:val="single" w:color="000000" w:sz="6" w:space="0"/>
              <w:bottom w:val="single" w:color="000000" w:sz="6" w:space="0"/>
              <w:right w:val="single" w:color="000000" w:sz="8" w:space="0"/>
              <w:tl2br w:val="nil"/>
              <w:tr2bl w:val="nil"/>
            </w:tcBorders>
            <w:shd w:val="clear" w:color="auto" w:fill="auto"/>
            <w:vAlign w:val="center"/>
          </w:tcPr>
          <w:p>
            <w:pPr>
              <w:jc w:val="left"/>
              <w:rPr>
                <w:rFonts w:ascii="Times New Roman" w:hAnsi="Times New Roman" w:eastAsia="新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44" w:type="pct"/>
            <w:tcBorders>
              <w:top w:val="single" w:color="000000" w:sz="6" w:space="0"/>
              <w:left w:val="single" w:color="000000" w:sz="8"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2 </w:t>
            </w:r>
          </w:p>
        </w:tc>
        <w:tc>
          <w:tcPr>
            <w:tcW w:w="613"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20PVC线管</w:t>
            </w:r>
          </w:p>
        </w:tc>
        <w:tc>
          <w:tcPr>
            <w:tcW w:w="233" w:type="pct"/>
            <w:tcBorders>
              <w:top w:val="single" w:color="000000" w:sz="6" w:space="0"/>
              <w:left w:val="single" w:color="000000" w:sz="6" w:space="0"/>
              <w:bottom w:val="single" w:color="000000" w:sz="6" w:space="0"/>
              <w:right w:val="single" w:color="000000" w:sz="6" w:space="0"/>
              <w:tl2br w:val="nil"/>
              <w:tr2bl w:val="nil"/>
            </w:tcBorders>
            <w:shd w:val="clear" w:color="auto" w:fill="FFFFFF"/>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米</w:t>
            </w:r>
          </w:p>
        </w:tc>
        <w:tc>
          <w:tcPr>
            <w:tcW w:w="404"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750.0 </w:t>
            </w:r>
          </w:p>
        </w:tc>
        <w:tc>
          <w:tcPr>
            <w:tcW w:w="449"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97"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201"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 按实结算</w:t>
            </w:r>
          </w:p>
        </w:tc>
        <w:tc>
          <w:tcPr>
            <w:tcW w:w="629" w:type="pct"/>
            <w:tcBorders>
              <w:top w:val="single" w:color="000000" w:sz="6" w:space="0"/>
              <w:left w:val="single" w:color="000000" w:sz="6" w:space="0"/>
              <w:bottom w:val="single" w:color="000000" w:sz="6" w:space="0"/>
              <w:right w:val="single" w:color="000000" w:sz="6" w:space="0"/>
              <w:tl2br w:val="nil"/>
              <w:tr2bl w:val="nil"/>
            </w:tcBorders>
            <w:shd w:val="clear" w:color="auto" w:fill="FFFFFF"/>
            <w:vAlign w:val="center"/>
          </w:tcPr>
          <w:p>
            <w:pPr>
              <w:widowControl/>
              <w:jc w:val="center"/>
              <w:textAlignment w:val="center"/>
              <w:rPr>
                <w:rFonts w:ascii="Times New Roman" w:hAnsi="Times New Roman" w:eastAsia="新宋体" w:cs="Times New Roman"/>
                <w:color w:val="000000"/>
                <w:kern w:val="0"/>
                <w:szCs w:val="21"/>
                <w:lang w:bidi="ar"/>
              </w:rPr>
            </w:pPr>
            <w:r>
              <w:rPr>
                <w:rFonts w:ascii="Times New Roman" w:hAnsi="Times New Roman" w:eastAsia="新宋体" w:cs="Times New Roman"/>
                <w:color w:val="000000"/>
                <w:kern w:val="0"/>
                <w:szCs w:val="21"/>
                <w:lang w:bidi="ar"/>
              </w:rPr>
              <w:t>联塑、日丰、伟星</w:t>
            </w:r>
          </w:p>
        </w:tc>
        <w:tc>
          <w:tcPr>
            <w:tcW w:w="629" w:type="pct"/>
            <w:tcBorders>
              <w:top w:val="single" w:color="000000" w:sz="6" w:space="0"/>
              <w:left w:val="single" w:color="000000" w:sz="6" w:space="0"/>
              <w:bottom w:val="single" w:color="000000" w:sz="6" w:space="0"/>
              <w:right w:val="single" w:color="000000" w:sz="8" w:space="0"/>
              <w:tl2br w:val="nil"/>
              <w:tr2bl w:val="nil"/>
            </w:tcBorders>
            <w:shd w:val="clear" w:color="auto" w:fill="FFFFFF"/>
            <w:vAlign w:val="center"/>
          </w:tcPr>
          <w:p>
            <w:pPr>
              <w:widowControl/>
              <w:jc w:val="center"/>
              <w:textAlignment w:val="center"/>
              <w:rPr>
                <w:rFonts w:ascii="Times New Roman" w:hAnsi="Times New Roman" w:eastAsia="新宋体" w:cs="Times New Roman"/>
                <w:color w:val="000000"/>
                <w:kern w:val="0"/>
                <w:szCs w:val="21"/>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44" w:type="pct"/>
            <w:tcBorders>
              <w:top w:val="single" w:color="000000" w:sz="6" w:space="0"/>
              <w:left w:val="single" w:color="000000" w:sz="8"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3 </w:t>
            </w:r>
          </w:p>
        </w:tc>
        <w:tc>
          <w:tcPr>
            <w:tcW w:w="613"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25PVC线管</w:t>
            </w:r>
          </w:p>
        </w:tc>
        <w:tc>
          <w:tcPr>
            <w:tcW w:w="233" w:type="pct"/>
            <w:tcBorders>
              <w:top w:val="single" w:color="000000" w:sz="6" w:space="0"/>
              <w:left w:val="single" w:color="000000" w:sz="6" w:space="0"/>
              <w:bottom w:val="single" w:color="000000" w:sz="6" w:space="0"/>
              <w:right w:val="single" w:color="000000" w:sz="6" w:space="0"/>
              <w:tl2br w:val="nil"/>
              <w:tr2bl w:val="nil"/>
            </w:tcBorders>
            <w:shd w:val="clear" w:color="auto" w:fill="FFFFFF"/>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米</w:t>
            </w:r>
          </w:p>
        </w:tc>
        <w:tc>
          <w:tcPr>
            <w:tcW w:w="404"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1280.0 </w:t>
            </w:r>
          </w:p>
        </w:tc>
        <w:tc>
          <w:tcPr>
            <w:tcW w:w="449"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97"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201"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 按实结算</w:t>
            </w:r>
          </w:p>
        </w:tc>
        <w:tc>
          <w:tcPr>
            <w:tcW w:w="629" w:type="pct"/>
            <w:tcBorders>
              <w:top w:val="single" w:color="000000" w:sz="6" w:space="0"/>
              <w:left w:val="single" w:color="000000" w:sz="6" w:space="0"/>
              <w:bottom w:val="single" w:color="000000" w:sz="6" w:space="0"/>
              <w:right w:val="single" w:color="000000" w:sz="6" w:space="0"/>
              <w:tl2br w:val="nil"/>
              <w:tr2bl w:val="nil"/>
            </w:tcBorders>
            <w:shd w:val="clear" w:color="auto" w:fill="FFFFFF"/>
            <w:vAlign w:val="center"/>
          </w:tcPr>
          <w:p>
            <w:pPr>
              <w:widowControl/>
              <w:jc w:val="center"/>
              <w:textAlignment w:val="center"/>
              <w:rPr>
                <w:rFonts w:ascii="Times New Roman" w:hAnsi="Times New Roman" w:eastAsia="新宋体" w:cs="Times New Roman"/>
                <w:color w:val="000000"/>
                <w:kern w:val="0"/>
                <w:szCs w:val="21"/>
                <w:lang w:bidi="ar"/>
              </w:rPr>
            </w:pPr>
            <w:r>
              <w:rPr>
                <w:rFonts w:ascii="Times New Roman" w:hAnsi="Times New Roman" w:eastAsia="新宋体" w:cs="Times New Roman"/>
                <w:color w:val="000000"/>
                <w:kern w:val="0"/>
                <w:szCs w:val="21"/>
                <w:lang w:bidi="ar"/>
              </w:rPr>
              <w:t>联塑、日丰、伟星</w:t>
            </w:r>
          </w:p>
        </w:tc>
        <w:tc>
          <w:tcPr>
            <w:tcW w:w="629" w:type="pct"/>
            <w:tcBorders>
              <w:top w:val="single" w:color="000000" w:sz="6" w:space="0"/>
              <w:left w:val="single" w:color="000000" w:sz="6" w:space="0"/>
              <w:bottom w:val="single" w:color="000000" w:sz="6" w:space="0"/>
              <w:right w:val="single" w:color="000000" w:sz="8" w:space="0"/>
              <w:tl2br w:val="nil"/>
              <w:tr2bl w:val="nil"/>
            </w:tcBorders>
            <w:shd w:val="clear" w:color="auto" w:fill="FFFFFF"/>
            <w:vAlign w:val="center"/>
          </w:tcPr>
          <w:p>
            <w:pPr>
              <w:widowControl/>
              <w:jc w:val="center"/>
              <w:textAlignment w:val="center"/>
              <w:rPr>
                <w:rFonts w:ascii="Times New Roman" w:hAnsi="Times New Roman" w:eastAsia="新宋体" w:cs="Times New Roman"/>
                <w:color w:val="000000"/>
                <w:kern w:val="0"/>
                <w:szCs w:val="21"/>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44" w:type="pct"/>
            <w:tcBorders>
              <w:top w:val="single" w:color="000000" w:sz="6" w:space="0"/>
              <w:left w:val="single" w:color="000000" w:sz="8"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4 </w:t>
            </w:r>
          </w:p>
        </w:tc>
        <w:tc>
          <w:tcPr>
            <w:tcW w:w="613"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BV2.5电线</w:t>
            </w:r>
          </w:p>
        </w:tc>
        <w:tc>
          <w:tcPr>
            <w:tcW w:w="233" w:type="pct"/>
            <w:tcBorders>
              <w:top w:val="single" w:color="000000" w:sz="6" w:space="0"/>
              <w:left w:val="single" w:color="000000" w:sz="6" w:space="0"/>
              <w:bottom w:val="single" w:color="000000" w:sz="6" w:space="0"/>
              <w:right w:val="single" w:color="000000" w:sz="6" w:space="0"/>
              <w:tl2br w:val="nil"/>
              <w:tr2bl w:val="nil"/>
            </w:tcBorders>
            <w:shd w:val="clear" w:color="auto" w:fill="FFFFFF"/>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米</w:t>
            </w:r>
          </w:p>
        </w:tc>
        <w:tc>
          <w:tcPr>
            <w:tcW w:w="404"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1980.0 </w:t>
            </w:r>
          </w:p>
        </w:tc>
        <w:tc>
          <w:tcPr>
            <w:tcW w:w="449"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97"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201"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按实结算；单芯单股</w:t>
            </w:r>
          </w:p>
        </w:tc>
        <w:tc>
          <w:tcPr>
            <w:tcW w:w="629" w:type="pct"/>
            <w:tcBorders>
              <w:top w:val="single" w:color="000000" w:sz="6" w:space="0"/>
              <w:left w:val="single" w:color="000000" w:sz="6" w:space="0"/>
              <w:bottom w:val="single" w:color="000000" w:sz="6" w:space="0"/>
              <w:right w:val="single" w:color="000000" w:sz="6" w:space="0"/>
              <w:tl2br w:val="nil"/>
              <w:tr2bl w:val="nil"/>
            </w:tcBorders>
            <w:shd w:val="clear" w:color="auto" w:fill="FFFFFF"/>
            <w:vAlign w:val="center"/>
          </w:tcPr>
          <w:p>
            <w:pPr>
              <w:widowControl/>
              <w:jc w:val="center"/>
              <w:textAlignment w:val="center"/>
              <w:rPr>
                <w:rFonts w:ascii="Times New Roman" w:hAnsi="Times New Roman" w:eastAsia="新宋体" w:cs="Times New Roman"/>
                <w:color w:val="000000"/>
                <w:kern w:val="0"/>
                <w:szCs w:val="21"/>
                <w:lang w:bidi="ar"/>
              </w:rPr>
            </w:pPr>
            <w:r>
              <w:rPr>
                <w:rFonts w:ascii="Times New Roman" w:hAnsi="Times New Roman" w:eastAsia="新宋体" w:cs="Times New Roman"/>
                <w:color w:val="000000"/>
                <w:kern w:val="0"/>
                <w:szCs w:val="21"/>
                <w:lang w:bidi="ar"/>
              </w:rPr>
              <w:t>宝胜、远东、绿宝</w:t>
            </w:r>
          </w:p>
        </w:tc>
        <w:tc>
          <w:tcPr>
            <w:tcW w:w="629" w:type="pct"/>
            <w:tcBorders>
              <w:top w:val="single" w:color="000000" w:sz="6" w:space="0"/>
              <w:left w:val="single" w:color="000000" w:sz="6" w:space="0"/>
              <w:bottom w:val="single" w:color="000000" w:sz="6" w:space="0"/>
              <w:right w:val="single" w:color="000000" w:sz="8" w:space="0"/>
              <w:tl2br w:val="nil"/>
              <w:tr2bl w:val="nil"/>
            </w:tcBorders>
            <w:shd w:val="clear" w:color="auto" w:fill="FFFFFF"/>
            <w:vAlign w:val="center"/>
          </w:tcPr>
          <w:p>
            <w:pPr>
              <w:widowControl/>
              <w:jc w:val="center"/>
              <w:textAlignment w:val="center"/>
              <w:rPr>
                <w:rFonts w:ascii="Times New Roman" w:hAnsi="Times New Roman" w:eastAsia="新宋体" w:cs="Times New Roman"/>
                <w:color w:val="000000"/>
                <w:kern w:val="0"/>
                <w:szCs w:val="21"/>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44" w:type="pct"/>
            <w:tcBorders>
              <w:top w:val="single" w:color="000000" w:sz="6" w:space="0"/>
              <w:left w:val="single" w:color="000000" w:sz="8"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5 </w:t>
            </w:r>
          </w:p>
        </w:tc>
        <w:tc>
          <w:tcPr>
            <w:tcW w:w="613"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BV4电线</w:t>
            </w:r>
          </w:p>
        </w:tc>
        <w:tc>
          <w:tcPr>
            <w:tcW w:w="233" w:type="pct"/>
            <w:tcBorders>
              <w:top w:val="single" w:color="000000" w:sz="6" w:space="0"/>
              <w:left w:val="single" w:color="000000" w:sz="6" w:space="0"/>
              <w:bottom w:val="single" w:color="000000" w:sz="6" w:space="0"/>
              <w:right w:val="single" w:color="000000" w:sz="6" w:space="0"/>
              <w:tl2br w:val="nil"/>
              <w:tr2bl w:val="nil"/>
            </w:tcBorders>
            <w:shd w:val="clear" w:color="auto" w:fill="FFFFFF"/>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米</w:t>
            </w:r>
          </w:p>
        </w:tc>
        <w:tc>
          <w:tcPr>
            <w:tcW w:w="404"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3700.0 </w:t>
            </w:r>
          </w:p>
        </w:tc>
        <w:tc>
          <w:tcPr>
            <w:tcW w:w="449"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97"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201"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按实结算；单芯单股</w:t>
            </w:r>
          </w:p>
        </w:tc>
        <w:tc>
          <w:tcPr>
            <w:tcW w:w="629" w:type="pct"/>
            <w:tcBorders>
              <w:top w:val="single" w:color="000000" w:sz="6" w:space="0"/>
              <w:left w:val="single" w:color="000000" w:sz="6" w:space="0"/>
              <w:bottom w:val="single" w:color="000000" w:sz="6" w:space="0"/>
              <w:right w:val="single" w:color="000000" w:sz="6" w:space="0"/>
              <w:tl2br w:val="nil"/>
              <w:tr2bl w:val="nil"/>
            </w:tcBorders>
            <w:shd w:val="clear" w:color="auto" w:fill="FFFFFF"/>
            <w:vAlign w:val="center"/>
          </w:tcPr>
          <w:p>
            <w:pPr>
              <w:widowControl/>
              <w:jc w:val="center"/>
              <w:textAlignment w:val="center"/>
              <w:rPr>
                <w:rFonts w:ascii="Times New Roman" w:hAnsi="Times New Roman" w:eastAsia="新宋体" w:cs="Times New Roman"/>
                <w:color w:val="000000"/>
                <w:kern w:val="0"/>
                <w:szCs w:val="21"/>
                <w:lang w:bidi="ar"/>
              </w:rPr>
            </w:pPr>
            <w:r>
              <w:rPr>
                <w:rFonts w:ascii="Times New Roman" w:hAnsi="Times New Roman" w:eastAsia="新宋体" w:cs="Times New Roman"/>
                <w:color w:val="000000"/>
                <w:kern w:val="0"/>
                <w:szCs w:val="21"/>
                <w:lang w:bidi="ar"/>
              </w:rPr>
              <w:t>宝胜、远东、绿宝</w:t>
            </w:r>
          </w:p>
        </w:tc>
        <w:tc>
          <w:tcPr>
            <w:tcW w:w="629" w:type="pct"/>
            <w:tcBorders>
              <w:top w:val="single" w:color="000000" w:sz="6" w:space="0"/>
              <w:left w:val="single" w:color="000000" w:sz="6" w:space="0"/>
              <w:bottom w:val="single" w:color="000000" w:sz="6" w:space="0"/>
              <w:right w:val="single" w:color="000000" w:sz="8" w:space="0"/>
              <w:tl2br w:val="nil"/>
              <w:tr2bl w:val="nil"/>
            </w:tcBorders>
            <w:shd w:val="clear" w:color="auto" w:fill="FFFFFF"/>
            <w:vAlign w:val="center"/>
          </w:tcPr>
          <w:p>
            <w:pPr>
              <w:widowControl/>
              <w:jc w:val="center"/>
              <w:textAlignment w:val="center"/>
              <w:rPr>
                <w:rFonts w:ascii="Times New Roman" w:hAnsi="Times New Roman" w:eastAsia="新宋体" w:cs="Times New Roman"/>
                <w:color w:val="000000"/>
                <w:kern w:val="0"/>
                <w:szCs w:val="21"/>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44" w:type="pct"/>
            <w:tcBorders>
              <w:top w:val="single" w:color="000000" w:sz="6" w:space="0"/>
              <w:left w:val="single" w:color="000000" w:sz="8"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6 </w:t>
            </w:r>
          </w:p>
        </w:tc>
        <w:tc>
          <w:tcPr>
            <w:tcW w:w="613"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BV6电线</w:t>
            </w:r>
          </w:p>
        </w:tc>
        <w:tc>
          <w:tcPr>
            <w:tcW w:w="233" w:type="pct"/>
            <w:tcBorders>
              <w:top w:val="single" w:color="000000" w:sz="6" w:space="0"/>
              <w:left w:val="single" w:color="000000" w:sz="6" w:space="0"/>
              <w:bottom w:val="single" w:color="000000" w:sz="6" w:space="0"/>
              <w:right w:val="single" w:color="000000" w:sz="6" w:space="0"/>
              <w:tl2br w:val="nil"/>
              <w:tr2bl w:val="nil"/>
            </w:tcBorders>
            <w:shd w:val="clear" w:color="auto" w:fill="FFFFFF"/>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米</w:t>
            </w:r>
          </w:p>
        </w:tc>
        <w:tc>
          <w:tcPr>
            <w:tcW w:w="404"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2990.0 </w:t>
            </w:r>
          </w:p>
        </w:tc>
        <w:tc>
          <w:tcPr>
            <w:tcW w:w="449"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97"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201"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按实结算；单芯单股</w:t>
            </w:r>
          </w:p>
        </w:tc>
        <w:tc>
          <w:tcPr>
            <w:tcW w:w="629" w:type="pct"/>
            <w:tcBorders>
              <w:top w:val="single" w:color="000000" w:sz="6" w:space="0"/>
              <w:left w:val="single" w:color="000000" w:sz="6" w:space="0"/>
              <w:bottom w:val="single" w:color="000000" w:sz="6" w:space="0"/>
              <w:right w:val="single" w:color="000000" w:sz="6" w:space="0"/>
              <w:tl2br w:val="nil"/>
              <w:tr2bl w:val="nil"/>
            </w:tcBorders>
            <w:shd w:val="clear" w:color="auto" w:fill="FFFFFF"/>
            <w:vAlign w:val="center"/>
          </w:tcPr>
          <w:p>
            <w:pPr>
              <w:widowControl/>
              <w:jc w:val="center"/>
              <w:textAlignment w:val="center"/>
              <w:rPr>
                <w:rFonts w:ascii="Times New Roman" w:hAnsi="Times New Roman" w:eastAsia="新宋体" w:cs="Times New Roman"/>
                <w:color w:val="000000"/>
                <w:kern w:val="0"/>
                <w:szCs w:val="21"/>
                <w:lang w:bidi="ar"/>
              </w:rPr>
            </w:pPr>
            <w:r>
              <w:rPr>
                <w:rFonts w:ascii="Times New Roman" w:hAnsi="Times New Roman" w:eastAsia="新宋体" w:cs="Times New Roman"/>
                <w:color w:val="000000"/>
                <w:kern w:val="0"/>
                <w:szCs w:val="21"/>
                <w:lang w:bidi="ar"/>
              </w:rPr>
              <w:t>宝胜、远东、绿宝</w:t>
            </w:r>
          </w:p>
        </w:tc>
        <w:tc>
          <w:tcPr>
            <w:tcW w:w="629" w:type="pct"/>
            <w:tcBorders>
              <w:top w:val="single" w:color="000000" w:sz="6" w:space="0"/>
              <w:left w:val="single" w:color="000000" w:sz="6" w:space="0"/>
              <w:bottom w:val="single" w:color="000000" w:sz="6" w:space="0"/>
              <w:right w:val="single" w:color="000000" w:sz="8" w:space="0"/>
              <w:tl2br w:val="nil"/>
              <w:tr2bl w:val="nil"/>
            </w:tcBorders>
            <w:shd w:val="clear" w:color="auto" w:fill="FFFFFF"/>
            <w:vAlign w:val="center"/>
          </w:tcPr>
          <w:p>
            <w:pPr>
              <w:widowControl/>
              <w:jc w:val="center"/>
              <w:textAlignment w:val="center"/>
              <w:rPr>
                <w:rFonts w:ascii="Times New Roman" w:hAnsi="Times New Roman" w:eastAsia="新宋体" w:cs="Times New Roman"/>
                <w:color w:val="000000"/>
                <w:kern w:val="0"/>
                <w:szCs w:val="21"/>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44" w:type="pct"/>
            <w:tcBorders>
              <w:top w:val="single" w:color="000000" w:sz="6" w:space="0"/>
              <w:left w:val="single" w:color="000000" w:sz="8"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7 </w:t>
            </w:r>
          </w:p>
        </w:tc>
        <w:tc>
          <w:tcPr>
            <w:tcW w:w="613"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动力电缆</w:t>
            </w:r>
          </w:p>
        </w:tc>
        <w:tc>
          <w:tcPr>
            <w:tcW w:w="233" w:type="pct"/>
            <w:tcBorders>
              <w:top w:val="single" w:color="000000" w:sz="6" w:space="0"/>
              <w:left w:val="single" w:color="000000" w:sz="6" w:space="0"/>
              <w:bottom w:val="single" w:color="000000" w:sz="6" w:space="0"/>
              <w:right w:val="single" w:color="000000" w:sz="6" w:space="0"/>
              <w:tl2br w:val="nil"/>
              <w:tr2bl w:val="nil"/>
            </w:tcBorders>
            <w:shd w:val="clear" w:color="auto" w:fill="FFFFFF"/>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米</w:t>
            </w:r>
          </w:p>
        </w:tc>
        <w:tc>
          <w:tcPr>
            <w:tcW w:w="404"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35.0 </w:t>
            </w:r>
          </w:p>
        </w:tc>
        <w:tc>
          <w:tcPr>
            <w:tcW w:w="449"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97"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201"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按实结算；4*95+1*70；铠装阻燃</w:t>
            </w:r>
          </w:p>
        </w:tc>
        <w:tc>
          <w:tcPr>
            <w:tcW w:w="629" w:type="pct"/>
            <w:tcBorders>
              <w:top w:val="single" w:color="000000" w:sz="6" w:space="0"/>
              <w:left w:val="single" w:color="000000" w:sz="6" w:space="0"/>
              <w:bottom w:val="single" w:color="000000" w:sz="6" w:space="0"/>
              <w:right w:val="single" w:color="000000" w:sz="6" w:space="0"/>
              <w:tl2br w:val="nil"/>
              <w:tr2bl w:val="nil"/>
            </w:tcBorders>
            <w:shd w:val="clear" w:color="auto" w:fill="FFFFFF"/>
            <w:vAlign w:val="center"/>
          </w:tcPr>
          <w:p>
            <w:pPr>
              <w:widowControl/>
              <w:jc w:val="center"/>
              <w:textAlignment w:val="center"/>
              <w:rPr>
                <w:rFonts w:ascii="Times New Roman" w:hAnsi="Times New Roman" w:eastAsia="新宋体" w:cs="Times New Roman"/>
                <w:color w:val="000000"/>
                <w:kern w:val="0"/>
                <w:szCs w:val="21"/>
                <w:lang w:bidi="ar"/>
              </w:rPr>
            </w:pPr>
            <w:r>
              <w:rPr>
                <w:rFonts w:ascii="Times New Roman" w:hAnsi="Times New Roman" w:eastAsia="新宋体" w:cs="Times New Roman"/>
                <w:color w:val="000000"/>
                <w:kern w:val="0"/>
                <w:szCs w:val="21"/>
                <w:lang w:bidi="ar"/>
              </w:rPr>
              <w:t>宝胜、远东、绿宝</w:t>
            </w:r>
          </w:p>
        </w:tc>
        <w:tc>
          <w:tcPr>
            <w:tcW w:w="629" w:type="pct"/>
            <w:tcBorders>
              <w:top w:val="single" w:color="000000" w:sz="6" w:space="0"/>
              <w:left w:val="single" w:color="000000" w:sz="6" w:space="0"/>
              <w:bottom w:val="single" w:color="000000" w:sz="6" w:space="0"/>
              <w:right w:val="single" w:color="000000" w:sz="8" w:space="0"/>
              <w:tl2br w:val="nil"/>
              <w:tr2bl w:val="nil"/>
            </w:tcBorders>
            <w:shd w:val="clear" w:color="auto" w:fill="FFFFFF"/>
            <w:vAlign w:val="center"/>
          </w:tcPr>
          <w:p>
            <w:pPr>
              <w:widowControl/>
              <w:jc w:val="center"/>
              <w:textAlignment w:val="center"/>
              <w:rPr>
                <w:rFonts w:ascii="Times New Roman" w:hAnsi="Times New Roman" w:eastAsia="新宋体" w:cs="Times New Roman"/>
                <w:color w:val="000000"/>
                <w:kern w:val="0"/>
                <w:szCs w:val="21"/>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44" w:type="pct"/>
            <w:tcBorders>
              <w:top w:val="single" w:color="000000" w:sz="6" w:space="0"/>
              <w:left w:val="single" w:color="000000" w:sz="8"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8 </w:t>
            </w:r>
          </w:p>
        </w:tc>
        <w:tc>
          <w:tcPr>
            <w:tcW w:w="613"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电缆桥架</w:t>
            </w:r>
          </w:p>
        </w:tc>
        <w:tc>
          <w:tcPr>
            <w:tcW w:w="233" w:type="pct"/>
            <w:tcBorders>
              <w:top w:val="single" w:color="000000" w:sz="6" w:space="0"/>
              <w:left w:val="single" w:color="000000" w:sz="6" w:space="0"/>
              <w:bottom w:val="single" w:color="000000" w:sz="6" w:space="0"/>
              <w:right w:val="single" w:color="000000" w:sz="6" w:space="0"/>
              <w:tl2br w:val="nil"/>
              <w:tr2bl w:val="nil"/>
            </w:tcBorders>
            <w:shd w:val="clear" w:color="auto" w:fill="FFFFFF"/>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米</w:t>
            </w:r>
          </w:p>
        </w:tc>
        <w:tc>
          <w:tcPr>
            <w:tcW w:w="404"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38.0 </w:t>
            </w:r>
          </w:p>
        </w:tc>
        <w:tc>
          <w:tcPr>
            <w:tcW w:w="449"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97"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201"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按实结算；耐火金属桥架、热浸镀锌；规格200mm*100mm，厚度符合国标要求，含转接头及其他安装辅材</w:t>
            </w:r>
          </w:p>
        </w:tc>
        <w:tc>
          <w:tcPr>
            <w:tcW w:w="629"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kern w:val="0"/>
                <w:szCs w:val="21"/>
                <w:lang w:bidi="ar"/>
              </w:rPr>
            </w:pPr>
          </w:p>
        </w:tc>
        <w:tc>
          <w:tcPr>
            <w:tcW w:w="629" w:type="pct"/>
            <w:tcBorders>
              <w:top w:val="single" w:color="000000" w:sz="6" w:space="0"/>
              <w:left w:val="single" w:color="000000" w:sz="6" w:space="0"/>
              <w:bottom w:val="single" w:color="000000" w:sz="6" w:space="0"/>
              <w:right w:val="single" w:color="000000" w:sz="8" w:space="0"/>
              <w:tl2br w:val="nil"/>
              <w:tr2bl w:val="nil"/>
            </w:tcBorders>
            <w:shd w:val="clear" w:color="auto" w:fill="auto"/>
            <w:vAlign w:val="center"/>
          </w:tcPr>
          <w:p>
            <w:pPr>
              <w:jc w:val="left"/>
              <w:rPr>
                <w:rFonts w:ascii="Times New Roman" w:hAnsi="Times New Roman" w:eastAsia="新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44" w:type="pct"/>
            <w:tcBorders>
              <w:top w:val="single" w:color="000000" w:sz="6" w:space="0"/>
              <w:left w:val="single" w:color="000000" w:sz="8"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9 </w:t>
            </w:r>
          </w:p>
        </w:tc>
        <w:tc>
          <w:tcPr>
            <w:tcW w:w="613"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PPR给水管</w:t>
            </w:r>
          </w:p>
        </w:tc>
        <w:tc>
          <w:tcPr>
            <w:tcW w:w="233" w:type="pct"/>
            <w:tcBorders>
              <w:top w:val="single" w:color="000000" w:sz="6" w:space="0"/>
              <w:left w:val="single" w:color="000000" w:sz="6" w:space="0"/>
              <w:bottom w:val="single" w:color="000000" w:sz="6" w:space="0"/>
              <w:right w:val="single" w:color="000000" w:sz="6" w:space="0"/>
              <w:tl2br w:val="nil"/>
              <w:tr2bl w:val="nil"/>
            </w:tcBorders>
            <w:shd w:val="clear" w:color="auto" w:fill="FFFFFF"/>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米</w:t>
            </w:r>
          </w:p>
        </w:tc>
        <w:tc>
          <w:tcPr>
            <w:tcW w:w="404"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129.6 </w:t>
            </w:r>
          </w:p>
        </w:tc>
        <w:tc>
          <w:tcPr>
            <w:tcW w:w="449"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97"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201"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按实结算；给水管径25mm</w:t>
            </w:r>
          </w:p>
        </w:tc>
        <w:tc>
          <w:tcPr>
            <w:tcW w:w="629" w:type="pct"/>
            <w:tcBorders>
              <w:top w:val="single" w:color="000000" w:sz="6" w:space="0"/>
              <w:left w:val="single" w:color="000000" w:sz="6" w:space="0"/>
              <w:bottom w:val="single" w:color="000000" w:sz="6" w:space="0"/>
              <w:right w:val="single" w:color="000000" w:sz="6" w:space="0"/>
              <w:tl2br w:val="nil"/>
              <w:tr2bl w:val="nil"/>
            </w:tcBorders>
            <w:shd w:val="clear" w:color="auto" w:fill="FFFFFF"/>
            <w:vAlign w:val="center"/>
          </w:tcPr>
          <w:p>
            <w:pPr>
              <w:widowControl/>
              <w:jc w:val="center"/>
              <w:textAlignment w:val="center"/>
              <w:rPr>
                <w:rFonts w:ascii="Times New Roman" w:hAnsi="Times New Roman" w:eastAsia="新宋体" w:cs="Times New Roman"/>
                <w:color w:val="000000"/>
                <w:kern w:val="0"/>
                <w:szCs w:val="21"/>
                <w:lang w:bidi="ar"/>
              </w:rPr>
            </w:pPr>
            <w:r>
              <w:rPr>
                <w:rFonts w:ascii="Times New Roman" w:hAnsi="Times New Roman" w:eastAsia="新宋体" w:cs="Times New Roman"/>
                <w:color w:val="000000"/>
                <w:kern w:val="0"/>
                <w:szCs w:val="21"/>
                <w:lang w:bidi="ar"/>
              </w:rPr>
              <w:t>联塑、日丰、伟星</w:t>
            </w:r>
          </w:p>
        </w:tc>
        <w:tc>
          <w:tcPr>
            <w:tcW w:w="629" w:type="pct"/>
            <w:tcBorders>
              <w:top w:val="single" w:color="000000" w:sz="6" w:space="0"/>
              <w:left w:val="single" w:color="000000" w:sz="6" w:space="0"/>
              <w:bottom w:val="single" w:color="000000" w:sz="6" w:space="0"/>
              <w:right w:val="single" w:color="000000" w:sz="8" w:space="0"/>
              <w:tl2br w:val="nil"/>
              <w:tr2bl w:val="nil"/>
            </w:tcBorders>
            <w:shd w:val="clear" w:color="auto" w:fill="FFFFFF"/>
            <w:vAlign w:val="center"/>
          </w:tcPr>
          <w:p>
            <w:pPr>
              <w:widowControl/>
              <w:jc w:val="center"/>
              <w:textAlignment w:val="center"/>
              <w:rPr>
                <w:rFonts w:ascii="Times New Roman" w:hAnsi="Times New Roman" w:eastAsia="新宋体" w:cs="Times New Roman"/>
                <w:color w:val="000000"/>
                <w:kern w:val="0"/>
                <w:szCs w:val="21"/>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44" w:type="pct"/>
            <w:tcBorders>
              <w:top w:val="single" w:color="000000" w:sz="6" w:space="0"/>
              <w:left w:val="single" w:color="000000" w:sz="8"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10 </w:t>
            </w:r>
          </w:p>
        </w:tc>
        <w:tc>
          <w:tcPr>
            <w:tcW w:w="613"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给水管橡塑保温</w:t>
            </w:r>
          </w:p>
        </w:tc>
        <w:tc>
          <w:tcPr>
            <w:tcW w:w="233" w:type="pct"/>
            <w:tcBorders>
              <w:top w:val="single" w:color="000000" w:sz="6" w:space="0"/>
              <w:left w:val="single" w:color="000000" w:sz="6" w:space="0"/>
              <w:bottom w:val="single" w:color="000000" w:sz="6" w:space="0"/>
              <w:right w:val="single" w:color="000000" w:sz="6" w:space="0"/>
              <w:tl2br w:val="nil"/>
              <w:tr2bl w:val="nil"/>
            </w:tcBorders>
            <w:shd w:val="clear" w:color="auto" w:fill="FFFFFF"/>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米</w:t>
            </w:r>
          </w:p>
        </w:tc>
        <w:tc>
          <w:tcPr>
            <w:tcW w:w="404"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129.6 </w:t>
            </w:r>
          </w:p>
        </w:tc>
        <w:tc>
          <w:tcPr>
            <w:tcW w:w="449"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97"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201"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按实结算</w:t>
            </w:r>
          </w:p>
        </w:tc>
        <w:tc>
          <w:tcPr>
            <w:tcW w:w="629"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kern w:val="0"/>
                <w:szCs w:val="21"/>
                <w:lang w:bidi="ar"/>
              </w:rPr>
            </w:pPr>
          </w:p>
        </w:tc>
        <w:tc>
          <w:tcPr>
            <w:tcW w:w="629" w:type="pct"/>
            <w:tcBorders>
              <w:top w:val="single" w:color="000000" w:sz="6" w:space="0"/>
              <w:left w:val="single" w:color="000000" w:sz="6" w:space="0"/>
              <w:bottom w:val="single" w:color="000000" w:sz="6" w:space="0"/>
              <w:right w:val="single" w:color="000000" w:sz="8" w:space="0"/>
              <w:tl2br w:val="nil"/>
              <w:tr2bl w:val="nil"/>
            </w:tcBorders>
            <w:shd w:val="clear" w:color="auto" w:fill="auto"/>
            <w:vAlign w:val="center"/>
          </w:tcPr>
          <w:p>
            <w:pPr>
              <w:jc w:val="left"/>
              <w:rPr>
                <w:rFonts w:ascii="Times New Roman" w:hAnsi="Times New Roman" w:eastAsia="新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44" w:type="pct"/>
            <w:tcBorders>
              <w:top w:val="single" w:color="000000" w:sz="6" w:space="0"/>
              <w:left w:val="single" w:color="000000" w:sz="8"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11 </w:t>
            </w:r>
          </w:p>
        </w:tc>
        <w:tc>
          <w:tcPr>
            <w:tcW w:w="613"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二楼交安室、直饮机排水</w:t>
            </w:r>
          </w:p>
        </w:tc>
        <w:tc>
          <w:tcPr>
            <w:tcW w:w="233" w:type="pct"/>
            <w:tcBorders>
              <w:top w:val="single" w:color="000000" w:sz="6" w:space="0"/>
              <w:left w:val="single" w:color="000000" w:sz="6" w:space="0"/>
              <w:bottom w:val="single" w:color="000000" w:sz="6" w:space="0"/>
              <w:right w:val="single" w:color="000000" w:sz="6" w:space="0"/>
              <w:tl2br w:val="nil"/>
              <w:tr2bl w:val="nil"/>
            </w:tcBorders>
            <w:shd w:val="clear" w:color="auto" w:fill="FFFFFF"/>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米</w:t>
            </w:r>
          </w:p>
        </w:tc>
        <w:tc>
          <w:tcPr>
            <w:tcW w:w="404"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79.4 </w:t>
            </w:r>
          </w:p>
        </w:tc>
        <w:tc>
          <w:tcPr>
            <w:tcW w:w="449"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97"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201"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按实结算；排水管径75mm；含辅材</w:t>
            </w:r>
          </w:p>
        </w:tc>
        <w:tc>
          <w:tcPr>
            <w:tcW w:w="629"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kern w:val="0"/>
                <w:szCs w:val="21"/>
                <w:lang w:bidi="ar"/>
              </w:rPr>
            </w:pPr>
            <w:r>
              <w:rPr>
                <w:rFonts w:ascii="Times New Roman" w:hAnsi="Times New Roman" w:eastAsia="新宋体" w:cs="Times New Roman"/>
                <w:color w:val="000000"/>
                <w:kern w:val="0"/>
                <w:szCs w:val="21"/>
                <w:lang w:bidi="ar"/>
              </w:rPr>
              <w:t>联塑、日丰、伟星</w:t>
            </w:r>
          </w:p>
        </w:tc>
        <w:tc>
          <w:tcPr>
            <w:tcW w:w="629" w:type="pct"/>
            <w:tcBorders>
              <w:top w:val="single" w:color="000000" w:sz="6" w:space="0"/>
              <w:left w:val="single" w:color="000000" w:sz="6" w:space="0"/>
              <w:bottom w:val="single" w:color="000000" w:sz="6" w:space="0"/>
              <w:right w:val="single" w:color="000000" w:sz="8" w:space="0"/>
              <w:tl2br w:val="nil"/>
              <w:tr2bl w:val="nil"/>
            </w:tcBorders>
            <w:shd w:val="clear" w:color="auto" w:fill="auto"/>
            <w:vAlign w:val="center"/>
          </w:tcPr>
          <w:p>
            <w:pPr>
              <w:jc w:val="left"/>
              <w:rPr>
                <w:rFonts w:ascii="Times New Roman" w:hAnsi="Times New Roman" w:eastAsia="新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44" w:type="pct"/>
            <w:tcBorders>
              <w:top w:val="single" w:color="000000" w:sz="6" w:space="0"/>
              <w:left w:val="single" w:color="000000" w:sz="8"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12 </w:t>
            </w:r>
          </w:p>
        </w:tc>
        <w:tc>
          <w:tcPr>
            <w:tcW w:w="613"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卫生间排水</w:t>
            </w:r>
          </w:p>
        </w:tc>
        <w:tc>
          <w:tcPr>
            <w:tcW w:w="233"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项</w:t>
            </w:r>
          </w:p>
        </w:tc>
        <w:tc>
          <w:tcPr>
            <w:tcW w:w="404"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1.0 </w:t>
            </w:r>
          </w:p>
        </w:tc>
        <w:tc>
          <w:tcPr>
            <w:tcW w:w="449"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97"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201"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含管道和其他辅材</w:t>
            </w:r>
          </w:p>
        </w:tc>
        <w:tc>
          <w:tcPr>
            <w:tcW w:w="629"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kern w:val="0"/>
                <w:szCs w:val="21"/>
                <w:lang w:bidi="ar"/>
              </w:rPr>
            </w:pPr>
          </w:p>
        </w:tc>
        <w:tc>
          <w:tcPr>
            <w:tcW w:w="629" w:type="pct"/>
            <w:tcBorders>
              <w:top w:val="single" w:color="000000" w:sz="6" w:space="0"/>
              <w:left w:val="single" w:color="000000" w:sz="6" w:space="0"/>
              <w:bottom w:val="single" w:color="000000" w:sz="6" w:space="0"/>
              <w:right w:val="single" w:color="000000" w:sz="8" w:space="0"/>
              <w:tl2br w:val="nil"/>
              <w:tr2bl w:val="nil"/>
            </w:tcBorders>
            <w:shd w:val="clear" w:color="auto" w:fill="auto"/>
            <w:vAlign w:val="center"/>
          </w:tcPr>
          <w:p>
            <w:pPr>
              <w:jc w:val="left"/>
              <w:rPr>
                <w:rFonts w:ascii="Times New Roman" w:hAnsi="Times New Roman" w:eastAsia="新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44" w:type="pct"/>
            <w:tcBorders>
              <w:top w:val="single" w:color="000000" w:sz="6" w:space="0"/>
              <w:left w:val="single" w:color="000000" w:sz="8"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13 </w:t>
            </w:r>
          </w:p>
        </w:tc>
        <w:tc>
          <w:tcPr>
            <w:tcW w:w="613"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喷淋试验室排水沟排水</w:t>
            </w:r>
          </w:p>
        </w:tc>
        <w:tc>
          <w:tcPr>
            <w:tcW w:w="233" w:type="pct"/>
            <w:tcBorders>
              <w:top w:val="single" w:color="000000" w:sz="6" w:space="0"/>
              <w:left w:val="single" w:color="000000" w:sz="6" w:space="0"/>
              <w:bottom w:val="single" w:color="000000" w:sz="6" w:space="0"/>
              <w:right w:val="single" w:color="000000" w:sz="6" w:space="0"/>
              <w:tl2br w:val="nil"/>
              <w:tr2bl w:val="nil"/>
            </w:tcBorders>
            <w:shd w:val="clear" w:color="auto" w:fill="FFFFFF"/>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米</w:t>
            </w:r>
          </w:p>
        </w:tc>
        <w:tc>
          <w:tcPr>
            <w:tcW w:w="404"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42.0 </w:t>
            </w:r>
          </w:p>
        </w:tc>
        <w:tc>
          <w:tcPr>
            <w:tcW w:w="449"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97"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201"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   按实结算；预埋110管道到附近污水井；含水管和施工；地面需修复；</w:t>
            </w:r>
          </w:p>
        </w:tc>
        <w:tc>
          <w:tcPr>
            <w:tcW w:w="629"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kern w:val="0"/>
                <w:szCs w:val="21"/>
                <w:lang w:bidi="ar"/>
              </w:rPr>
            </w:pPr>
          </w:p>
        </w:tc>
        <w:tc>
          <w:tcPr>
            <w:tcW w:w="629" w:type="pct"/>
            <w:tcBorders>
              <w:top w:val="single" w:color="000000" w:sz="6" w:space="0"/>
              <w:left w:val="single" w:color="000000" w:sz="6" w:space="0"/>
              <w:bottom w:val="single" w:color="000000" w:sz="6" w:space="0"/>
              <w:right w:val="single" w:color="000000" w:sz="8" w:space="0"/>
              <w:tl2br w:val="nil"/>
              <w:tr2bl w:val="nil"/>
            </w:tcBorders>
            <w:shd w:val="clear" w:color="auto" w:fill="auto"/>
            <w:vAlign w:val="center"/>
          </w:tcPr>
          <w:p>
            <w:pPr>
              <w:jc w:val="left"/>
              <w:rPr>
                <w:rFonts w:ascii="Times New Roman" w:hAnsi="Times New Roman" w:eastAsia="新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44" w:type="pct"/>
            <w:tcBorders>
              <w:top w:val="single" w:color="000000" w:sz="6" w:space="0"/>
              <w:left w:val="single" w:color="000000" w:sz="8"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14 </w:t>
            </w:r>
          </w:p>
        </w:tc>
        <w:tc>
          <w:tcPr>
            <w:tcW w:w="613"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步入式环境试验箱排水</w:t>
            </w:r>
          </w:p>
        </w:tc>
        <w:tc>
          <w:tcPr>
            <w:tcW w:w="233" w:type="pct"/>
            <w:tcBorders>
              <w:top w:val="single" w:color="000000" w:sz="6" w:space="0"/>
              <w:left w:val="single" w:color="000000" w:sz="6" w:space="0"/>
              <w:bottom w:val="single" w:color="000000" w:sz="6" w:space="0"/>
              <w:right w:val="single" w:color="000000" w:sz="6" w:space="0"/>
              <w:tl2br w:val="nil"/>
              <w:tr2bl w:val="nil"/>
            </w:tcBorders>
            <w:shd w:val="clear" w:color="auto" w:fill="FFFFFF"/>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米</w:t>
            </w:r>
          </w:p>
        </w:tc>
        <w:tc>
          <w:tcPr>
            <w:tcW w:w="404"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21.0 </w:t>
            </w:r>
          </w:p>
        </w:tc>
        <w:tc>
          <w:tcPr>
            <w:tcW w:w="449"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97"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201"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   按实结算；预埋110管道到附近污水井；含水管和施工；地面需修复；</w:t>
            </w:r>
          </w:p>
        </w:tc>
        <w:tc>
          <w:tcPr>
            <w:tcW w:w="629"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kern w:val="0"/>
                <w:szCs w:val="21"/>
                <w:lang w:bidi="ar"/>
              </w:rPr>
            </w:pPr>
          </w:p>
        </w:tc>
        <w:tc>
          <w:tcPr>
            <w:tcW w:w="629" w:type="pct"/>
            <w:tcBorders>
              <w:top w:val="single" w:color="000000" w:sz="6" w:space="0"/>
              <w:left w:val="single" w:color="000000" w:sz="6" w:space="0"/>
              <w:bottom w:val="single" w:color="000000" w:sz="6" w:space="0"/>
              <w:right w:val="single" w:color="000000" w:sz="8" w:space="0"/>
              <w:tl2br w:val="nil"/>
              <w:tr2bl w:val="nil"/>
            </w:tcBorders>
            <w:shd w:val="clear" w:color="auto" w:fill="auto"/>
            <w:vAlign w:val="center"/>
          </w:tcPr>
          <w:p>
            <w:pPr>
              <w:jc w:val="left"/>
              <w:rPr>
                <w:rFonts w:ascii="Times New Roman" w:hAnsi="Times New Roman" w:eastAsia="新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44" w:type="pct"/>
            <w:tcBorders>
              <w:top w:val="single" w:color="000000" w:sz="6" w:space="0"/>
              <w:left w:val="single" w:color="000000" w:sz="8"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15 </w:t>
            </w:r>
          </w:p>
        </w:tc>
        <w:tc>
          <w:tcPr>
            <w:tcW w:w="613"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强电箱</w:t>
            </w:r>
          </w:p>
        </w:tc>
        <w:tc>
          <w:tcPr>
            <w:tcW w:w="233"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个</w:t>
            </w:r>
          </w:p>
        </w:tc>
        <w:tc>
          <w:tcPr>
            <w:tcW w:w="404"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10.0 </w:t>
            </w:r>
          </w:p>
        </w:tc>
        <w:tc>
          <w:tcPr>
            <w:tcW w:w="449"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97"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201"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  按实结算；含箱内空开等所需元器件</w:t>
            </w:r>
          </w:p>
        </w:tc>
        <w:tc>
          <w:tcPr>
            <w:tcW w:w="629"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jc w:val="center"/>
              <w:rPr>
                <w:rFonts w:ascii="Times New Roman" w:hAnsi="Times New Roman" w:eastAsia="新宋体" w:cs="Times New Roman"/>
                <w:color w:val="000000"/>
                <w:szCs w:val="21"/>
              </w:rPr>
            </w:pPr>
          </w:p>
        </w:tc>
        <w:tc>
          <w:tcPr>
            <w:tcW w:w="629" w:type="pct"/>
            <w:tcBorders>
              <w:top w:val="single" w:color="000000" w:sz="6" w:space="0"/>
              <w:left w:val="single" w:color="000000" w:sz="6" w:space="0"/>
              <w:bottom w:val="single" w:color="000000" w:sz="6" w:space="0"/>
              <w:right w:val="single" w:color="000000" w:sz="8" w:space="0"/>
              <w:tl2br w:val="nil"/>
              <w:tr2bl w:val="nil"/>
            </w:tcBorders>
            <w:shd w:val="clear" w:color="auto" w:fill="auto"/>
            <w:vAlign w:val="center"/>
          </w:tcPr>
          <w:p>
            <w:pPr>
              <w:jc w:val="center"/>
              <w:rPr>
                <w:rFonts w:ascii="Times New Roman" w:hAnsi="Times New Roman" w:eastAsia="新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44" w:type="pct"/>
            <w:tcBorders>
              <w:top w:val="single" w:color="000000" w:sz="6" w:space="0"/>
              <w:left w:val="single" w:color="000000" w:sz="8"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16 </w:t>
            </w:r>
          </w:p>
        </w:tc>
        <w:tc>
          <w:tcPr>
            <w:tcW w:w="613"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开关面板插座</w:t>
            </w:r>
          </w:p>
        </w:tc>
        <w:tc>
          <w:tcPr>
            <w:tcW w:w="233"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项</w:t>
            </w:r>
          </w:p>
        </w:tc>
        <w:tc>
          <w:tcPr>
            <w:tcW w:w="404"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1.0 </w:t>
            </w:r>
          </w:p>
        </w:tc>
        <w:tc>
          <w:tcPr>
            <w:tcW w:w="449"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97"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201"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总价包干，含开关面板、单相五孔插座、空调电源插座、三相空气开关等</w:t>
            </w:r>
          </w:p>
        </w:tc>
        <w:tc>
          <w:tcPr>
            <w:tcW w:w="629" w:type="pct"/>
            <w:tcBorders>
              <w:top w:val="single" w:color="000000" w:sz="6" w:space="0"/>
              <w:left w:val="single" w:color="000000" w:sz="6" w:space="0"/>
              <w:bottom w:val="single" w:color="000000" w:sz="6" w:space="0"/>
              <w:right w:val="single" w:color="000000" w:sz="6" w:space="0"/>
              <w:tl2br w:val="nil"/>
              <w:tr2bl w:val="nil"/>
            </w:tcBorders>
            <w:shd w:val="clear" w:color="auto" w:fill="FFFFFF"/>
            <w:vAlign w:val="center"/>
          </w:tcPr>
          <w:p>
            <w:pPr>
              <w:widowControl/>
              <w:jc w:val="center"/>
              <w:textAlignment w:val="center"/>
              <w:rPr>
                <w:rFonts w:ascii="Times New Roman" w:hAnsi="Times New Roman" w:eastAsia="新宋体" w:cs="Times New Roman"/>
                <w:color w:val="000000"/>
                <w:kern w:val="0"/>
                <w:szCs w:val="21"/>
                <w:lang w:bidi="ar"/>
              </w:rPr>
            </w:pPr>
            <w:r>
              <w:rPr>
                <w:rFonts w:ascii="Times New Roman" w:hAnsi="Times New Roman" w:eastAsia="新宋体" w:cs="Times New Roman"/>
                <w:color w:val="000000"/>
                <w:kern w:val="0"/>
                <w:szCs w:val="21"/>
                <w:lang w:bidi="ar"/>
              </w:rPr>
              <w:t>公牛、西门子、飞雕</w:t>
            </w:r>
          </w:p>
        </w:tc>
        <w:tc>
          <w:tcPr>
            <w:tcW w:w="629" w:type="pct"/>
            <w:tcBorders>
              <w:top w:val="single" w:color="000000" w:sz="6" w:space="0"/>
              <w:left w:val="single" w:color="000000" w:sz="6" w:space="0"/>
              <w:bottom w:val="single" w:color="000000" w:sz="6" w:space="0"/>
              <w:right w:val="single" w:color="000000" w:sz="8" w:space="0"/>
              <w:tl2br w:val="nil"/>
              <w:tr2bl w:val="nil"/>
            </w:tcBorders>
            <w:shd w:val="clear" w:color="auto" w:fill="FFFFFF"/>
            <w:vAlign w:val="center"/>
          </w:tcPr>
          <w:p>
            <w:pPr>
              <w:widowControl/>
              <w:jc w:val="center"/>
              <w:textAlignment w:val="center"/>
              <w:rPr>
                <w:rFonts w:ascii="Times New Roman" w:hAnsi="Times New Roman" w:eastAsia="新宋体" w:cs="Times New Roman"/>
                <w:color w:val="000000"/>
                <w:kern w:val="0"/>
                <w:szCs w:val="21"/>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44" w:type="pct"/>
            <w:tcBorders>
              <w:top w:val="single" w:color="000000" w:sz="6" w:space="0"/>
              <w:left w:val="single" w:color="000000" w:sz="8"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17 </w:t>
            </w:r>
          </w:p>
        </w:tc>
        <w:tc>
          <w:tcPr>
            <w:tcW w:w="613"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地漏</w:t>
            </w:r>
          </w:p>
        </w:tc>
        <w:tc>
          <w:tcPr>
            <w:tcW w:w="233"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只</w:t>
            </w:r>
          </w:p>
        </w:tc>
        <w:tc>
          <w:tcPr>
            <w:tcW w:w="404"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6.0 </w:t>
            </w:r>
          </w:p>
        </w:tc>
        <w:tc>
          <w:tcPr>
            <w:tcW w:w="449"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97"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201"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按实结算：具有防虫、防臭功能；</w:t>
            </w:r>
            <w:r>
              <w:rPr>
                <w:rFonts w:ascii="Times New Roman" w:hAnsi="Times New Roman" w:eastAsia="新宋体" w:cs="Times New Roman"/>
                <w:color w:val="000000"/>
                <w:szCs w:val="21"/>
              </w:rPr>
              <w:t xml:space="preserve"> </w:t>
            </w:r>
          </w:p>
        </w:tc>
        <w:tc>
          <w:tcPr>
            <w:tcW w:w="629"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kern w:val="0"/>
                <w:szCs w:val="21"/>
                <w:lang w:bidi="ar"/>
              </w:rPr>
            </w:pPr>
          </w:p>
        </w:tc>
        <w:tc>
          <w:tcPr>
            <w:tcW w:w="629" w:type="pct"/>
            <w:tcBorders>
              <w:top w:val="single" w:color="000000" w:sz="6" w:space="0"/>
              <w:left w:val="single" w:color="000000" w:sz="6" w:space="0"/>
              <w:bottom w:val="single" w:color="000000" w:sz="6" w:space="0"/>
              <w:right w:val="single" w:color="000000" w:sz="8" w:space="0"/>
              <w:tl2br w:val="nil"/>
              <w:tr2bl w:val="nil"/>
            </w:tcBorders>
            <w:shd w:val="clear" w:color="auto" w:fill="auto"/>
            <w:vAlign w:val="center"/>
          </w:tcPr>
          <w:p>
            <w:pPr>
              <w:rPr>
                <w:rFonts w:ascii="Times New Roman" w:hAnsi="Times New Roman" w:eastAsia="新宋体" w:cs="Times New Roman"/>
                <w:b/>
                <w:bCs/>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44" w:type="pct"/>
            <w:tcBorders>
              <w:top w:val="single" w:color="000000" w:sz="6" w:space="0"/>
              <w:left w:val="single" w:color="000000" w:sz="8"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18 </w:t>
            </w:r>
          </w:p>
        </w:tc>
        <w:tc>
          <w:tcPr>
            <w:tcW w:w="613"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吸顶灯</w:t>
            </w:r>
          </w:p>
        </w:tc>
        <w:tc>
          <w:tcPr>
            <w:tcW w:w="233"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只</w:t>
            </w:r>
          </w:p>
        </w:tc>
        <w:tc>
          <w:tcPr>
            <w:tcW w:w="404"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80.0 </w:t>
            </w:r>
          </w:p>
        </w:tc>
        <w:tc>
          <w:tcPr>
            <w:tcW w:w="449"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97"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201"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按实结算；功率：58W；灯的样式与型号根据现场而定，提供选样</w:t>
            </w:r>
          </w:p>
        </w:tc>
        <w:tc>
          <w:tcPr>
            <w:tcW w:w="629" w:type="pct"/>
            <w:tcBorders>
              <w:top w:val="single" w:color="000000" w:sz="6" w:space="0"/>
              <w:left w:val="single" w:color="000000" w:sz="6" w:space="0"/>
              <w:bottom w:val="single" w:color="000000" w:sz="6" w:space="0"/>
              <w:right w:val="single" w:color="000000" w:sz="6" w:space="0"/>
              <w:tl2br w:val="nil"/>
              <w:tr2bl w:val="nil"/>
            </w:tcBorders>
            <w:shd w:val="clear" w:color="auto" w:fill="FFFFFF"/>
            <w:vAlign w:val="center"/>
          </w:tcPr>
          <w:p>
            <w:pPr>
              <w:widowControl/>
              <w:jc w:val="center"/>
              <w:textAlignment w:val="center"/>
              <w:rPr>
                <w:rFonts w:ascii="Times New Roman" w:hAnsi="Times New Roman" w:eastAsia="新宋体" w:cs="Times New Roman"/>
                <w:color w:val="000000"/>
                <w:kern w:val="0"/>
                <w:szCs w:val="21"/>
                <w:lang w:bidi="ar"/>
              </w:rPr>
            </w:pPr>
            <w:r>
              <w:rPr>
                <w:rFonts w:ascii="Times New Roman" w:hAnsi="Times New Roman" w:eastAsia="新宋体" w:cs="Times New Roman"/>
                <w:color w:val="000000"/>
                <w:kern w:val="0"/>
                <w:szCs w:val="21"/>
                <w:lang w:bidi="ar"/>
              </w:rPr>
              <w:t>欧普、雷士、飞利浦</w:t>
            </w:r>
          </w:p>
        </w:tc>
        <w:tc>
          <w:tcPr>
            <w:tcW w:w="629" w:type="pct"/>
            <w:tcBorders>
              <w:top w:val="single" w:color="000000" w:sz="6" w:space="0"/>
              <w:left w:val="single" w:color="000000" w:sz="6" w:space="0"/>
              <w:bottom w:val="single" w:color="000000" w:sz="6" w:space="0"/>
              <w:right w:val="single" w:color="000000" w:sz="8" w:space="0"/>
              <w:tl2br w:val="nil"/>
              <w:tr2bl w:val="nil"/>
            </w:tcBorders>
            <w:shd w:val="clear" w:color="auto" w:fill="FFFFFF"/>
            <w:vAlign w:val="center"/>
          </w:tcPr>
          <w:p>
            <w:pPr>
              <w:widowControl/>
              <w:jc w:val="center"/>
              <w:textAlignment w:val="center"/>
              <w:rPr>
                <w:rFonts w:ascii="Times New Roman" w:hAnsi="Times New Roman" w:eastAsia="新宋体" w:cs="Times New Roman"/>
                <w:color w:val="000000"/>
                <w:kern w:val="0"/>
                <w:szCs w:val="21"/>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44" w:type="pct"/>
            <w:tcBorders>
              <w:top w:val="single" w:color="000000" w:sz="6" w:space="0"/>
              <w:left w:val="single" w:color="000000" w:sz="8"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19 </w:t>
            </w:r>
          </w:p>
        </w:tc>
        <w:tc>
          <w:tcPr>
            <w:tcW w:w="613"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LED平板灯</w:t>
            </w:r>
          </w:p>
        </w:tc>
        <w:tc>
          <w:tcPr>
            <w:tcW w:w="233"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只</w:t>
            </w:r>
          </w:p>
        </w:tc>
        <w:tc>
          <w:tcPr>
            <w:tcW w:w="404"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40.0 </w:t>
            </w:r>
          </w:p>
        </w:tc>
        <w:tc>
          <w:tcPr>
            <w:tcW w:w="449"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97"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201"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按实结算；规格:600mm*600mm/6500K；功率：58W</w:t>
            </w:r>
          </w:p>
        </w:tc>
        <w:tc>
          <w:tcPr>
            <w:tcW w:w="629" w:type="pct"/>
            <w:tcBorders>
              <w:top w:val="single" w:color="000000" w:sz="6" w:space="0"/>
              <w:left w:val="single" w:color="000000" w:sz="6" w:space="0"/>
              <w:bottom w:val="single" w:color="000000" w:sz="6" w:space="0"/>
              <w:right w:val="single" w:color="000000" w:sz="6" w:space="0"/>
              <w:tl2br w:val="nil"/>
              <w:tr2bl w:val="nil"/>
            </w:tcBorders>
            <w:shd w:val="clear" w:color="auto" w:fill="FFFFFF"/>
            <w:vAlign w:val="center"/>
          </w:tcPr>
          <w:p>
            <w:pPr>
              <w:widowControl/>
              <w:jc w:val="center"/>
              <w:textAlignment w:val="center"/>
              <w:rPr>
                <w:rFonts w:ascii="Times New Roman" w:hAnsi="Times New Roman" w:eastAsia="新宋体" w:cs="Times New Roman"/>
                <w:color w:val="000000"/>
                <w:kern w:val="0"/>
                <w:szCs w:val="21"/>
                <w:lang w:bidi="ar"/>
              </w:rPr>
            </w:pPr>
            <w:r>
              <w:rPr>
                <w:rFonts w:ascii="Times New Roman" w:hAnsi="Times New Roman" w:eastAsia="新宋体" w:cs="Times New Roman"/>
                <w:color w:val="000000"/>
                <w:kern w:val="0"/>
                <w:szCs w:val="21"/>
                <w:lang w:bidi="ar"/>
              </w:rPr>
              <w:t>欧普、雷士、飞利浦</w:t>
            </w:r>
          </w:p>
        </w:tc>
        <w:tc>
          <w:tcPr>
            <w:tcW w:w="629" w:type="pct"/>
            <w:tcBorders>
              <w:top w:val="single" w:color="000000" w:sz="6" w:space="0"/>
              <w:left w:val="single" w:color="000000" w:sz="6" w:space="0"/>
              <w:bottom w:val="single" w:color="000000" w:sz="6" w:space="0"/>
              <w:right w:val="single" w:color="000000" w:sz="8" w:space="0"/>
              <w:tl2br w:val="nil"/>
              <w:tr2bl w:val="nil"/>
            </w:tcBorders>
            <w:shd w:val="clear" w:color="auto" w:fill="FFFFFF"/>
            <w:vAlign w:val="center"/>
          </w:tcPr>
          <w:p>
            <w:pPr>
              <w:widowControl/>
              <w:jc w:val="center"/>
              <w:textAlignment w:val="center"/>
              <w:rPr>
                <w:rFonts w:ascii="Times New Roman" w:hAnsi="Times New Roman" w:eastAsia="新宋体" w:cs="Times New Roman"/>
                <w:color w:val="000000"/>
                <w:kern w:val="0"/>
                <w:szCs w:val="21"/>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44" w:type="pct"/>
            <w:tcBorders>
              <w:top w:val="single" w:color="000000" w:sz="6" w:space="0"/>
              <w:left w:val="single" w:color="000000" w:sz="8"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20 </w:t>
            </w:r>
          </w:p>
        </w:tc>
        <w:tc>
          <w:tcPr>
            <w:tcW w:w="613"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200*1200长条灯</w:t>
            </w:r>
          </w:p>
        </w:tc>
        <w:tc>
          <w:tcPr>
            <w:tcW w:w="233"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只</w:t>
            </w:r>
          </w:p>
        </w:tc>
        <w:tc>
          <w:tcPr>
            <w:tcW w:w="404"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15.0 </w:t>
            </w:r>
          </w:p>
        </w:tc>
        <w:tc>
          <w:tcPr>
            <w:tcW w:w="449"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97"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201"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按实结算；灯的样式与型号根据现场而定，提供选样；功率：35W</w:t>
            </w:r>
          </w:p>
        </w:tc>
        <w:tc>
          <w:tcPr>
            <w:tcW w:w="629" w:type="pct"/>
            <w:tcBorders>
              <w:top w:val="single" w:color="000000" w:sz="6" w:space="0"/>
              <w:left w:val="single" w:color="000000" w:sz="6" w:space="0"/>
              <w:bottom w:val="single" w:color="000000" w:sz="6" w:space="0"/>
              <w:right w:val="single" w:color="000000" w:sz="6" w:space="0"/>
              <w:tl2br w:val="nil"/>
              <w:tr2bl w:val="nil"/>
            </w:tcBorders>
            <w:shd w:val="clear" w:color="auto" w:fill="FFFFFF"/>
            <w:vAlign w:val="center"/>
          </w:tcPr>
          <w:p>
            <w:pPr>
              <w:widowControl/>
              <w:jc w:val="center"/>
              <w:textAlignment w:val="center"/>
              <w:rPr>
                <w:rFonts w:ascii="Times New Roman" w:hAnsi="Times New Roman" w:eastAsia="新宋体" w:cs="Times New Roman"/>
                <w:color w:val="000000"/>
                <w:kern w:val="0"/>
                <w:szCs w:val="21"/>
                <w:lang w:bidi="ar"/>
              </w:rPr>
            </w:pPr>
            <w:r>
              <w:rPr>
                <w:rFonts w:ascii="Times New Roman" w:hAnsi="Times New Roman" w:eastAsia="新宋体" w:cs="Times New Roman"/>
                <w:color w:val="000000"/>
                <w:kern w:val="0"/>
                <w:szCs w:val="21"/>
                <w:lang w:bidi="ar"/>
              </w:rPr>
              <w:t>欧普、雷士、飞利浦</w:t>
            </w:r>
          </w:p>
        </w:tc>
        <w:tc>
          <w:tcPr>
            <w:tcW w:w="629" w:type="pct"/>
            <w:tcBorders>
              <w:top w:val="single" w:color="000000" w:sz="6" w:space="0"/>
              <w:left w:val="single" w:color="000000" w:sz="6" w:space="0"/>
              <w:bottom w:val="single" w:color="000000" w:sz="6" w:space="0"/>
              <w:right w:val="single" w:color="000000" w:sz="8" w:space="0"/>
              <w:tl2br w:val="nil"/>
              <w:tr2bl w:val="nil"/>
            </w:tcBorders>
            <w:shd w:val="clear" w:color="auto" w:fill="FFFFFF"/>
            <w:vAlign w:val="center"/>
          </w:tcPr>
          <w:p>
            <w:pPr>
              <w:widowControl/>
              <w:jc w:val="center"/>
              <w:textAlignment w:val="center"/>
              <w:rPr>
                <w:rFonts w:ascii="Times New Roman" w:hAnsi="Times New Roman" w:eastAsia="新宋体" w:cs="Times New Roman"/>
                <w:color w:val="000000"/>
                <w:kern w:val="0"/>
                <w:szCs w:val="21"/>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44" w:type="pct"/>
            <w:tcBorders>
              <w:top w:val="single" w:color="000000" w:sz="6" w:space="0"/>
              <w:left w:val="single" w:color="000000" w:sz="8"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21 </w:t>
            </w:r>
          </w:p>
        </w:tc>
        <w:tc>
          <w:tcPr>
            <w:tcW w:w="613"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保护接地</w:t>
            </w:r>
          </w:p>
        </w:tc>
        <w:tc>
          <w:tcPr>
            <w:tcW w:w="233"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项</w:t>
            </w:r>
          </w:p>
        </w:tc>
        <w:tc>
          <w:tcPr>
            <w:tcW w:w="404"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1.0 </w:t>
            </w:r>
          </w:p>
        </w:tc>
        <w:tc>
          <w:tcPr>
            <w:tcW w:w="449"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597"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201"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二楼三个机电试验室沿墙四周距地面0.2米设置室内水平保护接地汇流排,镀锌接地扁钢规格为30mm*3.6mm；其他房间提供保护接地点，用于设备保护接地，接地电阻小于</w:t>
            </w:r>
            <w:r>
              <w:rPr>
                <w:rFonts w:hint="eastAsia" w:ascii="Times New Roman" w:hAnsi="Times New Roman" w:eastAsia="新宋体" w:cs="Times New Roman"/>
                <w:color w:val="000000"/>
                <w:kern w:val="0"/>
                <w:szCs w:val="21"/>
                <w:lang w:bidi="ar"/>
              </w:rPr>
              <w:t>1</w:t>
            </w:r>
            <w:r>
              <w:rPr>
                <w:rFonts w:ascii="Times New Roman" w:hAnsi="Times New Roman" w:eastAsia="仿宋" w:cs="Times New Roman"/>
                <w:color w:val="000000"/>
                <w:kern w:val="0"/>
                <w:szCs w:val="21"/>
                <w:lang w:bidi="ar"/>
              </w:rPr>
              <w:t>Ω</w:t>
            </w:r>
          </w:p>
        </w:tc>
        <w:tc>
          <w:tcPr>
            <w:tcW w:w="629" w:type="pct"/>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widowControl/>
              <w:jc w:val="center"/>
              <w:textAlignment w:val="center"/>
              <w:rPr>
                <w:rFonts w:ascii="Times New Roman" w:hAnsi="Times New Roman" w:eastAsia="新宋体" w:cs="Times New Roman"/>
                <w:color w:val="000000"/>
                <w:kern w:val="0"/>
                <w:szCs w:val="21"/>
                <w:lang w:bidi="ar"/>
              </w:rPr>
            </w:pPr>
          </w:p>
        </w:tc>
        <w:tc>
          <w:tcPr>
            <w:tcW w:w="629" w:type="pct"/>
            <w:tcBorders>
              <w:top w:val="single" w:color="000000" w:sz="6" w:space="0"/>
              <w:left w:val="single" w:color="000000" w:sz="6" w:space="0"/>
              <w:bottom w:val="single" w:color="000000" w:sz="6" w:space="0"/>
              <w:right w:val="single" w:color="000000" w:sz="8" w:space="0"/>
              <w:tl2br w:val="nil"/>
              <w:tr2bl w:val="nil"/>
            </w:tcBorders>
            <w:shd w:val="clear" w:color="auto" w:fill="auto"/>
            <w:vAlign w:val="center"/>
          </w:tcPr>
          <w:p>
            <w:pPr>
              <w:rPr>
                <w:rFonts w:ascii="Times New Roman" w:hAnsi="Times New Roman" w:eastAsia="新宋体" w:cs="Times New Roman"/>
                <w:b/>
                <w:bCs/>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944" w:type="pct"/>
            <w:gridSpan w:val="5"/>
            <w:tcBorders>
              <w:top w:val="single" w:color="000000" w:sz="6" w:space="0"/>
              <w:left w:val="single" w:color="000000" w:sz="8" w:space="0"/>
              <w:bottom w:val="single" w:color="000000" w:sz="8" w:space="0"/>
              <w:right w:val="single" w:color="000000" w:sz="6" w:space="0"/>
              <w:tl2br w:val="nil"/>
              <w:tr2bl w:val="nil"/>
            </w:tcBorders>
            <w:shd w:val="clear" w:color="auto" w:fill="auto"/>
            <w:vAlign w:val="center"/>
          </w:tcPr>
          <w:p>
            <w:pPr>
              <w:jc w:val="center"/>
              <w:rPr>
                <w:rFonts w:ascii="Times New Roman" w:hAnsi="Times New Roman" w:eastAsia="新宋体" w:cs="Times New Roman"/>
                <w:color w:val="000000"/>
                <w:szCs w:val="21"/>
              </w:rPr>
            </w:pPr>
            <w:r>
              <w:rPr>
                <w:rFonts w:ascii="Times New Roman" w:hAnsi="Times New Roman" w:eastAsia="宋体" w:cs="Times New Roman"/>
                <w:b/>
                <w:bCs/>
                <w:color w:val="000000"/>
                <w:kern w:val="0"/>
                <w:szCs w:val="21"/>
                <w:lang w:bidi="ar"/>
              </w:rPr>
              <w:t>总计（元）</w:t>
            </w:r>
          </w:p>
        </w:tc>
        <w:tc>
          <w:tcPr>
            <w:tcW w:w="3056" w:type="pct"/>
            <w:gridSpan w:val="4"/>
            <w:tcBorders>
              <w:top w:val="single" w:color="000000" w:sz="6" w:space="0"/>
              <w:left w:val="single" w:color="000000" w:sz="6" w:space="0"/>
              <w:bottom w:val="single" w:color="000000" w:sz="8" w:space="0"/>
              <w:right w:val="single" w:color="000000" w:sz="8" w:space="0"/>
              <w:tl2br w:val="nil"/>
              <w:tr2bl w:val="nil"/>
            </w:tcBorders>
            <w:shd w:val="clear" w:color="auto" w:fill="auto"/>
            <w:vAlign w:val="center"/>
          </w:tcPr>
          <w:p>
            <w:pPr>
              <w:jc w:val="left"/>
              <w:rPr>
                <w:rFonts w:ascii="Times New Roman" w:hAnsi="Times New Roman" w:eastAsia="新宋体" w:cs="Times New Roman"/>
                <w:color w:val="000000"/>
                <w:szCs w:val="21"/>
              </w:rPr>
            </w:pPr>
          </w:p>
        </w:tc>
      </w:tr>
    </w:tbl>
    <w:p>
      <w:pPr>
        <w:rPr>
          <w:rFonts w:ascii="Times New Roman" w:hAnsi="Times New Roman" w:cs="Times New Roman"/>
          <w:sz w:val="28"/>
          <w:szCs w:val="36"/>
        </w:rPr>
      </w:pPr>
      <w:r>
        <w:rPr>
          <w:rFonts w:ascii="Times New Roman" w:hAnsi="Times New Roman" w:cs="Times New Roman"/>
          <w:sz w:val="28"/>
          <w:szCs w:val="36"/>
        </w:rPr>
        <w:br w:type="page"/>
      </w:r>
    </w:p>
    <w:p>
      <w:pPr>
        <w:pStyle w:val="2"/>
        <w:spacing w:after="0" w:line="360" w:lineRule="auto"/>
        <w:jc w:val="center"/>
        <w:rPr>
          <w:rFonts w:ascii="Times New Roman" w:hAnsi="Times New Roman" w:cs="Times New Roman"/>
          <w:sz w:val="28"/>
          <w:szCs w:val="36"/>
        </w:rPr>
      </w:pPr>
      <w:r>
        <w:rPr>
          <w:rFonts w:ascii="Times New Roman" w:hAnsi="Times New Roman" w:cs="Times New Roman"/>
          <w:sz w:val="28"/>
          <w:szCs w:val="36"/>
        </w:rPr>
        <w:t>表四 弱电工程分项报价表</w:t>
      </w:r>
    </w:p>
    <w:tbl>
      <w:tblPr>
        <w:tblStyle w:val="20"/>
        <w:tblW w:w="4996" w:type="pct"/>
        <w:tblInd w:w="0" w:type="dxa"/>
        <w:tblLayout w:type="autofit"/>
        <w:tblCellMar>
          <w:top w:w="0" w:type="dxa"/>
          <w:left w:w="108" w:type="dxa"/>
          <w:bottom w:w="0" w:type="dxa"/>
          <w:right w:w="108" w:type="dxa"/>
        </w:tblCellMar>
      </w:tblPr>
      <w:tblGrid>
        <w:gridCol w:w="638"/>
        <w:gridCol w:w="1285"/>
        <w:gridCol w:w="1031"/>
        <w:gridCol w:w="844"/>
        <w:gridCol w:w="1275"/>
        <w:gridCol w:w="1317"/>
        <w:gridCol w:w="3592"/>
        <w:gridCol w:w="2328"/>
        <w:gridCol w:w="1853"/>
      </w:tblGrid>
      <w:tr>
        <w:tblPrEx>
          <w:tblCellMar>
            <w:top w:w="0" w:type="dxa"/>
            <w:left w:w="108" w:type="dxa"/>
            <w:bottom w:w="0" w:type="dxa"/>
            <w:right w:w="108" w:type="dxa"/>
          </w:tblCellMar>
        </w:tblPrEx>
        <w:trPr>
          <w:trHeight w:val="680" w:hRule="atLeast"/>
        </w:trPr>
        <w:tc>
          <w:tcPr>
            <w:tcW w:w="2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b/>
                <w:bCs/>
                <w:color w:val="000000"/>
                <w:szCs w:val="21"/>
              </w:rPr>
            </w:pPr>
            <w:r>
              <w:rPr>
                <w:rFonts w:ascii="Times New Roman" w:hAnsi="Times New Roman" w:eastAsia="宋体" w:cs="Times New Roman"/>
                <w:b/>
                <w:bCs/>
                <w:color w:val="000000"/>
                <w:kern w:val="0"/>
                <w:szCs w:val="21"/>
                <w:lang w:bidi="ar"/>
              </w:rPr>
              <w:t>序号</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b/>
                <w:bCs/>
                <w:color w:val="000000"/>
                <w:szCs w:val="21"/>
              </w:rPr>
            </w:pPr>
            <w:r>
              <w:rPr>
                <w:rFonts w:ascii="Times New Roman" w:hAnsi="Times New Roman" w:eastAsia="宋体" w:cs="Times New Roman"/>
                <w:b/>
                <w:bCs/>
                <w:color w:val="000000"/>
                <w:kern w:val="0"/>
                <w:szCs w:val="21"/>
                <w:lang w:bidi="ar"/>
              </w:rPr>
              <w:t>项目名称</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b/>
                <w:bCs/>
                <w:color w:val="000000"/>
                <w:szCs w:val="21"/>
              </w:rPr>
            </w:pPr>
            <w:r>
              <w:rPr>
                <w:rFonts w:ascii="Times New Roman" w:hAnsi="Times New Roman" w:eastAsia="宋体" w:cs="Times New Roman"/>
                <w:b/>
                <w:bCs/>
                <w:color w:val="000000"/>
                <w:kern w:val="0"/>
                <w:szCs w:val="21"/>
                <w:lang w:bidi="ar"/>
              </w:rPr>
              <w:t>单位</w:t>
            </w:r>
          </w:p>
        </w:tc>
        <w:tc>
          <w:tcPr>
            <w:tcW w:w="2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b/>
                <w:bCs/>
                <w:color w:val="000000"/>
                <w:szCs w:val="21"/>
              </w:rPr>
            </w:pPr>
            <w:r>
              <w:rPr>
                <w:rFonts w:ascii="Times New Roman" w:hAnsi="Times New Roman" w:eastAsia="宋体" w:cs="Times New Roman"/>
                <w:b/>
                <w:bCs/>
                <w:color w:val="000000"/>
                <w:kern w:val="0"/>
                <w:szCs w:val="21"/>
                <w:lang w:bidi="ar"/>
              </w:rPr>
              <w:t>数量</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b/>
                <w:bCs/>
                <w:color w:val="000000"/>
                <w:kern w:val="0"/>
                <w:szCs w:val="21"/>
                <w:lang w:bidi="ar"/>
              </w:rPr>
              <w:t>单价</w:t>
            </w:r>
            <w:r>
              <w:rPr>
                <w:rFonts w:ascii="Times New Roman" w:hAnsi="Times New Roman" w:eastAsia="新宋体" w:cs="Times New Roman"/>
                <w:b/>
                <w:bCs/>
                <w:color w:val="000000"/>
                <w:kern w:val="0"/>
                <w:szCs w:val="21"/>
                <w:lang w:bidi="ar"/>
              </w:rPr>
              <w:t>（元）</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b/>
                <w:bCs/>
                <w:color w:val="000000"/>
                <w:szCs w:val="21"/>
              </w:rPr>
            </w:pPr>
            <w:r>
              <w:rPr>
                <w:rFonts w:ascii="Times New Roman" w:hAnsi="Times New Roman" w:eastAsia="宋体" w:cs="Times New Roman"/>
                <w:b/>
                <w:bCs/>
                <w:color w:val="000000"/>
                <w:kern w:val="0"/>
                <w:szCs w:val="21"/>
                <w:lang w:bidi="ar"/>
              </w:rPr>
              <w:t>金额</w:t>
            </w:r>
            <w:r>
              <w:rPr>
                <w:rFonts w:ascii="Times New Roman" w:hAnsi="Times New Roman" w:eastAsia="新宋体" w:cs="Times New Roman"/>
                <w:b/>
                <w:bCs/>
                <w:color w:val="000000"/>
                <w:kern w:val="0"/>
                <w:szCs w:val="21"/>
                <w:lang w:bidi="ar"/>
              </w:rPr>
              <w:t>（元）</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新宋体" w:cs="Times New Roman"/>
                <w:b/>
                <w:bCs/>
                <w:color w:val="000000"/>
                <w:szCs w:val="21"/>
              </w:rPr>
            </w:pPr>
            <w:r>
              <w:rPr>
                <w:rFonts w:ascii="Times New Roman" w:hAnsi="Times New Roman" w:eastAsia="新宋体" w:cs="Times New Roman"/>
                <w:b/>
                <w:bCs/>
                <w:color w:val="000000"/>
                <w:kern w:val="0"/>
                <w:szCs w:val="21"/>
                <w:lang w:bidi="ar"/>
              </w:rPr>
              <w:t>技术要求</w:t>
            </w:r>
          </w:p>
        </w:tc>
        <w:tc>
          <w:tcPr>
            <w:tcW w:w="8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ottom"/>
              <w:rPr>
                <w:rFonts w:ascii="Times New Roman" w:hAnsi="Times New Roman" w:eastAsia="新宋体" w:cs="Times New Roman"/>
                <w:b/>
                <w:bCs/>
                <w:color w:val="000000"/>
                <w:szCs w:val="21"/>
              </w:rPr>
            </w:pPr>
            <w:r>
              <w:rPr>
                <w:rFonts w:ascii="Times New Roman" w:hAnsi="Times New Roman" w:eastAsia="新宋体" w:cs="Times New Roman"/>
                <w:b/>
                <w:bCs/>
                <w:color w:val="000000"/>
                <w:kern w:val="0"/>
                <w:szCs w:val="21"/>
                <w:lang w:bidi="ar"/>
              </w:rPr>
              <w:t>品牌</w:t>
            </w:r>
          </w:p>
        </w:tc>
        <w:tc>
          <w:tcPr>
            <w:tcW w:w="6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ottom"/>
              <w:rPr>
                <w:rFonts w:ascii="Times New Roman" w:hAnsi="Times New Roman" w:eastAsia="新宋体" w:cs="Times New Roman"/>
                <w:b/>
                <w:bCs/>
                <w:color w:val="000000"/>
                <w:kern w:val="0"/>
                <w:szCs w:val="21"/>
                <w:lang w:bidi="ar"/>
              </w:rPr>
            </w:pPr>
            <w:r>
              <w:rPr>
                <w:rFonts w:ascii="Times New Roman" w:hAnsi="Times New Roman" w:eastAsia="新宋体" w:cs="Times New Roman"/>
                <w:b/>
                <w:bCs/>
                <w:color w:val="000000"/>
                <w:kern w:val="0"/>
                <w:szCs w:val="21"/>
                <w:lang w:bidi="ar"/>
              </w:rPr>
              <w:t>规格型号</w:t>
            </w:r>
          </w:p>
        </w:tc>
      </w:tr>
      <w:tr>
        <w:tblPrEx>
          <w:tblCellMar>
            <w:top w:w="0" w:type="dxa"/>
            <w:left w:w="108" w:type="dxa"/>
            <w:bottom w:w="0" w:type="dxa"/>
            <w:right w:w="108" w:type="dxa"/>
          </w:tblCellMar>
        </w:tblPrEx>
        <w:trPr>
          <w:trHeight w:val="680" w:hRule="atLeast"/>
        </w:trPr>
        <w:tc>
          <w:tcPr>
            <w:tcW w:w="2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w:t>
            </w:r>
          </w:p>
        </w:tc>
        <w:tc>
          <w:tcPr>
            <w:tcW w:w="4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网络监控摄像机（室内）</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台</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8.0 </w:t>
            </w:r>
          </w:p>
        </w:tc>
        <w:tc>
          <w:tcPr>
            <w:tcW w:w="4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新宋体" w:cs="Times New Roman"/>
                <w:color w:val="000000"/>
                <w:szCs w:val="21"/>
              </w:rPr>
            </w:pPr>
          </w:p>
        </w:tc>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新宋体" w:cs="Times New Roman"/>
                <w:color w:val="000000"/>
                <w:szCs w:val="21"/>
              </w:rPr>
            </w:pPr>
          </w:p>
        </w:tc>
        <w:tc>
          <w:tcPr>
            <w:tcW w:w="1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含支架；200万像素1080P高清，H.265编码，支持背光补偿，3D数字降噪 红外照射30米，IP66防尘防水设计，支持云平台接入</w:t>
            </w:r>
          </w:p>
        </w:tc>
        <w:tc>
          <w:tcPr>
            <w:tcW w:w="8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新宋体" w:cs="Times New Roman"/>
                <w:color w:val="000000"/>
                <w:kern w:val="0"/>
                <w:szCs w:val="21"/>
                <w:lang w:bidi="ar"/>
              </w:rPr>
            </w:pPr>
            <w:r>
              <w:rPr>
                <w:rFonts w:ascii="Times New Roman" w:hAnsi="Times New Roman" w:eastAsia="新宋体" w:cs="Times New Roman"/>
                <w:color w:val="000000"/>
                <w:kern w:val="0"/>
                <w:szCs w:val="21"/>
                <w:lang w:bidi="ar"/>
              </w:rPr>
              <w:t>海康威视、大华、萤石</w:t>
            </w:r>
          </w:p>
        </w:tc>
        <w:tc>
          <w:tcPr>
            <w:tcW w:w="6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新宋体" w:cs="Times New Roman"/>
                <w:color w:val="000000"/>
                <w:kern w:val="0"/>
                <w:szCs w:val="21"/>
                <w:lang w:bidi="ar"/>
              </w:rPr>
            </w:pPr>
          </w:p>
        </w:tc>
      </w:tr>
      <w:tr>
        <w:tblPrEx>
          <w:tblCellMar>
            <w:top w:w="0" w:type="dxa"/>
            <w:left w:w="108" w:type="dxa"/>
            <w:bottom w:w="0" w:type="dxa"/>
            <w:right w:w="108" w:type="dxa"/>
          </w:tblCellMar>
        </w:tblPrEx>
        <w:trPr>
          <w:trHeight w:val="680" w:hRule="atLeast"/>
        </w:trPr>
        <w:tc>
          <w:tcPr>
            <w:tcW w:w="2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w:t>
            </w:r>
          </w:p>
        </w:tc>
        <w:tc>
          <w:tcPr>
            <w:tcW w:w="4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网络监控摄像机（室外）</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台</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3.0 </w:t>
            </w:r>
          </w:p>
        </w:tc>
        <w:tc>
          <w:tcPr>
            <w:tcW w:w="4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新宋体" w:cs="Times New Roman"/>
                <w:color w:val="000000"/>
                <w:szCs w:val="21"/>
              </w:rPr>
            </w:pPr>
          </w:p>
        </w:tc>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新宋体" w:cs="Times New Roman"/>
                <w:color w:val="000000"/>
                <w:szCs w:val="21"/>
              </w:rPr>
            </w:pPr>
          </w:p>
        </w:tc>
        <w:tc>
          <w:tcPr>
            <w:tcW w:w="1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含支架；400万像素4mp高清，H.265编码，支持背光补偿，3D数字降噪 红外照射30米，IP66防尘防水设计，支持云平台接入</w:t>
            </w:r>
          </w:p>
        </w:tc>
        <w:tc>
          <w:tcPr>
            <w:tcW w:w="8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新宋体" w:cs="Times New Roman"/>
                <w:color w:val="000000"/>
                <w:kern w:val="0"/>
                <w:szCs w:val="21"/>
                <w:lang w:bidi="ar"/>
              </w:rPr>
            </w:pPr>
            <w:r>
              <w:rPr>
                <w:rFonts w:ascii="Times New Roman" w:hAnsi="Times New Roman" w:eastAsia="新宋体" w:cs="Times New Roman"/>
                <w:color w:val="000000"/>
                <w:kern w:val="0"/>
                <w:szCs w:val="21"/>
                <w:lang w:bidi="ar"/>
              </w:rPr>
              <w:t>海康威视、大华、萤石</w:t>
            </w:r>
          </w:p>
        </w:tc>
        <w:tc>
          <w:tcPr>
            <w:tcW w:w="6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新宋体" w:cs="Times New Roman"/>
                <w:color w:val="000000"/>
                <w:kern w:val="0"/>
                <w:szCs w:val="21"/>
                <w:lang w:bidi="ar"/>
              </w:rPr>
            </w:pPr>
          </w:p>
        </w:tc>
      </w:tr>
      <w:tr>
        <w:tblPrEx>
          <w:tblCellMar>
            <w:top w:w="0" w:type="dxa"/>
            <w:left w:w="108" w:type="dxa"/>
            <w:bottom w:w="0" w:type="dxa"/>
            <w:right w:w="108" w:type="dxa"/>
          </w:tblCellMar>
        </w:tblPrEx>
        <w:trPr>
          <w:trHeight w:val="680" w:hRule="atLeast"/>
        </w:trPr>
        <w:tc>
          <w:tcPr>
            <w:tcW w:w="2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w:t>
            </w:r>
          </w:p>
        </w:tc>
        <w:tc>
          <w:tcPr>
            <w:tcW w:w="4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硬盘录像机</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台</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1.0 </w:t>
            </w:r>
          </w:p>
        </w:tc>
        <w:tc>
          <w:tcPr>
            <w:tcW w:w="4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新宋体" w:cs="Times New Roman"/>
                <w:color w:val="000000"/>
                <w:szCs w:val="21"/>
              </w:rPr>
            </w:pPr>
          </w:p>
        </w:tc>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新宋体" w:cs="Times New Roman"/>
                <w:color w:val="000000"/>
                <w:szCs w:val="21"/>
              </w:rPr>
            </w:pPr>
          </w:p>
        </w:tc>
        <w:tc>
          <w:tcPr>
            <w:tcW w:w="1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16路通道；含硬盘；内存不少于2T；支持分辨率1080p/4k；单盘位最大支持8T；不少于2个usb接口；带电脑软件和手机APP</w:t>
            </w:r>
          </w:p>
        </w:tc>
        <w:tc>
          <w:tcPr>
            <w:tcW w:w="8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新宋体" w:cs="Times New Roman"/>
                <w:color w:val="000000"/>
                <w:kern w:val="0"/>
                <w:szCs w:val="21"/>
                <w:lang w:bidi="ar"/>
              </w:rPr>
            </w:pPr>
            <w:r>
              <w:rPr>
                <w:rFonts w:ascii="Times New Roman" w:hAnsi="Times New Roman" w:eastAsia="新宋体" w:cs="Times New Roman"/>
                <w:color w:val="000000"/>
                <w:kern w:val="0"/>
                <w:szCs w:val="21"/>
                <w:lang w:bidi="ar"/>
              </w:rPr>
              <w:t>海康威视、大华、萤石</w:t>
            </w:r>
          </w:p>
        </w:tc>
        <w:tc>
          <w:tcPr>
            <w:tcW w:w="6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新宋体" w:cs="Times New Roman"/>
                <w:color w:val="000000"/>
                <w:kern w:val="0"/>
                <w:szCs w:val="21"/>
                <w:lang w:bidi="ar"/>
              </w:rPr>
            </w:pPr>
          </w:p>
        </w:tc>
      </w:tr>
      <w:tr>
        <w:tblPrEx>
          <w:tblCellMar>
            <w:top w:w="0" w:type="dxa"/>
            <w:left w:w="108" w:type="dxa"/>
            <w:bottom w:w="0" w:type="dxa"/>
            <w:right w:w="108" w:type="dxa"/>
          </w:tblCellMar>
        </w:tblPrEx>
        <w:trPr>
          <w:trHeight w:val="680" w:hRule="atLeast"/>
        </w:trPr>
        <w:tc>
          <w:tcPr>
            <w:tcW w:w="2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w:t>
            </w:r>
          </w:p>
        </w:tc>
        <w:tc>
          <w:tcPr>
            <w:tcW w:w="4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主路由器</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台</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1.0 </w:t>
            </w:r>
          </w:p>
        </w:tc>
        <w:tc>
          <w:tcPr>
            <w:tcW w:w="4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新宋体" w:cs="Times New Roman"/>
                <w:color w:val="000000"/>
                <w:szCs w:val="21"/>
              </w:rPr>
            </w:pPr>
          </w:p>
        </w:tc>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新宋体" w:cs="Times New Roman"/>
                <w:color w:val="000000"/>
                <w:szCs w:val="21"/>
              </w:rPr>
            </w:pPr>
          </w:p>
        </w:tc>
        <w:tc>
          <w:tcPr>
            <w:tcW w:w="1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5口；千兆端口；内置防火墙；内置AC功能，可对无线AP进行统一配置和管理</w:t>
            </w:r>
          </w:p>
        </w:tc>
        <w:tc>
          <w:tcPr>
            <w:tcW w:w="8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新宋体" w:cs="Times New Roman"/>
                <w:color w:val="000000"/>
                <w:kern w:val="0"/>
                <w:szCs w:val="21"/>
                <w:lang w:bidi="ar"/>
              </w:rPr>
            </w:pPr>
            <w:r>
              <w:rPr>
                <w:rFonts w:ascii="Times New Roman" w:hAnsi="Times New Roman" w:eastAsia="新宋体" w:cs="Times New Roman"/>
                <w:color w:val="000000"/>
                <w:kern w:val="0"/>
                <w:szCs w:val="21"/>
                <w:lang w:bidi="ar"/>
              </w:rPr>
              <w:t>华为、TP-link、新华三</w:t>
            </w:r>
          </w:p>
        </w:tc>
        <w:tc>
          <w:tcPr>
            <w:tcW w:w="6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新宋体" w:cs="Times New Roman"/>
                <w:color w:val="000000"/>
                <w:kern w:val="0"/>
                <w:szCs w:val="21"/>
                <w:lang w:bidi="ar"/>
              </w:rPr>
            </w:pPr>
          </w:p>
        </w:tc>
      </w:tr>
      <w:tr>
        <w:tblPrEx>
          <w:tblCellMar>
            <w:top w:w="0" w:type="dxa"/>
            <w:left w:w="108" w:type="dxa"/>
            <w:bottom w:w="0" w:type="dxa"/>
            <w:right w:w="108" w:type="dxa"/>
          </w:tblCellMar>
        </w:tblPrEx>
        <w:trPr>
          <w:trHeight w:val="680" w:hRule="atLeast"/>
        </w:trPr>
        <w:tc>
          <w:tcPr>
            <w:tcW w:w="2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5</w:t>
            </w:r>
          </w:p>
        </w:tc>
        <w:tc>
          <w:tcPr>
            <w:tcW w:w="4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监控交换机</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台</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2.0 </w:t>
            </w:r>
          </w:p>
        </w:tc>
        <w:tc>
          <w:tcPr>
            <w:tcW w:w="4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新宋体" w:cs="Times New Roman"/>
                <w:color w:val="000000"/>
                <w:szCs w:val="21"/>
              </w:rPr>
            </w:pPr>
          </w:p>
        </w:tc>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新宋体" w:cs="Times New Roman"/>
                <w:color w:val="000000"/>
                <w:szCs w:val="21"/>
              </w:rPr>
            </w:pPr>
          </w:p>
        </w:tc>
        <w:tc>
          <w:tcPr>
            <w:tcW w:w="1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10口POE交换机；千兆端口</w:t>
            </w:r>
          </w:p>
        </w:tc>
        <w:tc>
          <w:tcPr>
            <w:tcW w:w="8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新宋体" w:cs="Times New Roman"/>
                <w:color w:val="000000"/>
                <w:kern w:val="0"/>
                <w:szCs w:val="21"/>
                <w:lang w:bidi="ar"/>
              </w:rPr>
            </w:pPr>
            <w:r>
              <w:rPr>
                <w:rFonts w:ascii="Times New Roman" w:hAnsi="Times New Roman" w:eastAsia="新宋体" w:cs="Times New Roman"/>
                <w:color w:val="000000"/>
                <w:kern w:val="0"/>
                <w:szCs w:val="21"/>
                <w:lang w:bidi="ar"/>
              </w:rPr>
              <w:t>华为、TP-link、新华三</w:t>
            </w:r>
          </w:p>
        </w:tc>
        <w:tc>
          <w:tcPr>
            <w:tcW w:w="6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新宋体" w:cs="Times New Roman"/>
                <w:color w:val="000000"/>
                <w:kern w:val="0"/>
                <w:szCs w:val="21"/>
                <w:lang w:bidi="ar"/>
              </w:rPr>
            </w:pPr>
          </w:p>
        </w:tc>
      </w:tr>
      <w:tr>
        <w:tblPrEx>
          <w:tblCellMar>
            <w:top w:w="0" w:type="dxa"/>
            <w:left w:w="108" w:type="dxa"/>
            <w:bottom w:w="0" w:type="dxa"/>
            <w:right w:w="108" w:type="dxa"/>
          </w:tblCellMar>
        </w:tblPrEx>
        <w:trPr>
          <w:trHeight w:val="680" w:hRule="atLeast"/>
        </w:trPr>
        <w:tc>
          <w:tcPr>
            <w:tcW w:w="2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6</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无线AP</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个</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4.0 </w:t>
            </w:r>
          </w:p>
        </w:tc>
        <w:tc>
          <w:tcPr>
            <w:tcW w:w="4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新宋体" w:cs="Times New Roman"/>
                <w:color w:val="000000"/>
                <w:szCs w:val="21"/>
              </w:rPr>
            </w:pPr>
          </w:p>
        </w:tc>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新宋体" w:cs="Times New Roman"/>
                <w:color w:val="000000"/>
                <w:szCs w:val="21"/>
              </w:rPr>
            </w:pPr>
          </w:p>
        </w:tc>
        <w:tc>
          <w:tcPr>
            <w:tcW w:w="1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千兆端口；无线传输速率1200M，POE或12/24VDC供电</w:t>
            </w:r>
          </w:p>
        </w:tc>
        <w:tc>
          <w:tcPr>
            <w:tcW w:w="8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新宋体" w:cs="Times New Roman"/>
                <w:color w:val="000000"/>
                <w:kern w:val="0"/>
                <w:szCs w:val="21"/>
                <w:lang w:bidi="ar"/>
              </w:rPr>
            </w:pPr>
            <w:r>
              <w:rPr>
                <w:rFonts w:ascii="Times New Roman" w:hAnsi="Times New Roman" w:eastAsia="新宋体" w:cs="Times New Roman"/>
                <w:color w:val="000000"/>
                <w:kern w:val="0"/>
                <w:szCs w:val="21"/>
                <w:lang w:bidi="ar"/>
              </w:rPr>
              <w:t>华为、TP-link、新华三</w:t>
            </w:r>
          </w:p>
        </w:tc>
        <w:tc>
          <w:tcPr>
            <w:tcW w:w="6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新宋体" w:cs="Times New Roman"/>
                <w:color w:val="000000"/>
                <w:kern w:val="0"/>
                <w:szCs w:val="21"/>
                <w:lang w:bidi="ar"/>
              </w:rPr>
            </w:pPr>
          </w:p>
        </w:tc>
      </w:tr>
      <w:tr>
        <w:tblPrEx>
          <w:tblCellMar>
            <w:top w:w="0" w:type="dxa"/>
            <w:left w:w="108" w:type="dxa"/>
            <w:bottom w:w="0" w:type="dxa"/>
            <w:right w:w="108" w:type="dxa"/>
          </w:tblCellMar>
        </w:tblPrEx>
        <w:trPr>
          <w:trHeight w:val="680" w:hRule="atLeast"/>
        </w:trPr>
        <w:tc>
          <w:tcPr>
            <w:tcW w:w="2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7</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机柜</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台</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1.0 </w:t>
            </w:r>
          </w:p>
        </w:tc>
        <w:tc>
          <w:tcPr>
            <w:tcW w:w="4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新宋体" w:cs="Times New Roman"/>
                <w:color w:val="000000"/>
                <w:szCs w:val="21"/>
              </w:rPr>
            </w:pPr>
          </w:p>
        </w:tc>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新宋体" w:cs="Times New Roman"/>
                <w:color w:val="000000"/>
                <w:szCs w:val="21"/>
              </w:rPr>
            </w:pPr>
          </w:p>
        </w:tc>
        <w:tc>
          <w:tcPr>
            <w:tcW w:w="1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600mm*600mm*600mm</w:t>
            </w:r>
          </w:p>
        </w:tc>
        <w:tc>
          <w:tcPr>
            <w:tcW w:w="8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新宋体" w:cs="Times New Roman"/>
                <w:color w:val="000000"/>
                <w:kern w:val="0"/>
                <w:szCs w:val="21"/>
                <w:lang w:bidi="ar"/>
              </w:rPr>
            </w:pPr>
            <w:r>
              <w:rPr>
                <w:rFonts w:ascii="Times New Roman" w:hAnsi="Times New Roman" w:eastAsia="新宋体" w:cs="Times New Roman"/>
                <w:color w:val="000000"/>
                <w:kern w:val="0"/>
                <w:szCs w:val="21"/>
                <w:lang w:bidi="ar"/>
              </w:rPr>
              <w:t>华为、TP-link、新华三</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680" w:hRule="atLeast"/>
        </w:trPr>
        <w:tc>
          <w:tcPr>
            <w:tcW w:w="2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8</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插排</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个</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1.0 </w:t>
            </w:r>
          </w:p>
        </w:tc>
        <w:tc>
          <w:tcPr>
            <w:tcW w:w="4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新宋体" w:cs="Times New Roman"/>
                <w:color w:val="000000"/>
                <w:szCs w:val="21"/>
              </w:rPr>
            </w:pPr>
          </w:p>
        </w:tc>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新宋体" w:cs="Times New Roman"/>
                <w:color w:val="000000"/>
                <w:szCs w:val="21"/>
              </w:rPr>
            </w:pPr>
          </w:p>
        </w:tc>
        <w:tc>
          <w:tcPr>
            <w:tcW w:w="1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8插3米</w:t>
            </w:r>
          </w:p>
        </w:tc>
        <w:tc>
          <w:tcPr>
            <w:tcW w:w="8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新宋体" w:cs="Times New Roman"/>
                <w:color w:val="000000"/>
                <w:kern w:val="0"/>
                <w:szCs w:val="21"/>
                <w:lang w:bidi="ar"/>
              </w:rPr>
            </w:pPr>
            <w:r>
              <w:rPr>
                <w:rFonts w:ascii="Times New Roman" w:hAnsi="Times New Roman" w:eastAsia="新宋体" w:cs="Times New Roman"/>
                <w:color w:val="000000"/>
                <w:kern w:val="0"/>
                <w:szCs w:val="21"/>
                <w:lang w:bidi="ar"/>
              </w:rPr>
              <w:t>公牛、西门子、飞雕</w:t>
            </w:r>
          </w:p>
        </w:tc>
        <w:tc>
          <w:tcPr>
            <w:tcW w:w="6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新宋体" w:cs="Times New Roman"/>
                <w:color w:val="000000"/>
                <w:kern w:val="0"/>
                <w:szCs w:val="21"/>
                <w:lang w:bidi="ar"/>
              </w:rPr>
            </w:pPr>
          </w:p>
        </w:tc>
      </w:tr>
      <w:tr>
        <w:tblPrEx>
          <w:tblCellMar>
            <w:top w:w="0" w:type="dxa"/>
            <w:left w:w="108" w:type="dxa"/>
            <w:bottom w:w="0" w:type="dxa"/>
            <w:right w:w="108" w:type="dxa"/>
          </w:tblCellMar>
        </w:tblPrEx>
        <w:trPr>
          <w:trHeight w:val="680" w:hRule="atLeast"/>
        </w:trPr>
        <w:tc>
          <w:tcPr>
            <w:tcW w:w="2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9</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网线</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米</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650.0 </w:t>
            </w:r>
          </w:p>
        </w:tc>
        <w:tc>
          <w:tcPr>
            <w:tcW w:w="4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新宋体" w:cs="Times New Roman"/>
                <w:color w:val="000000"/>
                <w:szCs w:val="21"/>
              </w:rPr>
            </w:pPr>
          </w:p>
        </w:tc>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新宋体" w:cs="Times New Roman"/>
                <w:color w:val="000000"/>
                <w:szCs w:val="21"/>
              </w:rPr>
            </w:pPr>
          </w:p>
        </w:tc>
        <w:tc>
          <w:tcPr>
            <w:tcW w:w="1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超六类双绞线</w:t>
            </w:r>
          </w:p>
        </w:tc>
        <w:tc>
          <w:tcPr>
            <w:tcW w:w="8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新宋体" w:cs="Times New Roman"/>
                <w:color w:val="000000"/>
                <w:kern w:val="0"/>
                <w:szCs w:val="21"/>
                <w:lang w:bidi="ar"/>
              </w:rPr>
            </w:pPr>
            <w:r>
              <w:rPr>
                <w:rFonts w:ascii="Times New Roman" w:hAnsi="Times New Roman" w:eastAsia="新宋体" w:cs="Times New Roman"/>
                <w:color w:val="000000"/>
                <w:kern w:val="0"/>
                <w:szCs w:val="21"/>
                <w:lang w:bidi="ar"/>
              </w:rPr>
              <w:t>山泽、绿联、安普</w:t>
            </w:r>
          </w:p>
        </w:tc>
        <w:tc>
          <w:tcPr>
            <w:tcW w:w="6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新宋体" w:cs="Times New Roman"/>
                <w:color w:val="000000"/>
                <w:kern w:val="0"/>
                <w:szCs w:val="21"/>
                <w:lang w:bidi="ar"/>
              </w:rPr>
            </w:pPr>
          </w:p>
        </w:tc>
      </w:tr>
      <w:tr>
        <w:tblPrEx>
          <w:tblCellMar>
            <w:top w:w="0" w:type="dxa"/>
            <w:left w:w="108" w:type="dxa"/>
            <w:bottom w:w="0" w:type="dxa"/>
            <w:right w:w="108" w:type="dxa"/>
          </w:tblCellMar>
        </w:tblPrEx>
        <w:trPr>
          <w:trHeight w:val="680" w:hRule="atLeast"/>
        </w:trPr>
        <w:tc>
          <w:tcPr>
            <w:tcW w:w="2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10</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辅材</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批</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 xml:space="preserve">1.0 </w:t>
            </w:r>
          </w:p>
        </w:tc>
        <w:tc>
          <w:tcPr>
            <w:tcW w:w="4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新宋体" w:cs="Times New Roman"/>
                <w:color w:val="000000"/>
                <w:szCs w:val="21"/>
              </w:rPr>
            </w:pPr>
          </w:p>
        </w:tc>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新宋体" w:cs="Times New Roman"/>
                <w:color w:val="000000"/>
                <w:szCs w:val="21"/>
              </w:rPr>
            </w:pPr>
          </w:p>
        </w:tc>
        <w:tc>
          <w:tcPr>
            <w:tcW w:w="1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水晶头、扎带PVC线管等</w:t>
            </w:r>
          </w:p>
        </w:tc>
        <w:tc>
          <w:tcPr>
            <w:tcW w:w="8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新宋体" w:cs="Times New Roman"/>
                <w:color w:val="000000"/>
                <w:kern w:val="0"/>
                <w:szCs w:val="21"/>
                <w:lang w:bidi="ar"/>
              </w:rPr>
            </w:pP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68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11</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显示器</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台</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新宋体" w:cs="Times New Roman"/>
                <w:color w:val="000000"/>
                <w:szCs w:val="21"/>
              </w:rPr>
            </w:pPr>
          </w:p>
        </w:tc>
        <w:tc>
          <w:tcPr>
            <w:tcW w:w="1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24寸显示器，黑色；面板类型: IPS；接口类型: HDMI；静态对比度: 1000:1；曲率: 非曲面；屏幕比例16:9 ；分辨率1920*1080；刷新率75HZ；保修期: 12个月</w:t>
            </w:r>
          </w:p>
        </w:tc>
        <w:tc>
          <w:tcPr>
            <w:tcW w:w="8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新宋体" w:cs="Times New Roman"/>
                <w:color w:val="000000"/>
                <w:kern w:val="0"/>
                <w:szCs w:val="21"/>
                <w:lang w:bidi="ar"/>
              </w:rPr>
            </w:pPr>
            <w:r>
              <w:rPr>
                <w:rFonts w:ascii="Times New Roman" w:hAnsi="Times New Roman" w:eastAsia="新宋体" w:cs="Times New Roman"/>
                <w:color w:val="000000"/>
                <w:kern w:val="0"/>
                <w:szCs w:val="21"/>
                <w:lang w:bidi="ar"/>
              </w:rPr>
              <w:t>冠捷、飞利浦、三星</w:t>
            </w:r>
          </w:p>
        </w:tc>
        <w:tc>
          <w:tcPr>
            <w:tcW w:w="6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新宋体" w:cs="Times New Roman"/>
                <w:color w:val="000000"/>
                <w:kern w:val="0"/>
                <w:szCs w:val="21"/>
                <w:lang w:bidi="ar"/>
              </w:rPr>
            </w:pPr>
          </w:p>
        </w:tc>
      </w:tr>
      <w:tr>
        <w:tblPrEx>
          <w:tblCellMar>
            <w:top w:w="0" w:type="dxa"/>
            <w:left w:w="108" w:type="dxa"/>
            <w:bottom w:w="0" w:type="dxa"/>
            <w:right w:w="108" w:type="dxa"/>
          </w:tblCellMar>
        </w:tblPrEx>
        <w:trPr>
          <w:trHeight w:val="680" w:hRule="atLeast"/>
        </w:trPr>
        <w:tc>
          <w:tcPr>
            <w:tcW w:w="179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宋体" w:cs="Times New Roman"/>
                <w:b/>
                <w:bCs/>
                <w:color w:val="000000"/>
                <w:szCs w:val="21"/>
              </w:rPr>
            </w:pPr>
            <w:r>
              <w:rPr>
                <w:rFonts w:ascii="Times New Roman" w:hAnsi="Times New Roman" w:eastAsia="宋体" w:cs="Times New Roman"/>
                <w:b/>
                <w:bCs/>
                <w:color w:val="000000"/>
                <w:kern w:val="0"/>
                <w:szCs w:val="21"/>
                <w:lang w:bidi="ar"/>
              </w:rPr>
              <w:t>总计（元）</w:t>
            </w:r>
          </w:p>
        </w:tc>
        <w:tc>
          <w:tcPr>
            <w:tcW w:w="320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宋体" w:cs="Times New Roman"/>
                <w:b/>
                <w:bCs/>
                <w:color w:val="000000"/>
                <w:szCs w:val="21"/>
              </w:rPr>
            </w:pPr>
            <w:r>
              <w:rPr>
                <w:rFonts w:ascii="Times New Roman" w:hAnsi="Times New Roman" w:eastAsia="宋体" w:cs="Times New Roman"/>
                <w:b/>
                <w:bCs/>
                <w:color w:val="000000"/>
                <w:kern w:val="0"/>
                <w:szCs w:val="21"/>
                <w:lang w:bidi="ar"/>
              </w:rPr>
              <w:t xml:space="preserve"> </w:t>
            </w:r>
          </w:p>
        </w:tc>
      </w:tr>
    </w:tbl>
    <w:p>
      <w:pPr>
        <w:rPr>
          <w:rFonts w:ascii="Times New Roman" w:hAnsi="Times New Roman" w:cs="Times New Roman"/>
        </w:rPr>
      </w:pPr>
    </w:p>
    <w:p>
      <w:pPr>
        <w:spacing w:line="440" w:lineRule="exact"/>
        <w:ind w:firstLine="480" w:firstLineChars="200"/>
        <w:rPr>
          <w:rFonts w:ascii="Times New Roman" w:hAnsi="Times New Roman" w:eastAsia="黑体" w:cs="Times New Roman"/>
          <w:sz w:val="24"/>
        </w:rPr>
      </w:pPr>
    </w:p>
    <w:p>
      <w:pPr>
        <w:spacing w:line="440" w:lineRule="exact"/>
        <w:ind w:firstLine="480" w:firstLineChars="200"/>
        <w:rPr>
          <w:rFonts w:ascii="Times New Roman" w:hAnsi="Times New Roman" w:eastAsia="黑体" w:cs="Times New Roman"/>
          <w:sz w:val="24"/>
        </w:rPr>
      </w:pPr>
    </w:p>
    <w:p>
      <w:pPr>
        <w:spacing w:line="440" w:lineRule="exact"/>
        <w:rPr>
          <w:rFonts w:ascii="Times New Roman" w:hAnsi="Times New Roman" w:eastAsia="黑体" w:cs="Times New Roman"/>
          <w:sz w:val="24"/>
        </w:rPr>
        <w:sectPr>
          <w:footnotePr>
            <w:numFmt w:val="decimalEnclosedCircleChinese"/>
          </w:footnotePr>
          <w:pgSz w:w="16838" w:h="11906" w:orient="landscape"/>
          <w:pgMar w:top="1797" w:right="1440" w:bottom="1797" w:left="1440" w:header="851" w:footer="992" w:gutter="0"/>
          <w:cols w:space="720" w:num="1"/>
          <w:docGrid w:linePitch="312" w:charSpace="0"/>
        </w:sectPr>
      </w:pPr>
    </w:p>
    <w:p>
      <w:pPr>
        <w:spacing w:line="360" w:lineRule="auto"/>
        <w:jc w:val="center"/>
        <w:rPr>
          <w:rFonts w:ascii="Times New Roman" w:hAnsi="Times New Roman" w:cs="Times New Roman"/>
          <w:sz w:val="28"/>
          <w:szCs w:val="36"/>
        </w:rPr>
      </w:pPr>
      <w:r>
        <w:rPr>
          <w:rFonts w:ascii="Times New Roman" w:hAnsi="Times New Roman" w:cs="Times New Roman"/>
          <w:sz w:val="28"/>
          <w:szCs w:val="36"/>
        </w:rPr>
        <w:t>表五 其他分项预算表</w:t>
      </w:r>
    </w:p>
    <w:tbl>
      <w:tblPr>
        <w:tblStyle w:val="20"/>
        <w:tblW w:w="4995" w:type="pct"/>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937"/>
        <w:gridCol w:w="2225"/>
        <w:gridCol w:w="912"/>
        <w:gridCol w:w="1138"/>
        <w:gridCol w:w="1822"/>
        <w:gridCol w:w="1895"/>
        <w:gridCol w:w="5230"/>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331" w:type="pct"/>
            <w:shd w:val="clear" w:color="auto" w:fill="FFFFFF"/>
            <w:vAlign w:val="center"/>
          </w:tcPr>
          <w:p>
            <w:pPr>
              <w:widowControl/>
              <w:jc w:val="center"/>
              <w:textAlignment w:val="center"/>
              <w:rPr>
                <w:rFonts w:ascii="Times New Roman" w:hAnsi="Times New Roman" w:eastAsia="新宋体" w:cs="Times New Roman"/>
                <w:b/>
                <w:bCs/>
                <w:color w:val="000000"/>
                <w:sz w:val="24"/>
              </w:rPr>
            </w:pPr>
            <w:r>
              <w:rPr>
                <w:rFonts w:ascii="Times New Roman" w:hAnsi="Times New Roman" w:eastAsia="新宋体" w:cs="Times New Roman"/>
                <w:b/>
                <w:bCs/>
                <w:color w:val="000000"/>
                <w:kern w:val="0"/>
                <w:sz w:val="24"/>
                <w:lang w:bidi="ar"/>
              </w:rPr>
              <w:t>序号</w:t>
            </w:r>
          </w:p>
        </w:tc>
        <w:tc>
          <w:tcPr>
            <w:tcW w:w="786" w:type="pct"/>
            <w:shd w:val="clear" w:color="auto" w:fill="FFFFFF"/>
            <w:noWrap/>
            <w:vAlign w:val="center"/>
          </w:tcPr>
          <w:p>
            <w:pPr>
              <w:widowControl/>
              <w:jc w:val="center"/>
              <w:textAlignment w:val="center"/>
              <w:rPr>
                <w:rFonts w:ascii="Times New Roman" w:hAnsi="Times New Roman" w:eastAsia="新宋体" w:cs="Times New Roman"/>
                <w:b/>
                <w:bCs/>
                <w:color w:val="000000"/>
                <w:sz w:val="24"/>
              </w:rPr>
            </w:pPr>
            <w:r>
              <w:rPr>
                <w:rFonts w:ascii="Times New Roman" w:hAnsi="Times New Roman" w:eastAsia="新宋体" w:cs="Times New Roman"/>
                <w:b/>
                <w:bCs/>
                <w:color w:val="000000"/>
                <w:kern w:val="0"/>
                <w:sz w:val="24"/>
                <w:lang w:bidi="ar"/>
              </w:rPr>
              <w:t>项目名称</w:t>
            </w:r>
          </w:p>
        </w:tc>
        <w:tc>
          <w:tcPr>
            <w:tcW w:w="322" w:type="pct"/>
            <w:shd w:val="clear" w:color="auto" w:fill="FFFFFF"/>
            <w:noWrap/>
            <w:vAlign w:val="center"/>
          </w:tcPr>
          <w:p>
            <w:pPr>
              <w:widowControl/>
              <w:jc w:val="center"/>
              <w:textAlignment w:val="center"/>
              <w:rPr>
                <w:rFonts w:ascii="Times New Roman" w:hAnsi="Times New Roman" w:eastAsia="新宋体" w:cs="Times New Roman"/>
                <w:b/>
                <w:bCs/>
                <w:color w:val="000000"/>
                <w:sz w:val="24"/>
              </w:rPr>
            </w:pPr>
            <w:r>
              <w:rPr>
                <w:rFonts w:ascii="Times New Roman" w:hAnsi="Times New Roman" w:eastAsia="新宋体" w:cs="Times New Roman"/>
                <w:b/>
                <w:bCs/>
                <w:color w:val="000000"/>
                <w:kern w:val="0"/>
                <w:sz w:val="24"/>
                <w:lang w:bidi="ar"/>
              </w:rPr>
              <w:t>单位</w:t>
            </w:r>
          </w:p>
        </w:tc>
        <w:tc>
          <w:tcPr>
            <w:tcW w:w="402" w:type="pct"/>
            <w:shd w:val="clear" w:color="auto" w:fill="FFFFFF"/>
            <w:noWrap/>
            <w:vAlign w:val="center"/>
          </w:tcPr>
          <w:p>
            <w:pPr>
              <w:widowControl/>
              <w:jc w:val="center"/>
              <w:textAlignment w:val="center"/>
              <w:rPr>
                <w:rFonts w:ascii="Times New Roman" w:hAnsi="Times New Roman" w:eastAsia="新宋体" w:cs="Times New Roman"/>
                <w:b/>
                <w:bCs/>
                <w:color w:val="000000"/>
                <w:sz w:val="24"/>
              </w:rPr>
            </w:pPr>
            <w:r>
              <w:rPr>
                <w:rFonts w:ascii="Times New Roman" w:hAnsi="Times New Roman" w:eastAsia="新宋体" w:cs="Times New Roman"/>
                <w:b/>
                <w:bCs/>
                <w:color w:val="000000"/>
                <w:kern w:val="0"/>
                <w:sz w:val="24"/>
                <w:lang w:bidi="ar"/>
              </w:rPr>
              <w:t>数量</w:t>
            </w:r>
          </w:p>
        </w:tc>
        <w:tc>
          <w:tcPr>
            <w:tcW w:w="643" w:type="pct"/>
            <w:shd w:val="clear" w:color="auto" w:fill="FFFFFF"/>
            <w:noWrap/>
            <w:vAlign w:val="center"/>
          </w:tcPr>
          <w:p>
            <w:pPr>
              <w:widowControl/>
              <w:jc w:val="center"/>
              <w:textAlignment w:val="center"/>
              <w:rPr>
                <w:rFonts w:ascii="Times New Roman" w:hAnsi="Times New Roman" w:eastAsia="新宋体" w:cs="Times New Roman"/>
                <w:b/>
                <w:bCs/>
                <w:color w:val="000000"/>
                <w:sz w:val="24"/>
              </w:rPr>
            </w:pPr>
            <w:r>
              <w:rPr>
                <w:rFonts w:ascii="Times New Roman" w:hAnsi="Times New Roman" w:eastAsia="新宋体" w:cs="Times New Roman"/>
                <w:b/>
                <w:bCs/>
                <w:color w:val="000000"/>
                <w:kern w:val="0"/>
                <w:sz w:val="24"/>
                <w:lang w:bidi="ar"/>
              </w:rPr>
              <w:t>单价</w:t>
            </w:r>
          </w:p>
        </w:tc>
        <w:tc>
          <w:tcPr>
            <w:tcW w:w="669" w:type="pct"/>
            <w:shd w:val="clear" w:color="auto" w:fill="FFFFFF"/>
            <w:noWrap/>
            <w:vAlign w:val="center"/>
          </w:tcPr>
          <w:p>
            <w:pPr>
              <w:widowControl/>
              <w:jc w:val="center"/>
              <w:textAlignment w:val="center"/>
              <w:rPr>
                <w:rFonts w:ascii="Times New Roman" w:hAnsi="Times New Roman" w:eastAsia="新宋体" w:cs="Times New Roman"/>
                <w:b/>
                <w:bCs/>
                <w:color w:val="000000"/>
                <w:sz w:val="24"/>
              </w:rPr>
            </w:pPr>
            <w:r>
              <w:rPr>
                <w:rFonts w:ascii="Times New Roman" w:hAnsi="Times New Roman" w:eastAsia="新宋体" w:cs="Times New Roman"/>
                <w:b/>
                <w:bCs/>
                <w:color w:val="000000"/>
                <w:kern w:val="0"/>
                <w:sz w:val="24"/>
                <w:lang w:bidi="ar"/>
              </w:rPr>
              <w:t>金额</w:t>
            </w:r>
          </w:p>
        </w:tc>
        <w:tc>
          <w:tcPr>
            <w:tcW w:w="1847" w:type="pct"/>
            <w:shd w:val="clear" w:color="auto" w:fill="FFFFFF"/>
            <w:noWrap/>
            <w:vAlign w:val="center"/>
          </w:tcPr>
          <w:p>
            <w:pPr>
              <w:widowControl/>
              <w:jc w:val="center"/>
              <w:textAlignment w:val="center"/>
              <w:rPr>
                <w:rFonts w:ascii="Times New Roman" w:hAnsi="Times New Roman" w:eastAsia="新宋体" w:cs="Times New Roman"/>
                <w:b/>
                <w:bCs/>
                <w:color w:val="000000"/>
                <w:sz w:val="24"/>
              </w:rPr>
            </w:pPr>
            <w:r>
              <w:rPr>
                <w:rFonts w:ascii="Times New Roman" w:hAnsi="Times New Roman" w:eastAsia="新宋体" w:cs="Times New Roman"/>
                <w:b/>
                <w:bCs/>
                <w:color w:val="000000"/>
                <w:kern w:val="0"/>
                <w:sz w:val="24"/>
                <w:lang w:bidi="ar"/>
              </w:rPr>
              <w:t>技术要求</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331" w:type="pct"/>
            <w:shd w:val="clear" w:color="auto" w:fill="FFFFFF"/>
            <w:vAlign w:val="center"/>
          </w:tcPr>
          <w:p>
            <w:pPr>
              <w:widowControl/>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 xml:space="preserve">1 </w:t>
            </w:r>
          </w:p>
        </w:tc>
        <w:tc>
          <w:tcPr>
            <w:tcW w:w="786" w:type="pct"/>
            <w:shd w:val="clear" w:color="auto" w:fill="FFFFFF"/>
            <w:noWrap/>
            <w:vAlign w:val="center"/>
          </w:tcPr>
          <w:p>
            <w:pPr>
              <w:widowControl/>
              <w:jc w:val="center"/>
              <w:textAlignment w:val="bottom"/>
              <w:rPr>
                <w:rFonts w:ascii="Times New Roman" w:hAnsi="Times New Roman" w:eastAsia="新宋体" w:cs="Times New Roman"/>
                <w:sz w:val="24"/>
              </w:rPr>
            </w:pPr>
            <w:r>
              <w:rPr>
                <w:rFonts w:ascii="Times New Roman" w:hAnsi="Times New Roman" w:eastAsia="楷体_GB23" w:cs="Times New Roman"/>
                <w:kern w:val="0"/>
                <w:sz w:val="24"/>
                <w:lang w:bidi="ar"/>
              </w:rPr>
              <w:t>制图费</w:t>
            </w:r>
          </w:p>
        </w:tc>
        <w:tc>
          <w:tcPr>
            <w:tcW w:w="322" w:type="pct"/>
            <w:shd w:val="clear" w:color="auto" w:fill="FFFFFF"/>
            <w:noWrap/>
            <w:vAlign w:val="center"/>
          </w:tcPr>
          <w:p>
            <w:pPr>
              <w:widowControl/>
              <w:jc w:val="center"/>
              <w:textAlignment w:val="bottom"/>
              <w:rPr>
                <w:rFonts w:ascii="Times New Roman" w:hAnsi="Times New Roman" w:eastAsia="新宋体" w:cs="Times New Roman"/>
                <w:sz w:val="24"/>
              </w:rPr>
            </w:pPr>
            <w:r>
              <w:rPr>
                <w:rFonts w:ascii="Times New Roman" w:hAnsi="Times New Roman" w:eastAsia="新宋体" w:cs="Times New Roman"/>
                <w:sz w:val="24"/>
              </w:rPr>
              <w:t>项</w:t>
            </w:r>
          </w:p>
        </w:tc>
        <w:tc>
          <w:tcPr>
            <w:tcW w:w="402" w:type="pct"/>
            <w:shd w:val="clear" w:color="auto" w:fill="FFFFFF"/>
            <w:vAlign w:val="center"/>
          </w:tcPr>
          <w:p>
            <w:pPr>
              <w:widowControl/>
              <w:jc w:val="center"/>
              <w:textAlignment w:val="center"/>
              <w:rPr>
                <w:rFonts w:ascii="Times New Roman" w:hAnsi="Times New Roman" w:eastAsia="新宋体" w:cs="Times New Roman"/>
                <w:sz w:val="24"/>
              </w:rPr>
            </w:pPr>
            <w:r>
              <w:rPr>
                <w:rFonts w:ascii="Times New Roman" w:hAnsi="Times New Roman" w:eastAsia="新宋体" w:cs="Times New Roman"/>
                <w:sz w:val="24"/>
              </w:rPr>
              <w:t>1</w:t>
            </w:r>
          </w:p>
        </w:tc>
        <w:tc>
          <w:tcPr>
            <w:tcW w:w="643" w:type="pct"/>
            <w:shd w:val="clear" w:color="auto" w:fill="FFFFFF"/>
            <w:vAlign w:val="center"/>
          </w:tcPr>
          <w:p>
            <w:pPr>
              <w:widowControl/>
              <w:jc w:val="center"/>
              <w:textAlignment w:val="bottom"/>
              <w:rPr>
                <w:rFonts w:ascii="Times New Roman" w:hAnsi="Times New Roman" w:eastAsia="新宋体" w:cs="Times New Roman"/>
                <w:color w:val="000000"/>
                <w:sz w:val="24"/>
              </w:rPr>
            </w:pPr>
          </w:p>
        </w:tc>
        <w:tc>
          <w:tcPr>
            <w:tcW w:w="669" w:type="pct"/>
            <w:shd w:val="clear" w:color="auto" w:fill="FFFFFF"/>
            <w:vAlign w:val="center"/>
          </w:tcPr>
          <w:p>
            <w:pPr>
              <w:widowControl/>
              <w:jc w:val="center"/>
              <w:textAlignment w:val="bottom"/>
              <w:rPr>
                <w:rFonts w:ascii="Times New Roman" w:hAnsi="Times New Roman" w:eastAsia="新宋体" w:cs="Times New Roman"/>
                <w:color w:val="000000"/>
                <w:sz w:val="24"/>
              </w:rPr>
            </w:pPr>
          </w:p>
        </w:tc>
        <w:tc>
          <w:tcPr>
            <w:tcW w:w="1847" w:type="pct"/>
            <w:shd w:val="clear" w:color="auto" w:fill="FFFFFF"/>
            <w:vAlign w:val="center"/>
          </w:tcPr>
          <w:p>
            <w:pPr>
              <w:widowControl/>
              <w:jc w:val="left"/>
              <w:textAlignment w:val="center"/>
              <w:rPr>
                <w:rFonts w:ascii="Times New Roman" w:hAnsi="Times New Roman" w:eastAsia="新宋体" w:cs="Times New Roman"/>
                <w:color w:val="000000"/>
                <w:sz w:val="24"/>
              </w:rPr>
            </w:pPr>
            <w:r>
              <w:rPr>
                <w:rFonts w:ascii="Times New Roman" w:hAnsi="Times New Roman" w:eastAsia="新宋体" w:cs="Times New Roman"/>
                <w:color w:val="000000"/>
                <w:sz w:val="24"/>
              </w:rPr>
              <w:t>完成项目深化设计工作并将设计施工图纸提交发包人审查通过</w:t>
            </w:r>
          </w:p>
          <w:p>
            <w:pPr>
              <w:pStyle w:val="2"/>
              <w:rPr>
                <w:rFonts w:ascii="Times New Roman" w:hAnsi="Times New Roman" w:cs="Times New Roman"/>
              </w:rPr>
            </w:pPr>
            <w:r>
              <w:rPr>
                <w:rFonts w:ascii="Times New Roman" w:hAnsi="Times New Roman" w:eastAsia="新宋体" w:cs="Times New Roman"/>
                <w:color w:val="000000"/>
                <w:sz w:val="24"/>
              </w:rPr>
              <w:t>（表二+表三+表四）*1.5%</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331" w:type="pct"/>
            <w:shd w:val="clear" w:color="auto" w:fill="FFFFFF"/>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 xml:space="preserve">2 </w:t>
            </w:r>
          </w:p>
        </w:tc>
        <w:tc>
          <w:tcPr>
            <w:tcW w:w="786" w:type="pct"/>
            <w:shd w:val="clear" w:color="auto" w:fill="FFFFFF"/>
            <w:noWrap/>
            <w:vAlign w:val="center"/>
          </w:tcPr>
          <w:p>
            <w:pPr>
              <w:widowControl/>
              <w:jc w:val="center"/>
              <w:textAlignment w:val="bottom"/>
              <w:rPr>
                <w:rFonts w:ascii="Times New Roman" w:hAnsi="Times New Roman" w:eastAsia="楷体_GB23" w:cs="Times New Roman"/>
                <w:color w:val="000000"/>
                <w:kern w:val="0"/>
                <w:sz w:val="24"/>
                <w:lang w:bidi="ar"/>
              </w:rPr>
            </w:pPr>
            <w:r>
              <w:rPr>
                <w:rFonts w:ascii="Times New Roman" w:hAnsi="Times New Roman" w:eastAsia="楷体_GB23" w:cs="Times New Roman"/>
                <w:color w:val="000000"/>
                <w:kern w:val="0"/>
                <w:sz w:val="24"/>
                <w:lang w:bidi="ar"/>
              </w:rPr>
              <w:t>安全文明施工费</w:t>
            </w:r>
          </w:p>
        </w:tc>
        <w:tc>
          <w:tcPr>
            <w:tcW w:w="322" w:type="pct"/>
            <w:shd w:val="clear" w:color="auto" w:fill="FFFFFF"/>
            <w:noWrap/>
            <w:vAlign w:val="center"/>
          </w:tcPr>
          <w:p>
            <w:pPr>
              <w:widowControl/>
              <w:jc w:val="center"/>
              <w:textAlignment w:val="bottom"/>
              <w:rPr>
                <w:rFonts w:ascii="Times New Roman" w:hAnsi="Times New Roman" w:eastAsia="新宋体" w:cs="Times New Roman"/>
                <w:color w:val="000000"/>
                <w:sz w:val="24"/>
              </w:rPr>
            </w:pPr>
            <w:r>
              <w:rPr>
                <w:rFonts w:ascii="Times New Roman" w:hAnsi="Times New Roman" w:eastAsia="新宋体" w:cs="Times New Roman"/>
                <w:color w:val="000000"/>
                <w:sz w:val="24"/>
              </w:rPr>
              <w:t>项</w:t>
            </w:r>
          </w:p>
        </w:tc>
        <w:tc>
          <w:tcPr>
            <w:tcW w:w="402" w:type="pct"/>
            <w:shd w:val="clear" w:color="auto" w:fill="FFFFFF"/>
            <w:vAlign w:val="center"/>
          </w:tcPr>
          <w:p>
            <w:pPr>
              <w:widowControl/>
              <w:jc w:val="center"/>
              <w:textAlignment w:val="center"/>
              <w:rPr>
                <w:rFonts w:ascii="Times New Roman" w:hAnsi="Times New Roman" w:eastAsia="新宋体" w:cs="Times New Roman"/>
                <w:color w:val="000000"/>
                <w:sz w:val="24"/>
              </w:rPr>
            </w:pPr>
            <w:r>
              <w:rPr>
                <w:rFonts w:ascii="Times New Roman" w:hAnsi="Times New Roman" w:eastAsia="新宋体" w:cs="Times New Roman"/>
                <w:color w:val="000000"/>
                <w:sz w:val="24"/>
              </w:rPr>
              <w:t>1</w:t>
            </w:r>
          </w:p>
        </w:tc>
        <w:tc>
          <w:tcPr>
            <w:tcW w:w="643" w:type="pct"/>
            <w:shd w:val="clear" w:color="auto" w:fill="FFFFFF"/>
            <w:vAlign w:val="center"/>
          </w:tcPr>
          <w:p>
            <w:pPr>
              <w:widowControl/>
              <w:jc w:val="center"/>
              <w:textAlignment w:val="bottom"/>
              <w:rPr>
                <w:rFonts w:ascii="Times New Roman" w:hAnsi="Times New Roman" w:eastAsia="新宋体" w:cs="Times New Roman"/>
                <w:color w:val="000000"/>
                <w:sz w:val="24"/>
              </w:rPr>
            </w:pPr>
          </w:p>
        </w:tc>
        <w:tc>
          <w:tcPr>
            <w:tcW w:w="669" w:type="pct"/>
            <w:shd w:val="clear" w:color="auto" w:fill="FFFFFF"/>
            <w:vAlign w:val="center"/>
          </w:tcPr>
          <w:p>
            <w:pPr>
              <w:widowControl/>
              <w:jc w:val="center"/>
              <w:textAlignment w:val="bottom"/>
              <w:rPr>
                <w:rFonts w:ascii="Times New Roman" w:hAnsi="Times New Roman" w:eastAsia="新宋体" w:cs="Times New Roman"/>
                <w:color w:val="000000"/>
                <w:sz w:val="24"/>
              </w:rPr>
            </w:pPr>
          </w:p>
        </w:tc>
        <w:tc>
          <w:tcPr>
            <w:tcW w:w="1847" w:type="pct"/>
            <w:shd w:val="clear" w:color="auto" w:fill="FFFFFF"/>
            <w:vAlign w:val="center"/>
          </w:tcPr>
          <w:p>
            <w:pPr>
              <w:widowControl/>
              <w:jc w:val="left"/>
              <w:textAlignment w:val="center"/>
              <w:rPr>
                <w:rFonts w:ascii="Times New Roman" w:hAnsi="Times New Roman" w:eastAsia="新宋体" w:cs="Times New Roman"/>
                <w:color w:val="000000"/>
                <w:sz w:val="24"/>
              </w:rPr>
            </w:pPr>
            <w:r>
              <w:rPr>
                <w:rFonts w:ascii="Times New Roman" w:hAnsi="Times New Roman" w:eastAsia="新宋体" w:cs="Times New Roman"/>
                <w:color w:val="000000"/>
                <w:sz w:val="24"/>
              </w:rPr>
              <w:t>（表二+表三+表四）*2%</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841" w:type="pct"/>
            <w:gridSpan w:val="4"/>
            <w:shd w:val="clear" w:color="auto" w:fill="FFFFFF"/>
            <w:vAlign w:val="center"/>
          </w:tcPr>
          <w:p>
            <w:pPr>
              <w:widowControl/>
              <w:jc w:val="center"/>
              <w:textAlignment w:val="center"/>
              <w:rPr>
                <w:rFonts w:ascii="Times New Roman" w:hAnsi="Times New Roman" w:eastAsia="新宋体" w:cs="Times New Roman"/>
                <w:color w:val="000000"/>
                <w:sz w:val="24"/>
              </w:rPr>
            </w:pPr>
            <w:r>
              <w:rPr>
                <w:rFonts w:ascii="Times New Roman" w:hAnsi="Times New Roman" w:eastAsia="宋体" w:cs="Times New Roman"/>
                <w:b/>
                <w:bCs/>
                <w:color w:val="000000"/>
                <w:sz w:val="24"/>
              </w:rPr>
              <w:t>总计（元）</w:t>
            </w:r>
          </w:p>
        </w:tc>
        <w:tc>
          <w:tcPr>
            <w:tcW w:w="3159" w:type="pct"/>
            <w:gridSpan w:val="3"/>
            <w:shd w:val="clear" w:color="auto" w:fill="FFFFFF"/>
            <w:vAlign w:val="center"/>
          </w:tcPr>
          <w:p>
            <w:pPr>
              <w:widowControl/>
              <w:jc w:val="left"/>
              <w:textAlignment w:val="center"/>
              <w:rPr>
                <w:rFonts w:ascii="Times New Roman" w:hAnsi="Times New Roman" w:eastAsia="新宋体" w:cs="Times New Roman"/>
                <w:color w:val="000000"/>
                <w:sz w:val="24"/>
              </w:rPr>
            </w:pPr>
          </w:p>
        </w:tc>
      </w:tr>
    </w:tbl>
    <w:p>
      <w:pPr>
        <w:rPr>
          <w:rFonts w:ascii="Times New Roman" w:hAnsi="Times New Roman" w:cs="Times New Roman"/>
        </w:rPr>
      </w:pPr>
    </w:p>
    <w:sectPr>
      <w:headerReference r:id="rId7" w:type="default"/>
      <w:footerReference r:id="rId8" w:type="default"/>
      <w:pgSz w:w="16838" w:h="11906" w:orient="landscape"/>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Fang Song">
    <w:altName w:val="宋体"/>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
    <w:altName w:val="宋体"/>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p>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5326157"/>
    </w:sdtPr>
    <w:sdtContent>
      <w:p>
        <w:pPr>
          <w:pStyle w:val="13"/>
          <w:jc w:val="center"/>
        </w:pPr>
        <w:r>
          <w:fldChar w:fldCharType="begin"/>
        </w:r>
        <w:r>
          <w:instrText xml:space="preserve">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0164396"/>
    </w:sdtPr>
    <w:sdtContent>
      <w:p>
        <w:pPr>
          <w:pStyle w:val="13"/>
          <w:jc w:val="center"/>
        </w:pPr>
        <w:r>
          <w:fldChar w:fldCharType="begin"/>
        </w:r>
        <w:r>
          <w:instrText xml:space="preserve">PAGE   \* MERGEFORMAT</w:instrText>
        </w:r>
        <w:r>
          <w:fldChar w:fldCharType="separate"/>
        </w:r>
        <w:r>
          <w:t>15</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0143825"/>
    </w:sdtPr>
    <w:sdtContent>
      <w:p>
        <w:pPr>
          <w:pStyle w:val="13"/>
          <w:jc w:val="center"/>
        </w:pPr>
        <w:r>
          <w:fldChar w:fldCharType="begin"/>
        </w:r>
        <w:r>
          <w:instrText xml:space="preserve">PAGE   \* MERGEFORMAT</w:instrText>
        </w:r>
        <w:r>
          <w:fldChar w:fldCharType="separate"/>
        </w:r>
        <w:r>
          <w:t>15</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64AB6"/>
    <w:multiLevelType w:val="singleLevel"/>
    <w:tmpl w:val="81A64AB6"/>
    <w:lvl w:ilvl="0" w:tentative="0">
      <w:start w:val="5"/>
      <w:numFmt w:val="chineseCounting"/>
      <w:suff w:val="space"/>
      <w:lvlText w:val="第%1章"/>
      <w:lvlJc w:val="left"/>
      <w:rPr>
        <w:rFonts w:hint="eastAsia"/>
      </w:rPr>
    </w:lvl>
  </w:abstractNum>
  <w:abstractNum w:abstractNumId="1">
    <w:nsid w:val="9C59AA92"/>
    <w:multiLevelType w:val="multilevel"/>
    <w:tmpl w:val="9C59AA92"/>
    <w:lvl w:ilvl="0" w:tentative="0">
      <w:start w:val="1"/>
      <w:numFmt w:val="chineseCounting"/>
      <w:pStyle w:val="4"/>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BDEF2235"/>
    <w:multiLevelType w:val="singleLevel"/>
    <w:tmpl w:val="BDEF2235"/>
    <w:lvl w:ilvl="0" w:tentative="0">
      <w:start w:val="1"/>
      <w:numFmt w:val="chineseCounting"/>
      <w:suff w:val="nothing"/>
      <w:lvlText w:val="%1、"/>
      <w:lvlJc w:val="left"/>
      <w:rPr>
        <w:rFonts w:hint="eastAsia"/>
      </w:rPr>
    </w:lvl>
  </w:abstractNum>
  <w:abstractNum w:abstractNumId="3">
    <w:nsid w:val="2E95D47B"/>
    <w:multiLevelType w:val="singleLevel"/>
    <w:tmpl w:val="2E95D47B"/>
    <w:lvl w:ilvl="0" w:tentative="0">
      <w:start w:val="1"/>
      <w:numFmt w:val="decimal"/>
      <w:pStyle w:val="5"/>
      <w:suff w:val="nothing"/>
      <w:lvlText w:val="%1．"/>
      <w:lvlJc w:val="left"/>
      <w:pPr>
        <w:ind w:left="17" w:firstLine="400"/>
      </w:pPr>
      <w:rPr>
        <w:rFonts w:hint="default"/>
      </w:rPr>
    </w:lvl>
  </w:abstractNum>
  <w:abstractNum w:abstractNumId="4">
    <w:nsid w:val="49D41283"/>
    <w:multiLevelType w:val="multilevel"/>
    <w:tmpl w:val="49D41283"/>
    <w:lvl w:ilvl="0" w:tentative="0">
      <w:start w:val="1"/>
      <w:numFmt w:val="chineseCounting"/>
      <w:suff w:val="nothing"/>
      <w:lvlText w:val="%1、"/>
      <w:lvlJc w:val="left"/>
      <w:pPr>
        <w:tabs>
          <w:tab w:val="left" w:pos="0"/>
        </w:tabs>
        <w:ind w:left="0" w:firstLine="0"/>
      </w:pPr>
      <w:rPr>
        <w:rFonts w:hint="default" w:ascii="华文中宋" w:hAnsi="华文中宋" w:cs="华文中宋"/>
      </w:rPr>
    </w:lvl>
    <w:lvl w:ilvl="1" w:tentative="0">
      <w:start w:val="1"/>
      <w:numFmt w:val="decimal"/>
      <w:lvlText w:val="%2."/>
      <w:lvlJc w:val="left"/>
      <w:pPr>
        <w:tabs>
          <w:tab w:val="left" w:pos="1440"/>
        </w:tabs>
        <w:ind w:left="1440" w:hanging="360"/>
      </w:pPr>
      <w:rPr>
        <w:rFonts w:hint="default" w:ascii="华文中宋" w:hAnsi="华文中宋" w:cs="华文中宋"/>
      </w:rPr>
    </w:lvl>
    <w:lvl w:ilvl="2" w:tentative="0">
      <w:start w:val="1"/>
      <w:numFmt w:val="decimal"/>
      <w:lvlText w:val="%3."/>
      <w:lvlJc w:val="left"/>
      <w:pPr>
        <w:tabs>
          <w:tab w:val="left" w:pos="2160"/>
        </w:tabs>
        <w:ind w:left="2160" w:hanging="360"/>
      </w:pPr>
      <w:rPr>
        <w:rFonts w:hint="default" w:ascii="华文中宋" w:hAnsi="华文中宋" w:cs="华文中宋"/>
      </w:rPr>
    </w:lvl>
    <w:lvl w:ilvl="3" w:tentative="0">
      <w:start w:val="1"/>
      <w:numFmt w:val="decimal"/>
      <w:lvlText w:val="%4."/>
      <w:lvlJc w:val="left"/>
      <w:pPr>
        <w:tabs>
          <w:tab w:val="left" w:pos="2880"/>
        </w:tabs>
        <w:ind w:left="2880" w:hanging="360"/>
      </w:pPr>
      <w:rPr>
        <w:rFonts w:hint="default" w:ascii="华文中宋" w:hAnsi="华文中宋" w:cs="华文中宋"/>
      </w:rPr>
    </w:lvl>
    <w:lvl w:ilvl="4" w:tentative="0">
      <w:start w:val="1"/>
      <w:numFmt w:val="decimal"/>
      <w:lvlText w:val="%5."/>
      <w:lvlJc w:val="left"/>
      <w:pPr>
        <w:tabs>
          <w:tab w:val="left" w:pos="3600"/>
        </w:tabs>
        <w:ind w:left="3600" w:hanging="360"/>
      </w:pPr>
      <w:rPr>
        <w:rFonts w:hint="default" w:ascii="华文中宋" w:hAnsi="华文中宋" w:cs="华文中宋"/>
      </w:rPr>
    </w:lvl>
    <w:lvl w:ilvl="5" w:tentative="0">
      <w:start w:val="1"/>
      <w:numFmt w:val="decimal"/>
      <w:lvlText w:val="%6."/>
      <w:lvlJc w:val="left"/>
      <w:pPr>
        <w:tabs>
          <w:tab w:val="left" w:pos="4320"/>
        </w:tabs>
        <w:ind w:left="4320" w:hanging="360"/>
      </w:pPr>
      <w:rPr>
        <w:rFonts w:hint="default" w:ascii="华文中宋" w:hAnsi="华文中宋" w:cs="华文中宋"/>
      </w:rPr>
    </w:lvl>
    <w:lvl w:ilvl="6" w:tentative="0">
      <w:start w:val="1"/>
      <w:numFmt w:val="decimal"/>
      <w:lvlText w:val="%7."/>
      <w:lvlJc w:val="left"/>
      <w:pPr>
        <w:tabs>
          <w:tab w:val="left" w:pos="5040"/>
        </w:tabs>
        <w:ind w:left="5040" w:hanging="360"/>
      </w:pPr>
      <w:rPr>
        <w:rFonts w:hint="default" w:ascii="华文中宋" w:hAnsi="华文中宋" w:cs="华文中宋"/>
      </w:rPr>
    </w:lvl>
    <w:lvl w:ilvl="7" w:tentative="0">
      <w:start w:val="1"/>
      <w:numFmt w:val="decimal"/>
      <w:lvlText w:val="%8."/>
      <w:lvlJc w:val="left"/>
      <w:pPr>
        <w:tabs>
          <w:tab w:val="left" w:pos="5760"/>
        </w:tabs>
        <w:ind w:left="5760" w:hanging="360"/>
      </w:pPr>
      <w:rPr>
        <w:rFonts w:hint="default" w:ascii="华文中宋" w:hAnsi="华文中宋" w:cs="华文中宋"/>
      </w:rPr>
    </w:lvl>
    <w:lvl w:ilvl="8" w:tentative="0">
      <w:start w:val="1"/>
      <w:numFmt w:val="decimal"/>
      <w:lvlText w:val="%9."/>
      <w:lvlJc w:val="left"/>
      <w:pPr>
        <w:tabs>
          <w:tab w:val="left" w:pos="6480"/>
        </w:tabs>
        <w:ind w:left="6480" w:hanging="360"/>
      </w:pPr>
      <w:rPr>
        <w:rFonts w:hint="default" w:ascii="华文中宋" w:hAnsi="华文中宋" w:cs="华文中宋"/>
      </w:rPr>
    </w:lvl>
  </w:abstractNum>
  <w:abstractNum w:abstractNumId="5">
    <w:nsid w:val="62687BB6"/>
    <w:multiLevelType w:val="multilevel"/>
    <w:tmpl w:val="62687BB6"/>
    <w:lvl w:ilvl="0" w:tentative="0">
      <w:start w:val="1"/>
      <w:numFmt w:val="decimal"/>
      <w:pStyle w:val="41"/>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num w:numId="1">
    <w:abstractNumId w:val="1"/>
  </w:num>
  <w:num w:numId="2">
    <w:abstractNumId w:val="3"/>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737"/>
    <w:rsid w:val="000270F6"/>
    <w:rsid w:val="000441F4"/>
    <w:rsid w:val="00053858"/>
    <w:rsid w:val="00060A92"/>
    <w:rsid w:val="00075BD4"/>
    <w:rsid w:val="00095F53"/>
    <w:rsid w:val="000971DE"/>
    <w:rsid w:val="000A1B83"/>
    <w:rsid w:val="000B12F2"/>
    <w:rsid w:val="00126DE8"/>
    <w:rsid w:val="001659E6"/>
    <w:rsid w:val="001D2576"/>
    <w:rsid w:val="001E1737"/>
    <w:rsid w:val="001E64B6"/>
    <w:rsid w:val="001F2E54"/>
    <w:rsid w:val="002368A3"/>
    <w:rsid w:val="00245D0A"/>
    <w:rsid w:val="002665F5"/>
    <w:rsid w:val="00286930"/>
    <w:rsid w:val="00287756"/>
    <w:rsid w:val="002A4D73"/>
    <w:rsid w:val="002C21C7"/>
    <w:rsid w:val="002C6694"/>
    <w:rsid w:val="002D3347"/>
    <w:rsid w:val="002D69D5"/>
    <w:rsid w:val="003043B3"/>
    <w:rsid w:val="003111EA"/>
    <w:rsid w:val="00327830"/>
    <w:rsid w:val="003313A2"/>
    <w:rsid w:val="00392381"/>
    <w:rsid w:val="00396634"/>
    <w:rsid w:val="003C5D5C"/>
    <w:rsid w:val="003C6A6E"/>
    <w:rsid w:val="003D021E"/>
    <w:rsid w:val="003E74E1"/>
    <w:rsid w:val="004342BC"/>
    <w:rsid w:val="00466F51"/>
    <w:rsid w:val="004932B8"/>
    <w:rsid w:val="004A3959"/>
    <w:rsid w:val="004C1925"/>
    <w:rsid w:val="004E7F79"/>
    <w:rsid w:val="004F1914"/>
    <w:rsid w:val="004F60D5"/>
    <w:rsid w:val="00512041"/>
    <w:rsid w:val="0052604A"/>
    <w:rsid w:val="00541749"/>
    <w:rsid w:val="00563108"/>
    <w:rsid w:val="00572F8A"/>
    <w:rsid w:val="005B1C62"/>
    <w:rsid w:val="005E4155"/>
    <w:rsid w:val="005F4CB5"/>
    <w:rsid w:val="005F6C00"/>
    <w:rsid w:val="00647717"/>
    <w:rsid w:val="00654A0F"/>
    <w:rsid w:val="0065762D"/>
    <w:rsid w:val="00681536"/>
    <w:rsid w:val="00683DD5"/>
    <w:rsid w:val="00684592"/>
    <w:rsid w:val="006860CA"/>
    <w:rsid w:val="006D5E11"/>
    <w:rsid w:val="00716277"/>
    <w:rsid w:val="00720C9C"/>
    <w:rsid w:val="00770D2C"/>
    <w:rsid w:val="0077319A"/>
    <w:rsid w:val="00774C23"/>
    <w:rsid w:val="00782DF4"/>
    <w:rsid w:val="00790864"/>
    <w:rsid w:val="007A155C"/>
    <w:rsid w:val="007A51F2"/>
    <w:rsid w:val="007D7902"/>
    <w:rsid w:val="007F0E50"/>
    <w:rsid w:val="007F6FA9"/>
    <w:rsid w:val="00831106"/>
    <w:rsid w:val="00875201"/>
    <w:rsid w:val="00885636"/>
    <w:rsid w:val="0088676F"/>
    <w:rsid w:val="00896460"/>
    <w:rsid w:val="008D11F3"/>
    <w:rsid w:val="008D7500"/>
    <w:rsid w:val="008E26D6"/>
    <w:rsid w:val="0092762F"/>
    <w:rsid w:val="00931A57"/>
    <w:rsid w:val="00936277"/>
    <w:rsid w:val="00944954"/>
    <w:rsid w:val="00946339"/>
    <w:rsid w:val="00954EEC"/>
    <w:rsid w:val="00982B40"/>
    <w:rsid w:val="0098593D"/>
    <w:rsid w:val="00985F27"/>
    <w:rsid w:val="00987E07"/>
    <w:rsid w:val="009A374B"/>
    <w:rsid w:val="009A7315"/>
    <w:rsid w:val="009E183E"/>
    <w:rsid w:val="009E7B7E"/>
    <w:rsid w:val="00A37FC3"/>
    <w:rsid w:val="00A50971"/>
    <w:rsid w:val="00A739B9"/>
    <w:rsid w:val="00A77D96"/>
    <w:rsid w:val="00A94D67"/>
    <w:rsid w:val="00AB5F81"/>
    <w:rsid w:val="00AD2F99"/>
    <w:rsid w:val="00AD7323"/>
    <w:rsid w:val="00AE1115"/>
    <w:rsid w:val="00AF0DA2"/>
    <w:rsid w:val="00B02139"/>
    <w:rsid w:val="00B56F3C"/>
    <w:rsid w:val="00B77194"/>
    <w:rsid w:val="00B90A49"/>
    <w:rsid w:val="00B931DE"/>
    <w:rsid w:val="00BC6F21"/>
    <w:rsid w:val="00BD5357"/>
    <w:rsid w:val="00BE1E2E"/>
    <w:rsid w:val="00BE5CDE"/>
    <w:rsid w:val="00BF3766"/>
    <w:rsid w:val="00C012E3"/>
    <w:rsid w:val="00C4712B"/>
    <w:rsid w:val="00C82AC5"/>
    <w:rsid w:val="00CC7E1A"/>
    <w:rsid w:val="00D30D53"/>
    <w:rsid w:val="00D32063"/>
    <w:rsid w:val="00D57FC8"/>
    <w:rsid w:val="00D706EE"/>
    <w:rsid w:val="00D80007"/>
    <w:rsid w:val="00DD3FFA"/>
    <w:rsid w:val="00E13DA7"/>
    <w:rsid w:val="00E359A8"/>
    <w:rsid w:val="00E746F6"/>
    <w:rsid w:val="00E82D38"/>
    <w:rsid w:val="00EB0A61"/>
    <w:rsid w:val="00EB4497"/>
    <w:rsid w:val="00EE58B9"/>
    <w:rsid w:val="00EE7974"/>
    <w:rsid w:val="00EF666C"/>
    <w:rsid w:val="00F02667"/>
    <w:rsid w:val="00F43DE7"/>
    <w:rsid w:val="00F578ED"/>
    <w:rsid w:val="00F62987"/>
    <w:rsid w:val="00FA1044"/>
    <w:rsid w:val="00FB4DB7"/>
    <w:rsid w:val="00FC6705"/>
    <w:rsid w:val="00FC7A02"/>
    <w:rsid w:val="00FD2626"/>
    <w:rsid w:val="00FD71F4"/>
    <w:rsid w:val="00FF11EB"/>
    <w:rsid w:val="00FF3502"/>
    <w:rsid w:val="01082DCE"/>
    <w:rsid w:val="011029DE"/>
    <w:rsid w:val="01196377"/>
    <w:rsid w:val="011A27E6"/>
    <w:rsid w:val="011B4B0A"/>
    <w:rsid w:val="011D6ED0"/>
    <w:rsid w:val="01207EA1"/>
    <w:rsid w:val="01247D15"/>
    <w:rsid w:val="013C7065"/>
    <w:rsid w:val="014D641B"/>
    <w:rsid w:val="01543C57"/>
    <w:rsid w:val="015768EB"/>
    <w:rsid w:val="01604B65"/>
    <w:rsid w:val="01631629"/>
    <w:rsid w:val="016A3995"/>
    <w:rsid w:val="01767A67"/>
    <w:rsid w:val="01863AA8"/>
    <w:rsid w:val="018A1A08"/>
    <w:rsid w:val="018B2605"/>
    <w:rsid w:val="019312E0"/>
    <w:rsid w:val="0195715E"/>
    <w:rsid w:val="019D2FC7"/>
    <w:rsid w:val="019E058F"/>
    <w:rsid w:val="01AA33D0"/>
    <w:rsid w:val="01B82FCB"/>
    <w:rsid w:val="01BC5540"/>
    <w:rsid w:val="01E22FC9"/>
    <w:rsid w:val="01ED4448"/>
    <w:rsid w:val="01F1324F"/>
    <w:rsid w:val="021634CD"/>
    <w:rsid w:val="02241CA7"/>
    <w:rsid w:val="022C0382"/>
    <w:rsid w:val="022D7E5C"/>
    <w:rsid w:val="022E2D0F"/>
    <w:rsid w:val="02360F3C"/>
    <w:rsid w:val="02454DC6"/>
    <w:rsid w:val="024B086A"/>
    <w:rsid w:val="024C3FDE"/>
    <w:rsid w:val="025C2FF3"/>
    <w:rsid w:val="0260580C"/>
    <w:rsid w:val="02676554"/>
    <w:rsid w:val="026F50F7"/>
    <w:rsid w:val="028F5B92"/>
    <w:rsid w:val="0292228F"/>
    <w:rsid w:val="029D3473"/>
    <w:rsid w:val="02A843B9"/>
    <w:rsid w:val="02B17534"/>
    <w:rsid w:val="02C148EA"/>
    <w:rsid w:val="02D558E0"/>
    <w:rsid w:val="02F11F86"/>
    <w:rsid w:val="031402A0"/>
    <w:rsid w:val="03205599"/>
    <w:rsid w:val="033626C8"/>
    <w:rsid w:val="03386B9A"/>
    <w:rsid w:val="03412A1D"/>
    <w:rsid w:val="03530EF0"/>
    <w:rsid w:val="035C40E5"/>
    <w:rsid w:val="035D3D3E"/>
    <w:rsid w:val="03637D0B"/>
    <w:rsid w:val="03666726"/>
    <w:rsid w:val="036A6013"/>
    <w:rsid w:val="0381345C"/>
    <w:rsid w:val="03921536"/>
    <w:rsid w:val="03957CCA"/>
    <w:rsid w:val="03C25774"/>
    <w:rsid w:val="03DE6BBF"/>
    <w:rsid w:val="03EA0F31"/>
    <w:rsid w:val="03EC548F"/>
    <w:rsid w:val="03EE09A3"/>
    <w:rsid w:val="03FB6B06"/>
    <w:rsid w:val="04233E93"/>
    <w:rsid w:val="04295DA0"/>
    <w:rsid w:val="04352FAD"/>
    <w:rsid w:val="04533F12"/>
    <w:rsid w:val="046B7205"/>
    <w:rsid w:val="04772D64"/>
    <w:rsid w:val="0477369B"/>
    <w:rsid w:val="047B3AB4"/>
    <w:rsid w:val="047C0CFA"/>
    <w:rsid w:val="047C234D"/>
    <w:rsid w:val="048328A9"/>
    <w:rsid w:val="04A61CAB"/>
    <w:rsid w:val="04B66E9B"/>
    <w:rsid w:val="04DF02F5"/>
    <w:rsid w:val="04EA65EC"/>
    <w:rsid w:val="04F54297"/>
    <w:rsid w:val="04F76AAC"/>
    <w:rsid w:val="04F95D73"/>
    <w:rsid w:val="050022AA"/>
    <w:rsid w:val="05051277"/>
    <w:rsid w:val="05205AD8"/>
    <w:rsid w:val="05264F50"/>
    <w:rsid w:val="05297706"/>
    <w:rsid w:val="052C0E42"/>
    <w:rsid w:val="053F07B3"/>
    <w:rsid w:val="05474D67"/>
    <w:rsid w:val="0547510E"/>
    <w:rsid w:val="055A7109"/>
    <w:rsid w:val="057351EA"/>
    <w:rsid w:val="059761EF"/>
    <w:rsid w:val="059F2433"/>
    <w:rsid w:val="05A12F8F"/>
    <w:rsid w:val="05AB5E10"/>
    <w:rsid w:val="05B16949"/>
    <w:rsid w:val="05C45209"/>
    <w:rsid w:val="05C614B1"/>
    <w:rsid w:val="05EC3DBF"/>
    <w:rsid w:val="05F90297"/>
    <w:rsid w:val="06093B1C"/>
    <w:rsid w:val="060C39DD"/>
    <w:rsid w:val="061006D5"/>
    <w:rsid w:val="0621782F"/>
    <w:rsid w:val="06227012"/>
    <w:rsid w:val="06291D77"/>
    <w:rsid w:val="062929E2"/>
    <w:rsid w:val="064B1FD0"/>
    <w:rsid w:val="0655574A"/>
    <w:rsid w:val="066756C3"/>
    <w:rsid w:val="066E7995"/>
    <w:rsid w:val="0671119D"/>
    <w:rsid w:val="067735F1"/>
    <w:rsid w:val="067C2170"/>
    <w:rsid w:val="06805785"/>
    <w:rsid w:val="068C07A0"/>
    <w:rsid w:val="068D61C1"/>
    <w:rsid w:val="069C2279"/>
    <w:rsid w:val="06C75E0F"/>
    <w:rsid w:val="06C76C73"/>
    <w:rsid w:val="06CB50BF"/>
    <w:rsid w:val="06CD2659"/>
    <w:rsid w:val="06D9617D"/>
    <w:rsid w:val="06DF051B"/>
    <w:rsid w:val="06E209B7"/>
    <w:rsid w:val="06EE5449"/>
    <w:rsid w:val="06FF3C76"/>
    <w:rsid w:val="07014B31"/>
    <w:rsid w:val="07105568"/>
    <w:rsid w:val="071D3AEF"/>
    <w:rsid w:val="071F775B"/>
    <w:rsid w:val="07214CE9"/>
    <w:rsid w:val="0725414F"/>
    <w:rsid w:val="073E4D0F"/>
    <w:rsid w:val="078152CB"/>
    <w:rsid w:val="07914D92"/>
    <w:rsid w:val="07985624"/>
    <w:rsid w:val="07995E0F"/>
    <w:rsid w:val="079973CA"/>
    <w:rsid w:val="07B04AE7"/>
    <w:rsid w:val="07C93DD2"/>
    <w:rsid w:val="07D83F2F"/>
    <w:rsid w:val="07E63320"/>
    <w:rsid w:val="07E945E9"/>
    <w:rsid w:val="07F10BD9"/>
    <w:rsid w:val="07F33261"/>
    <w:rsid w:val="07F3488D"/>
    <w:rsid w:val="07FB3039"/>
    <w:rsid w:val="07FC2047"/>
    <w:rsid w:val="080A4F8B"/>
    <w:rsid w:val="081D312D"/>
    <w:rsid w:val="08290DFC"/>
    <w:rsid w:val="082D031A"/>
    <w:rsid w:val="083C612C"/>
    <w:rsid w:val="083E61F6"/>
    <w:rsid w:val="08441F41"/>
    <w:rsid w:val="084D031A"/>
    <w:rsid w:val="0871359F"/>
    <w:rsid w:val="08762289"/>
    <w:rsid w:val="0891403F"/>
    <w:rsid w:val="08A45B58"/>
    <w:rsid w:val="08A75E9F"/>
    <w:rsid w:val="08B51EFD"/>
    <w:rsid w:val="08C520FD"/>
    <w:rsid w:val="08C644EB"/>
    <w:rsid w:val="08CB31B1"/>
    <w:rsid w:val="08DE0702"/>
    <w:rsid w:val="08E36B16"/>
    <w:rsid w:val="08E60AEA"/>
    <w:rsid w:val="08EB2A28"/>
    <w:rsid w:val="08F655F4"/>
    <w:rsid w:val="08FC53C7"/>
    <w:rsid w:val="09033D88"/>
    <w:rsid w:val="091033C7"/>
    <w:rsid w:val="092454AE"/>
    <w:rsid w:val="09247DCC"/>
    <w:rsid w:val="09346064"/>
    <w:rsid w:val="09351C66"/>
    <w:rsid w:val="094350D2"/>
    <w:rsid w:val="09520EC1"/>
    <w:rsid w:val="09522E65"/>
    <w:rsid w:val="095C0917"/>
    <w:rsid w:val="096126C2"/>
    <w:rsid w:val="09A1577F"/>
    <w:rsid w:val="09B1743D"/>
    <w:rsid w:val="09BF3C5F"/>
    <w:rsid w:val="09CA0F50"/>
    <w:rsid w:val="09D43BBF"/>
    <w:rsid w:val="09D81D4E"/>
    <w:rsid w:val="09EC3543"/>
    <w:rsid w:val="0A017749"/>
    <w:rsid w:val="0A027259"/>
    <w:rsid w:val="0A317FBF"/>
    <w:rsid w:val="0A433EA3"/>
    <w:rsid w:val="0A487DF8"/>
    <w:rsid w:val="0A4C0A53"/>
    <w:rsid w:val="0A562E5C"/>
    <w:rsid w:val="0A56459C"/>
    <w:rsid w:val="0A5C732A"/>
    <w:rsid w:val="0A70103F"/>
    <w:rsid w:val="0A830A8F"/>
    <w:rsid w:val="0A873AF5"/>
    <w:rsid w:val="0A874A25"/>
    <w:rsid w:val="0A9833A6"/>
    <w:rsid w:val="0AC65656"/>
    <w:rsid w:val="0ADB488F"/>
    <w:rsid w:val="0ADF4740"/>
    <w:rsid w:val="0AF404CA"/>
    <w:rsid w:val="0AFB188E"/>
    <w:rsid w:val="0B0404B0"/>
    <w:rsid w:val="0B1767A6"/>
    <w:rsid w:val="0B237F0C"/>
    <w:rsid w:val="0B252239"/>
    <w:rsid w:val="0B25655D"/>
    <w:rsid w:val="0B282B17"/>
    <w:rsid w:val="0B3B41A4"/>
    <w:rsid w:val="0B466158"/>
    <w:rsid w:val="0B4D454E"/>
    <w:rsid w:val="0B6360D1"/>
    <w:rsid w:val="0B6F71C8"/>
    <w:rsid w:val="0B765704"/>
    <w:rsid w:val="0B7B5C3B"/>
    <w:rsid w:val="0B7D0BA2"/>
    <w:rsid w:val="0B7D590C"/>
    <w:rsid w:val="0B831417"/>
    <w:rsid w:val="0B931DC9"/>
    <w:rsid w:val="0B936A8C"/>
    <w:rsid w:val="0B976282"/>
    <w:rsid w:val="0BAA0921"/>
    <w:rsid w:val="0BBA7296"/>
    <w:rsid w:val="0BC23763"/>
    <w:rsid w:val="0BD75140"/>
    <w:rsid w:val="0BD821CA"/>
    <w:rsid w:val="0BE43E2A"/>
    <w:rsid w:val="0BEE41BA"/>
    <w:rsid w:val="0C067FCC"/>
    <w:rsid w:val="0C0A4650"/>
    <w:rsid w:val="0C122E87"/>
    <w:rsid w:val="0C142061"/>
    <w:rsid w:val="0C1B4792"/>
    <w:rsid w:val="0C1E5717"/>
    <w:rsid w:val="0C1F4242"/>
    <w:rsid w:val="0C25115F"/>
    <w:rsid w:val="0C2A03A1"/>
    <w:rsid w:val="0C30164C"/>
    <w:rsid w:val="0C3D2B6D"/>
    <w:rsid w:val="0C4909C1"/>
    <w:rsid w:val="0C54553C"/>
    <w:rsid w:val="0C6153DA"/>
    <w:rsid w:val="0C680BDD"/>
    <w:rsid w:val="0C715D36"/>
    <w:rsid w:val="0C72723E"/>
    <w:rsid w:val="0C7E6AFE"/>
    <w:rsid w:val="0C8529B7"/>
    <w:rsid w:val="0C8830F0"/>
    <w:rsid w:val="0C915D6B"/>
    <w:rsid w:val="0C9F0011"/>
    <w:rsid w:val="0CA8035A"/>
    <w:rsid w:val="0CAB78F6"/>
    <w:rsid w:val="0CAD361F"/>
    <w:rsid w:val="0CAD70A0"/>
    <w:rsid w:val="0CCA7A68"/>
    <w:rsid w:val="0CD64520"/>
    <w:rsid w:val="0CE45ABA"/>
    <w:rsid w:val="0CE55D2A"/>
    <w:rsid w:val="0CEA1161"/>
    <w:rsid w:val="0CF11217"/>
    <w:rsid w:val="0D0E1A16"/>
    <w:rsid w:val="0D10611A"/>
    <w:rsid w:val="0D1462B1"/>
    <w:rsid w:val="0D202514"/>
    <w:rsid w:val="0D204464"/>
    <w:rsid w:val="0D245D5D"/>
    <w:rsid w:val="0D2A5D78"/>
    <w:rsid w:val="0D464A6E"/>
    <w:rsid w:val="0D4A1AD5"/>
    <w:rsid w:val="0D4E3C51"/>
    <w:rsid w:val="0D531267"/>
    <w:rsid w:val="0D643C93"/>
    <w:rsid w:val="0D7E3CB5"/>
    <w:rsid w:val="0D840310"/>
    <w:rsid w:val="0D935001"/>
    <w:rsid w:val="0DA75F7E"/>
    <w:rsid w:val="0DB05E21"/>
    <w:rsid w:val="0DBF7F89"/>
    <w:rsid w:val="0DCE19B4"/>
    <w:rsid w:val="0DFF508E"/>
    <w:rsid w:val="0E14052A"/>
    <w:rsid w:val="0E1B588D"/>
    <w:rsid w:val="0E1F5C0B"/>
    <w:rsid w:val="0E265F28"/>
    <w:rsid w:val="0E2873E9"/>
    <w:rsid w:val="0E442B9A"/>
    <w:rsid w:val="0E491A43"/>
    <w:rsid w:val="0E5F4DDE"/>
    <w:rsid w:val="0E6A7112"/>
    <w:rsid w:val="0E744B2D"/>
    <w:rsid w:val="0E920897"/>
    <w:rsid w:val="0E9B3C63"/>
    <w:rsid w:val="0E9D5F8F"/>
    <w:rsid w:val="0E9F1A79"/>
    <w:rsid w:val="0EB204DE"/>
    <w:rsid w:val="0EB4636E"/>
    <w:rsid w:val="0EB75DCA"/>
    <w:rsid w:val="0ED12EB4"/>
    <w:rsid w:val="0ED16605"/>
    <w:rsid w:val="0ED97B37"/>
    <w:rsid w:val="0EE3071C"/>
    <w:rsid w:val="0EEA3C85"/>
    <w:rsid w:val="0EED2DF2"/>
    <w:rsid w:val="0F1E28BF"/>
    <w:rsid w:val="0F401FA4"/>
    <w:rsid w:val="0F4F57E8"/>
    <w:rsid w:val="0F5247A9"/>
    <w:rsid w:val="0F620167"/>
    <w:rsid w:val="0F68646E"/>
    <w:rsid w:val="0F6A2C75"/>
    <w:rsid w:val="0F6C3B60"/>
    <w:rsid w:val="0F6D3545"/>
    <w:rsid w:val="0F6F6315"/>
    <w:rsid w:val="0F7150A0"/>
    <w:rsid w:val="0F885318"/>
    <w:rsid w:val="0F8E65D1"/>
    <w:rsid w:val="0FB81B5B"/>
    <w:rsid w:val="0FBB477F"/>
    <w:rsid w:val="0FBC1346"/>
    <w:rsid w:val="0FD00E8A"/>
    <w:rsid w:val="0FEE094D"/>
    <w:rsid w:val="10090199"/>
    <w:rsid w:val="100B3702"/>
    <w:rsid w:val="10142F30"/>
    <w:rsid w:val="10337DDD"/>
    <w:rsid w:val="103656D1"/>
    <w:rsid w:val="103C7917"/>
    <w:rsid w:val="103D5DF2"/>
    <w:rsid w:val="10432DCB"/>
    <w:rsid w:val="10482B91"/>
    <w:rsid w:val="10564A8B"/>
    <w:rsid w:val="1058602D"/>
    <w:rsid w:val="10890BEF"/>
    <w:rsid w:val="108B3AFA"/>
    <w:rsid w:val="10B15280"/>
    <w:rsid w:val="10D50461"/>
    <w:rsid w:val="10DC0B54"/>
    <w:rsid w:val="10E24CD8"/>
    <w:rsid w:val="10ED7EC8"/>
    <w:rsid w:val="10F15163"/>
    <w:rsid w:val="10F26CDC"/>
    <w:rsid w:val="11163C77"/>
    <w:rsid w:val="11180C20"/>
    <w:rsid w:val="112E1DCF"/>
    <w:rsid w:val="11322F7C"/>
    <w:rsid w:val="1139732F"/>
    <w:rsid w:val="114A7510"/>
    <w:rsid w:val="114C67B8"/>
    <w:rsid w:val="115A53BC"/>
    <w:rsid w:val="11696085"/>
    <w:rsid w:val="116A5371"/>
    <w:rsid w:val="117A2D8F"/>
    <w:rsid w:val="118E75B9"/>
    <w:rsid w:val="1194155A"/>
    <w:rsid w:val="11AB3509"/>
    <w:rsid w:val="11D075C8"/>
    <w:rsid w:val="11D15819"/>
    <w:rsid w:val="11E52624"/>
    <w:rsid w:val="11E539D9"/>
    <w:rsid w:val="11E8013A"/>
    <w:rsid w:val="11E8124D"/>
    <w:rsid w:val="11EB49A1"/>
    <w:rsid w:val="11ED4284"/>
    <w:rsid w:val="11F9333E"/>
    <w:rsid w:val="11FE31AD"/>
    <w:rsid w:val="120072B3"/>
    <w:rsid w:val="121466AA"/>
    <w:rsid w:val="122159ED"/>
    <w:rsid w:val="1225159D"/>
    <w:rsid w:val="12252DCA"/>
    <w:rsid w:val="122B6577"/>
    <w:rsid w:val="12343761"/>
    <w:rsid w:val="123756D1"/>
    <w:rsid w:val="123B7167"/>
    <w:rsid w:val="123F6E4B"/>
    <w:rsid w:val="124E5F2C"/>
    <w:rsid w:val="12597E87"/>
    <w:rsid w:val="125B3739"/>
    <w:rsid w:val="126943EE"/>
    <w:rsid w:val="12715C00"/>
    <w:rsid w:val="129A697A"/>
    <w:rsid w:val="129C731F"/>
    <w:rsid w:val="12B62C9C"/>
    <w:rsid w:val="12C6189A"/>
    <w:rsid w:val="12CE785B"/>
    <w:rsid w:val="12D16BCB"/>
    <w:rsid w:val="12DC08F7"/>
    <w:rsid w:val="12DC2AAB"/>
    <w:rsid w:val="12E74E3F"/>
    <w:rsid w:val="12ED7F8F"/>
    <w:rsid w:val="12F04674"/>
    <w:rsid w:val="12FE1AE7"/>
    <w:rsid w:val="132A5815"/>
    <w:rsid w:val="13356A71"/>
    <w:rsid w:val="13471E04"/>
    <w:rsid w:val="134854F2"/>
    <w:rsid w:val="134F1862"/>
    <w:rsid w:val="13594F2D"/>
    <w:rsid w:val="135D4AE6"/>
    <w:rsid w:val="135F1A74"/>
    <w:rsid w:val="13714DE1"/>
    <w:rsid w:val="13A70B15"/>
    <w:rsid w:val="13A74077"/>
    <w:rsid w:val="13BA32C6"/>
    <w:rsid w:val="13DE4A24"/>
    <w:rsid w:val="14003B68"/>
    <w:rsid w:val="14077165"/>
    <w:rsid w:val="140A4876"/>
    <w:rsid w:val="140D6D05"/>
    <w:rsid w:val="14231FAC"/>
    <w:rsid w:val="14264818"/>
    <w:rsid w:val="1441018E"/>
    <w:rsid w:val="144932D3"/>
    <w:rsid w:val="145378D4"/>
    <w:rsid w:val="145404BE"/>
    <w:rsid w:val="1463315F"/>
    <w:rsid w:val="14664519"/>
    <w:rsid w:val="146F09C5"/>
    <w:rsid w:val="147441B4"/>
    <w:rsid w:val="14745B8C"/>
    <w:rsid w:val="14832530"/>
    <w:rsid w:val="14936D19"/>
    <w:rsid w:val="14C120EC"/>
    <w:rsid w:val="14F33B67"/>
    <w:rsid w:val="15071404"/>
    <w:rsid w:val="150740B1"/>
    <w:rsid w:val="151E62FD"/>
    <w:rsid w:val="153A65BE"/>
    <w:rsid w:val="15422B45"/>
    <w:rsid w:val="154675F7"/>
    <w:rsid w:val="156629A4"/>
    <w:rsid w:val="156A38D6"/>
    <w:rsid w:val="1584295D"/>
    <w:rsid w:val="158735B1"/>
    <w:rsid w:val="15895244"/>
    <w:rsid w:val="15980752"/>
    <w:rsid w:val="159E013D"/>
    <w:rsid w:val="15B12879"/>
    <w:rsid w:val="15BA0961"/>
    <w:rsid w:val="15BC6BCB"/>
    <w:rsid w:val="15D32868"/>
    <w:rsid w:val="15E70CC4"/>
    <w:rsid w:val="15E818D1"/>
    <w:rsid w:val="15EC490F"/>
    <w:rsid w:val="15EE1192"/>
    <w:rsid w:val="15F1061F"/>
    <w:rsid w:val="15FD0081"/>
    <w:rsid w:val="16037AFF"/>
    <w:rsid w:val="161713B9"/>
    <w:rsid w:val="162117F2"/>
    <w:rsid w:val="1624041B"/>
    <w:rsid w:val="163D38BD"/>
    <w:rsid w:val="164432FC"/>
    <w:rsid w:val="164C1965"/>
    <w:rsid w:val="166867F9"/>
    <w:rsid w:val="16746A12"/>
    <w:rsid w:val="16763172"/>
    <w:rsid w:val="167E2633"/>
    <w:rsid w:val="168431DE"/>
    <w:rsid w:val="168C763B"/>
    <w:rsid w:val="168E2657"/>
    <w:rsid w:val="1690501F"/>
    <w:rsid w:val="169A1CB5"/>
    <w:rsid w:val="16A4485A"/>
    <w:rsid w:val="16BB7661"/>
    <w:rsid w:val="16CE014D"/>
    <w:rsid w:val="16D147CF"/>
    <w:rsid w:val="16D75AB8"/>
    <w:rsid w:val="16DB2D50"/>
    <w:rsid w:val="16DE5569"/>
    <w:rsid w:val="16E8299C"/>
    <w:rsid w:val="16F40010"/>
    <w:rsid w:val="16FB1042"/>
    <w:rsid w:val="17096A52"/>
    <w:rsid w:val="170A391E"/>
    <w:rsid w:val="170A608F"/>
    <w:rsid w:val="17176EC0"/>
    <w:rsid w:val="171A22E9"/>
    <w:rsid w:val="173213AE"/>
    <w:rsid w:val="1735048C"/>
    <w:rsid w:val="173C70F5"/>
    <w:rsid w:val="174206F3"/>
    <w:rsid w:val="176B4C2E"/>
    <w:rsid w:val="177B2752"/>
    <w:rsid w:val="178506BF"/>
    <w:rsid w:val="17912DBB"/>
    <w:rsid w:val="179E2BB2"/>
    <w:rsid w:val="17A31E57"/>
    <w:rsid w:val="17A41A09"/>
    <w:rsid w:val="17AA5F28"/>
    <w:rsid w:val="17BE7705"/>
    <w:rsid w:val="17C4740B"/>
    <w:rsid w:val="17DE1931"/>
    <w:rsid w:val="17E43CA4"/>
    <w:rsid w:val="17FF3634"/>
    <w:rsid w:val="1803234F"/>
    <w:rsid w:val="180627B8"/>
    <w:rsid w:val="18116229"/>
    <w:rsid w:val="181B0B66"/>
    <w:rsid w:val="181F7B0D"/>
    <w:rsid w:val="1820217E"/>
    <w:rsid w:val="18215495"/>
    <w:rsid w:val="182C1B90"/>
    <w:rsid w:val="184D7361"/>
    <w:rsid w:val="18611ADF"/>
    <w:rsid w:val="18660D83"/>
    <w:rsid w:val="186E0C3B"/>
    <w:rsid w:val="188E0EA9"/>
    <w:rsid w:val="188F0361"/>
    <w:rsid w:val="18A34D8C"/>
    <w:rsid w:val="18AD0BE1"/>
    <w:rsid w:val="18BD2A66"/>
    <w:rsid w:val="18D119EE"/>
    <w:rsid w:val="18D15D9B"/>
    <w:rsid w:val="18FB62DA"/>
    <w:rsid w:val="190524A1"/>
    <w:rsid w:val="19111C94"/>
    <w:rsid w:val="19244ABB"/>
    <w:rsid w:val="193809C2"/>
    <w:rsid w:val="193A79D1"/>
    <w:rsid w:val="194505FE"/>
    <w:rsid w:val="194E641E"/>
    <w:rsid w:val="195671A6"/>
    <w:rsid w:val="19651738"/>
    <w:rsid w:val="19665E27"/>
    <w:rsid w:val="196E297D"/>
    <w:rsid w:val="197A25C2"/>
    <w:rsid w:val="19805C57"/>
    <w:rsid w:val="198365E2"/>
    <w:rsid w:val="19A425F9"/>
    <w:rsid w:val="19B044DF"/>
    <w:rsid w:val="19C5729B"/>
    <w:rsid w:val="19E97CC7"/>
    <w:rsid w:val="19FA5475"/>
    <w:rsid w:val="19FC6A1D"/>
    <w:rsid w:val="1A110767"/>
    <w:rsid w:val="1A1964F4"/>
    <w:rsid w:val="1A576AE8"/>
    <w:rsid w:val="1A613F40"/>
    <w:rsid w:val="1A6450AE"/>
    <w:rsid w:val="1A6A26A2"/>
    <w:rsid w:val="1A6F3D1D"/>
    <w:rsid w:val="1A851E5E"/>
    <w:rsid w:val="1A8B66E7"/>
    <w:rsid w:val="1A976D8E"/>
    <w:rsid w:val="1A9A00BD"/>
    <w:rsid w:val="1A9E12F6"/>
    <w:rsid w:val="1A9F3526"/>
    <w:rsid w:val="1AB60854"/>
    <w:rsid w:val="1AB62259"/>
    <w:rsid w:val="1ADB5923"/>
    <w:rsid w:val="1ADF24BC"/>
    <w:rsid w:val="1AE031F8"/>
    <w:rsid w:val="1AE30162"/>
    <w:rsid w:val="1AEE2836"/>
    <w:rsid w:val="1AF66D2A"/>
    <w:rsid w:val="1AFB2F34"/>
    <w:rsid w:val="1B0019B0"/>
    <w:rsid w:val="1B111758"/>
    <w:rsid w:val="1B12783F"/>
    <w:rsid w:val="1B142E41"/>
    <w:rsid w:val="1B1C4A6C"/>
    <w:rsid w:val="1B1F0131"/>
    <w:rsid w:val="1B2372F3"/>
    <w:rsid w:val="1B2709C3"/>
    <w:rsid w:val="1B2B5B2C"/>
    <w:rsid w:val="1B2C2EBB"/>
    <w:rsid w:val="1B300A8F"/>
    <w:rsid w:val="1B344A57"/>
    <w:rsid w:val="1B364075"/>
    <w:rsid w:val="1B387860"/>
    <w:rsid w:val="1B527AB7"/>
    <w:rsid w:val="1B543436"/>
    <w:rsid w:val="1B551DC0"/>
    <w:rsid w:val="1B6F3157"/>
    <w:rsid w:val="1B745152"/>
    <w:rsid w:val="1B763A15"/>
    <w:rsid w:val="1B7B33DF"/>
    <w:rsid w:val="1B941FF2"/>
    <w:rsid w:val="1BB91E00"/>
    <w:rsid w:val="1BBB4B2E"/>
    <w:rsid w:val="1BC0329E"/>
    <w:rsid w:val="1BF067F9"/>
    <w:rsid w:val="1BF25AFE"/>
    <w:rsid w:val="1C01157A"/>
    <w:rsid w:val="1C337FF5"/>
    <w:rsid w:val="1C3B4532"/>
    <w:rsid w:val="1C3C2DBD"/>
    <w:rsid w:val="1C3F63C6"/>
    <w:rsid w:val="1C4A4F18"/>
    <w:rsid w:val="1C5A06F1"/>
    <w:rsid w:val="1C6063BC"/>
    <w:rsid w:val="1C614432"/>
    <w:rsid w:val="1C677760"/>
    <w:rsid w:val="1C8342C9"/>
    <w:rsid w:val="1C835541"/>
    <w:rsid w:val="1C941D10"/>
    <w:rsid w:val="1CA63F16"/>
    <w:rsid w:val="1CB63D17"/>
    <w:rsid w:val="1CBE15B8"/>
    <w:rsid w:val="1CC70AAE"/>
    <w:rsid w:val="1CF93C71"/>
    <w:rsid w:val="1CF97B60"/>
    <w:rsid w:val="1CFF2954"/>
    <w:rsid w:val="1D030883"/>
    <w:rsid w:val="1D041C43"/>
    <w:rsid w:val="1D1D75F2"/>
    <w:rsid w:val="1D4E05E3"/>
    <w:rsid w:val="1D5039A9"/>
    <w:rsid w:val="1D5A2B85"/>
    <w:rsid w:val="1D5D47CA"/>
    <w:rsid w:val="1D641353"/>
    <w:rsid w:val="1D670B14"/>
    <w:rsid w:val="1D672B77"/>
    <w:rsid w:val="1D924EB5"/>
    <w:rsid w:val="1D9F65B1"/>
    <w:rsid w:val="1DA002EB"/>
    <w:rsid w:val="1DBF7E66"/>
    <w:rsid w:val="1DD7785D"/>
    <w:rsid w:val="1DE0242C"/>
    <w:rsid w:val="1DE02E8C"/>
    <w:rsid w:val="1DFB418B"/>
    <w:rsid w:val="1E1510B3"/>
    <w:rsid w:val="1E1717B3"/>
    <w:rsid w:val="1E1B06D7"/>
    <w:rsid w:val="1E1D003B"/>
    <w:rsid w:val="1E2A3511"/>
    <w:rsid w:val="1E2A636A"/>
    <w:rsid w:val="1E2B49A3"/>
    <w:rsid w:val="1E2B5895"/>
    <w:rsid w:val="1E3F71AC"/>
    <w:rsid w:val="1E407FC7"/>
    <w:rsid w:val="1E434137"/>
    <w:rsid w:val="1E4A65BA"/>
    <w:rsid w:val="1E506677"/>
    <w:rsid w:val="1E5A2DA3"/>
    <w:rsid w:val="1E611165"/>
    <w:rsid w:val="1E6C6427"/>
    <w:rsid w:val="1E7646AA"/>
    <w:rsid w:val="1E823CD8"/>
    <w:rsid w:val="1E8A318B"/>
    <w:rsid w:val="1E965D04"/>
    <w:rsid w:val="1EB05929"/>
    <w:rsid w:val="1EC13239"/>
    <w:rsid w:val="1ED920BE"/>
    <w:rsid w:val="1EF7470E"/>
    <w:rsid w:val="1F05265B"/>
    <w:rsid w:val="1F073AFB"/>
    <w:rsid w:val="1F0E2E4B"/>
    <w:rsid w:val="1F1068A9"/>
    <w:rsid w:val="1F11207D"/>
    <w:rsid w:val="1F2E4B7E"/>
    <w:rsid w:val="1F303FDE"/>
    <w:rsid w:val="1F3309E4"/>
    <w:rsid w:val="1F3475E5"/>
    <w:rsid w:val="1F375157"/>
    <w:rsid w:val="1F3C6344"/>
    <w:rsid w:val="1F4004DF"/>
    <w:rsid w:val="1F5435CA"/>
    <w:rsid w:val="1F546D45"/>
    <w:rsid w:val="1F557BA1"/>
    <w:rsid w:val="1F6A639E"/>
    <w:rsid w:val="1F8132C8"/>
    <w:rsid w:val="1F84634A"/>
    <w:rsid w:val="1FA02744"/>
    <w:rsid w:val="1FAC011C"/>
    <w:rsid w:val="1FAE155C"/>
    <w:rsid w:val="1FC24714"/>
    <w:rsid w:val="1FCC3990"/>
    <w:rsid w:val="2004290B"/>
    <w:rsid w:val="200A6703"/>
    <w:rsid w:val="200C298F"/>
    <w:rsid w:val="202303A0"/>
    <w:rsid w:val="202A4D90"/>
    <w:rsid w:val="20435529"/>
    <w:rsid w:val="20517E69"/>
    <w:rsid w:val="20530F08"/>
    <w:rsid w:val="205C54D9"/>
    <w:rsid w:val="2066350B"/>
    <w:rsid w:val="206E43B9"/>
    <w:rsid w:val="207633E4"/>
    <w:rsid w:val="20775899"/>
    <w:rsid w:val="208701DC"/>
    <w:rsid w:val="20942936"/>
    <w:rsid w:val="209E212C"/>
    <w:rsid w:val="20AD1511"/>
    <w:rsid w:val="20AE71CD"/>
    <w:rsid w:val="20BA0621"/>
    <w:rsid w:val="20C75587"/>
    <w:rsid w:val="20DD7EA1"/>
    <w:rsid w:val="20EC6F0D"/>
    <w:rsid w:val="20EF3849"/>
    <w:rsid w:val="21114D59"/>
    <w:rsid w:val="212707FC"/>
    <w:rsid w:val="213F05A2"/>
    <w:rsid w:val="21492F42"/>
    <w:rsid w:val="216403E6"/>
    <w:rsid w:val="216D73A5"/>
    <w:rsid w:val="21817485"/>
    <w:rsid w:val="218D6398"/>
    <w:rsid w:val="21BB2CF9"/>
    <w:rsid w:val="21C614F6"/>
    <w:rsid w:val="21D57E5D"/>
    <w:rsid w:val="21E1636B"/>
    <w:rsid w:val="21F54A2A"/>
    <w:rsid w:val="220B38D3"/>
    <w:rsid w:val="220F27AB"/>
    <w:rsid w:val="22247758"/>
    <w:rsid w:val="223029AE"/>
    <w:rsid w:val="223223EF"/>
    <w:rsid w:val="224865FA"/>
    <w:rsid w:val="22490AC6"/>
    <w:rsid w:val="224B1241"/>
    <w:rsid w:val="22565E31"/>
    <w:rsid w:val="2265600B"/>
    <w:rsid w:val="226C24D9"/>
    <w:rsid w:val="227540C8"/>
    <w:rsid w:val="229A12CF"/>
    <w:rsid w:val="22A031AA"/>
    <w:rsid w:val="22C438D9"/>
    <w:rsid w:val="22C43C49"/>
    <w:rsid w:val="22C77487"/>
    <w:rsid w:val="22C90127"/>
    <w:rsid w:val="22D008F7"/>
    <w:rsid w:val="22D42D6B"/>
    <w:rsid w:val="22DF5D82"/>
    <w:rsid w:val="22FD581D"/>
    <w:rsid w:val="231A6446"/>
    <w:rsid w:val="23200D04"/>
    <w:rsid w:val="23252F62"/>
    <w:rsid w:val="2329015A"/>
    <w:rsid w:val="232A0E6E"/>
    <w:rsid w:val="233D3CAD"/>
    <w:rsid w:val="233D41F6"/>
    <w:rsid w:val="233E1D9D"/>
    <w:rsid w:val="23407BB3"/>
    <w:rsid w:val="235A23F9"/>
    <w:rsid w:val="23690BF3"/>
    <w:rsid w:val="2383404C"/>
    <w:rsid w:val="238A746E"/>
    <w:rsid w:val="23924281"/>
    <w:rsid w:val="23BD6673"/>
    <w:rsid w:val="23D003FB"/>
    <w:rsid w:val="23E06FF0"/>
    <w:rsid w:val="23E54CEB"/>
    <w:rsid w:val="23EF1892"/>
    <w:rsid w:val="23EF3D1F"/>
    <w:rsid w:val="23F26B67"/>
    <w:rsid w:val="241B5CF9"/>
    <w:rsid w:val="24321DFA"/>
    <w:rsid w:val="24530C8F"/>
    <w:rsid w:val="24573183"/>
    <w:rsid w:val="24636547"/>
    <w:rsid w:val="24717D47"/>
    <w:rsid w:val="2474309C"/>
    <w:rsid w:val="247758EE"/>
    <w:rsid w:val="2478599C"/>
    <w:rsid w:val="2493716D"/>
    <w:rsid w:val="249C788A"/>
    <w:rsid w:val="24B606DB"/>
    <w:rsid w:val="24B82B32"/>
    <w:rsid w:val="24BB49EA"/>
    <w:rsid w:val="24BB6D5B"/>
    <w:rsid w:val="24C73500"/>
    <w:rsid w:val="24DC6375"/>
    <w:rsid w:val="24F755BB"/>
    <w:rsid w:val="24FA5375"/>
    <w:rsid w:val="25073DFB"/>
    <w:rsid w:val="25167458"/>
    <w:rsid w:val="251E581D"/>
    <w:rsid w:val="252A368C"/>
    <w:rsid w:val="253317B8"/>
    <w:rsid w:val="2537641D"/>
    <w:rsid w:val="253B140B"/>
    <w:rsid w:val="253C3EF7"/>
    <w:rsid w:val="253C502B"/>
    <w:rsid w:val="2558795E"/>
    <w:rsid w:val="255E089E"/>
    <w:rsid w:val="256B4CE2"/>
    <w:rsid w:val="257F5882"/>
    <w:rsid w:val="25821957"/>
    <w:rsid w:val="25987884"/>
    <w:rsid w:val="25B07FA3"/>
    <w:rsid w:val="25BF330D"/>
    <w:rsid w:val="25C27A7C"/>
    <w:rsid w:val="25C668FF"/>
    <w:rsid w:val="25C76039"/>
    <w:rsid w:val="25CD1FBC"/>
    <w:rsid w:val="25E31DB1"/>
    <w:rsid w:val="25E45546"/>
    <w:rsid w:val="25F341F9"/>
    <w:rsid w:val="25FC0ECC"/>
    <w:rsid w:val="25FD4EFD"/>
    <w:rsid w:val="2603678D"/>
    <w:rsid w:val="26050C41"/>
    <w:rsid w:val="261A0D6A"/>
    <w:rsid w:val="26356020"/>
    <w:rsid w:val="264826D8"/>
    <w:rsid w:val="26486C62"/>
    <w:rsid w:val="26581526"/>
    <w:rsid w:val="265C3A46"/>
    <w:rsid w:val="266315B8"/>
    <w:rsid w:val="268454BF"/>
    <w:rsid w:val="26845C6C"/>
    <w:rsid w:val="268770EA"/>
    <w:rsid w:val="269408C3"/>
    <w:rsid w:val="269B51B0"/>
    <w:rsid w:val="26AF5A72"/>
    <w:rsid w:val="26BE55EA"/>
    <w:rsid w:val="26C35476"/>
    <w:rsid w:val="26C67DB3"/>
    <w:rsid w:val="26C762DB"/>
    <w:rsid w:val="26DC20E5"/>
    <w:rsid w:val="26E409AC"/>
    <w:rsid w:val="26F97745"/>
    <w:rsid w:val="270E3585"/>
    <w:rsid w:val="271A7B24"/>
    <w:rsid w:val="27205A60"/>
    <w:rsid w:val="274B353E"/>
    <w:rsid w:val="27524FD4"/>
    <w:rsid w:val="275319F4"/>
    <w:rsid w:val="27613BAA"/>
    <w:rsid w:val="276A2C20"/>
    <w:rsid w:val="276E6872"/>
    <w:rsid w:val="277473F6"/>
    <w:rsid w:val="278E3101"/>
    <w:rsid w:val="27941CFF"/>
    <w:rsid w:val="279C3C4F"/>
    <w:rsid w:val="27BC1DF8"/>
    <w:rsid w:val="27C7398D"/>
    <w:rsid w:val="27E72237"/>
    <w:rsid w:val="28036557"/>
    <w:rsid w:val="28076074"/>
    <w:rsid w:val="280D4614"/>
    <w:rsid w:val="281846D4"/>
    <w:rsid w:val="281B797E"/>
    <w:rsid w:val="282F78FD"/>
    <w:rsid w:val="28434800"/>
    <w:rsid w:val="28436F61"/>
    <w:rsid w:val="285C61D7"/>
    <w:rsid w:val="286A2391"/>
    <w:rsid w:val="28724132"/>
    <w:rsid w:val="287B59F6"/>
    <w:rsid w:val="28847D06"/>
    <w:rsid w:val="288F48FB"/>
    <w:rsid w:val="28974169"/>
    <w:rsid w:val="28AC0ECF"/>
    <w:rsid w:val="28AE2264"/>
    <w:rsid w:val="28AE6A76"/>
    <w:rsid w:val="28B80F4D"/>
    <w:rsid w:val="28BE57FD"/>
    <w:rsid w:val="28C01F1D"/>
    <w:rsid w:val="28C14CAA"/>
    <w:rsid w:val="28C52BA1"/>
    <w:rsid w:val="28CC5BCA"/>
    <w:rsid w:val="28D35487"/>
    <w:rsid w:val="28EB33ED"/>
    <w:rsid w:val="29001D45"/>
    <w:rsid w:val="290D0C20"/>
    <w:rsid w:val="29154A5F"/>
    <w:rsid w:val="29162105"/>
    <w:rsid w:val="291D6CFF"/>
    <w:rsid w:val="291E564E"/>
    <w:rsid w:val="293D4E14"/>
    <w:rsid w:val="29454998"/>
    <w:rsid w:val="296E0382"/>
    <w:rsid w:val="29741CFA"/>
    <w:rsid w:val="297C2E49"/>
    <w:rsid w:val="29846A65"/>
    <w:rsid w:val="29941624"/>
    <w:rsid w:val="299554BA"/>
    <w:rsid w:val="29956056"/>
    <w:rsid w:val="29A024A9"/>
    <w:rsid w:val="29AA3C23"/>
    <w:rsid w:val="29BF59D6"/>
    <w:rsid w:val="29C53546"/>
    <w:rsid w:val="29C941A2"/>
    <w:rsid w:val="29EB49C9"/>
    <w:rsid w:val="29EF3FB8"/>
    <w:rsid w:val="29F12286"/>
    <w:rsid w:val="29FB2966"/>
    <w:rsid w:val="2A0466C4"/>
    <w:rsid w:val="2A0B4C59"/>
    <w:rsid w:val="2A1D7695"/>
    <w:rsid w:val="2A2B2E5B"/>
    <w:rsid w:val="2A37472F"/>
    <w:rsid w:val="2A3A63BF"/>
    <w:rsid w:val="2A411009"/>
    <w:rsid w:val="2A48150B"/>
    <w:rsid w:val="2A4C0A1A"/>
    <w:rsid w:val="2A4C6A3D"/>
    <w:rsid w:val="2A633D38"/>
    <w:rsid w:val="2A655AFF"/>
    <w:rsid w:val="2A683A04"/>
    <w:rsid w:val="2A715DEA"/>
    <w:rsid w:val="2A7A2A4F"/>
    <w:rsid w:val="2A7D6818"/>
    <w:rsid w:val="2A97631D"/>
    <w:rsid w:val="2A983CC8"/>
    <w:rsid w:val="2AB4054B"/>
    <w:rsid w:val="2AB64A15"/>
    <w:rsid w:val="2AB843C9"/>
    <w:rsid w:val="2AD307BD"/>
    <w:rsid w:val="2AF82566"/>
    <w:rsid w:val="2AFE46B0"/>
    <w:rsid w:val="2B073FBC"/>
    <w:rsid w:val="2B22095A"/>
    <w:rsid w:val="2B392180"/>
    <w:rsid w:val="2B3C1D66"/>
    <w:rsid w:val="2B3E28EB"/>
    <w:rsid w:val="2B42499D"/>
    <w:rsid w:val="2B6E1F63"/>
    <w:rsid w:val="2B6F273D"/>
    <w:rsid w:val="2B7A1CBB"/>
    <w:rsid w:val="2B8F6902"/>
    <w:rsid w:val="2B9215B2"/>
    <w:rsid w:val="2BA42C24"/>
    <w:rsid w:val="2BB623FD"/>
    <w:rsid w:val="2BC566C7"/>
    <w:rsid w:val="2BC74E34"/>
    <w:rsid w:val="2BC81736"/>
    <w:rsid w:val="2BE3479D"/>
    <w:rsid w:val="2BED6843"/>
    <w:rsid w:val="2BF93F6F"/>
    <w:rsid w:val="2BFB3F34"/>
    <w:rsid w:val="2C09048B"/>
    <w:rsid w:val="2C19133D"/>
    <w:rsid w:val="2C1A1B3D"/>
    <w:rsid w:val="2C221397"/>
    <w:rsid w:val="2C2B0D8E"/>
    <w:rsid w:val="2C6D7FD1"/>
    <w:rsid w:val="2C81653D"/>
    <w:rsid w:val="2C822D0A"/>
    <w:rsid w:val="2CB20AE9"/>
    <w:rsid w:val="2CB9247E"/>
    <w:rsid w:val="2CF42A2C"/>
    <w:rsid w:val="2D1547AA"/>
    <w:rsid w:val="2D1C0C8B"/>
    <w:rsid w:val="2D307540"/>
    <w:rsid w:val="2D4310C2"/>
    <w:rsid w:val="2D500625"/>
    <w:rsid w:val="2D511CF8"/>
    <w:rsid w:val="2D5A0B9D"/>
    <w:rsid w:val="2D696714"/>
    <w:rsid w:val="2D8207CC"/>
    <w:rsid w:val="2D822826"/>
    <w:rsid w:val="2D8E5DB3"/>
    <w:rsid w:val="2D9C231F"/>
    <w:rsid w:val="2D9F3C27"/>
    <w:rsid w:val="2DB15F1B"/>
    <w:rsid w:val="2DC10C67"/>
    <w:rsid w:val="2DC951FB"/>
    <w:rsid w:val="2DE44B7D"/>
    <w:rsid w:val="2DFF48B2"/>
    <w:rsid w:val="2E00515D"/>
    <w:rsid w:val="2E153C96"/>
    <w:rsid w:val="2E2C3CC9"/>
    <w:rsid w:val="2E2D39B2"/>
    <w:rsid w:val="2E3944DD"/>
    <w:rsid w:val="2E524DAC"/>
    <w:rsid w:val="2E553313"/>
    <w:rsid w:val="2E6C4C6B"/>
    <w:rsid w:val="2E760F81"/>
    <w:rsid w:val="2E7A64DB"/>
    <w:rsid w:val="2E7F0E45"/>
    <w:rsid w:val="2E816717"/>
    <w:rsid w:val="2E8C1D17"/>
    <w:rsid w:val="2E935E42"/>
    <w:rsid w:val="2EB774D0"/>
    <w:rsid w:val="2ED62883"/>
    <w:rsid w:val="2EE04406"/>
    <w:rsid w:val="2EE642AD"/>
    <w:rsid w:val="2EF86FE5"/>
    <w:rsid w:val="2F05447E"/>
    <w:rsid w:val="2F1C3457"/>
    <w:rsid w:val="2F2C5B97"/>
    <w:rsid w:val="2F3E204E"/>
    <w:rsid w:val="2F3F6D21"/>
    <w:rsid w:val="2F427B64"/>
    <w:rsid w:val="2F7A7771"/>
    <w:rsid w:val="2F917E15"/>
    <w:rsid w:val="2FA70B41"/>
    <w:rsid w:val="2FAE780E"/>
    <w:rsid w:val="2FB05185"/>
    <w:rsid w:val="2FC42573"/>
    <w:rsid w:val="2FEA61C6"/>
    <w:rsid w:val="2FF46A33"/>
    <w:rsid w:val="30164ACC"/>
    <w:rsid w:val="301746AE"/>
    <w:rsid w:val="303D4291"/>
    <w:rsid w:val="30446691"/>
    <w:rsid w:val="30536DA5"/>
    <w:rsid w:val="30555F0B"/>
    <w:rsid w:val="30594AB0"/>
    <w:rsid w:val="305B18F9"/>
    <w:rsid w:val="306675DB"/>
    <w:rsid w:val="306F4A5C"/>
    <w:rsid w:val="30704F1E"/>
    <w:rsid w:val="30785832"/>
    <w:rsid w:val="30821E14"/>
    <w:rsid w:val="30CB47A4"/>
    <w:rsid w:val="30E33D6A"/>
    <w:rsid w:val="30EC06C8"/>
    <w:rsid w:val="30F27EBE"/>
    <w:rsid w:val="310544A1"/>
    <w:rsid w:val="31063824"/>
    <w:rsid w:val="31130579"/>
    <w:rsid w:val="31150AF7"/>
    <w:rsid w:val="3140510D"/>
    <w:rsid w:val="31490B16"/>
    <w:rsid w:val="31525124"/>
    <w:rsid w:val="31595687"/>
    <w:rsid w:val="31606BA9"/>
    <w:rsid w:val="317B5137"/>
    <w:rsid w:val="31B173FD"/>
    <w:rsid w:val="31B535AF"/>
    <w:rsid w:val="31D525E6"/>
    <w:rsid w:val="31EA44FA"/>
    <w:rsid w:val="31F304A6"/>
    <w:rsid w:val="32091243"/>
    <w:rsid w:val="320E77C6"/>
    <w:rsid w:val="32171056"/>
    <w:rsid w:val="32294765"/>
    <w:rsid w:val="327457E2"/>
    <w:rsid w:val="327E7CD9"/>
    <w:rsid w:val="32B56E69"/>
    <w:rsid w:val="32BA0999"/>
    <w:rsid w:val="32C13A94"/>
    <w:rsid w:val="32C26851"/>
    <w:rsid w:val="32D87E02"/>
    <w:rsid w:val="32F445A5"/>
    <w:rsid w:val="32FC5FC6"/>
    <w:rsid w:val="330F4401"/>
    <w:rsid w:val="3312314E"/>
    <w:rsid w:val="331E1E02"/>
    <w:rsid w:val="33353215"/>
    <w:rsid w:val="33435036"/>
    <w:rsid w:val="33472431"/>
    <w:rsid w:val="335D7B29"/>
    <w:rsid w:val="336B0B61"/>
    <w:rsid w:val="33707938"/>
    <w:rsid w:val="338C3ABE"/>
    <w:rsid w:val="33A867A1"/>
    <w:rsid w:val="33BC0176"/>
    <w:rsid w:val="33BE0CB2"/>
    <w:rsid w:val="33C02706"/>
    <w:rsid w:val="33D21CA6"/>
    <w:rsid w:val="33D25587"/>
    <w:rsid w:val="33E94DD5"/>
    <w:rsid w:val="33ED27D2"/>
    <w:rsid w:val="33F133C2"/>
    <w:rsid w:val="33F943AC"/>
    <w:rsid w:val="340412FF"/>
    <w:rsid w:val="340C6731"/>
    <w:rsid w:val="34151FB4"/>
    <w:rsid w:val="341548E7"/>
    <w:rsid w:val="341C1963"/>
    <w:rsid w:val="34204EA8"/>
    <w:rsid w:val="34377867"/>
    <w:rsid w:val="34436F0B"/>
    <w:rsid w:val="34490E4F"/>
    <w:rsid w:val="345074D3"/>
    <w:rsid w:val="345A7961"/>
    <w:rsid w:val="347A05C3"/>
    <w:rsid w:val="347E5080"/>
    <w:rsid w:val="348D4D75"/>
    <w:rsid w:val="34902CE5"/>
    <w:rsid w:val="34965FFC"/>
    <w:rsid w:val="349E0792"/>
    <w:rsid w:val="34A775AB"/>
    <w:rsid w:val="34B475AD"/>
    <w:rsid w:val="34B70E18"/>
    <w:rsid w:val="34B7229E"/>
    <w:rsid w:val="34C1398D"/>
    <w:rsid w:val="34D33C1F"/>
    <w:rsid w:val="34DB71D0"/>
    <w:rsid w:val="34E077DE"/>
    <w:rsid w:val="34EB3FFA"/>
    <w:rsid w:val="34F230ED"/>
    <w:rsid w:val="3514219D"/>
    <w:rsid w:val="351569ED"/>
    <w:rsid w:val="353F00A7"/>
    <w:rsid w:val="35572F42"/>
    <w:rsid w:val="35680A2A"/>
    <w:rsid w:val="35682CA4"/>
    <w:rsid w:val="356E330B"/>
    <w:rsid w:val="356E5C0E"/>
    <w:rsid w:val="357375C4"/>
    <w:rsid w:val="3575576F"/>
    <w:rsid w:val="357762F6"/>
    <w:rsid w:val="357A743D"/>
    <w:rsid w:val="358B52B4"/>
    <w:rsid w:val="35933EB9"/>
    <w:rsid w:val="35990A65"/>
    <w:rsid w:val="359D6299"/>
    <w:rsid w:val="35A21A40"/>
    <w:rsid w:val="35A6171B"/>
    <w:rsid w:val="35A82F5F"/>
    <w:rsid w:val="35B603F5"/>
    <w:rsid w:val="35CC2089"/>
    <w:rsid w:val="35EF1F65"/>
    <w:rsid w:val="35EF4E9F"/>
    <w:rsid w:val="36011B96"/>
    <w:rsid w:val="360D3064"/>
    <w:rsid w:val="362F49EE"/>
    <w:rsid w:val="363F7B46"/>
    <w:rsid w:val="364B676C"/>
    <w:rsid w:val="364F1AF3"/>
    <w:rsid w:val="3652616D"/>
    <w:rsid w:val="365B4B65"/>
    <w:rsid w:val="366046B9"/>
    <w:rsid w:val="366135C0"/>
    <w:rsid w:val="366A5627"/>
    <w:rsid w:val="36AC26B2"/>
    <w:rsid w:val="36B630C0"/>
    <w:rsid w:val="36C81B5B"/>
    <w:rsid w:val="36CA4796"/>
    <w:rsid w:val="36D12B9D"/>
    <w:rsid w:val="36D305E5"/>
    <w:rsid w:val="36EA7FF2"/>
    <w:rsid w:val="37017235"/>
    <w:rsid w:val="37026713"/>
    <w:rsid w:val="371116C7"/>
    <w:rsid w:val="371B2070"/>
    <w:rsid w:val="373D169F"/>
    <w:rsid w:val="374E143A"/>
    <w:rsid w:val="375145A6"/>
    <w:rsid w:val="37522485"/>
    <w:rsid w:val="37613C52"/>
    <w:rsid w:val="376C7468"/>
    <w:rsid w:val="376F2885"/>
    <w:rsid w:val="377358ED"/>
    <w:rsid w:val="377835C6"/>
    <w:rsid w:val="377F0400"/>
    <w:rsid w:val="378810A1"/>
    <w:rsid w:val="37A61C82"/>
    <w:rsid w:val="37CE1633"/>
    <w:rsid w:val="37DD1744"/>
    <w:rsid w:val="37F25243"/>
    <w:rsid w:val="380255AF"/>
    <w:rsid w:val="38333626"/>
    <w:rsid w:val="38362805"/>
    <w:rsid w:val="383C5B1E"/>
    <w:rsid w:val="384E441A"/>
    <w:rsid w:val="385028AD"/>
    <w:rsid w:val="38506C2F"/>
    <w:rsid w:val="387E678B"/>
    <w:rsid w:val="38803B23"/>
    <w:rsid w:val="38822629"/>
    <w:rsid w:val="388305E2"/>
    <w:rsid w:val="38877CF7"/>
    <w:rsid w:val="388F62B7"/>
    <w:rsid w:val="38951865"/>
    <w:rsid w:val="38961914"/>
    <w:rsid w:val="38971D8D"/>
    <w:rsid w:val="389808BD"/>
    <w:rsid w:val="38AF3010"/>
    <w:rsid w:val="38BD3B15"/>
    <w:rsid w:val="38C8225A"/>
    <w:rsid w:val="38D61BCF"/>
    <w:rsid w:val="38D822E9"/>
    <w:rsid w:val="38DD6A3B"/>
    <w:rsid w:val="38E03474"/>
    <w:rsid w:val="38E2286A"/>
    <w:rsid w:val="38E32D4B"/>
    <w:rsid w:val="38E94228"/>
    <w:rsid w:val="38EA7259"/>
    <w:rsid w:val="39090EB2"/>
    <w:rsid w:val="390A09B4"/>
    <w:rsid w:val="390B2C76"/>
    <w:rsid w:val="390D1345"/>
    <w:rsid w:val="391233B7"/>
    <w:rsid w:val="391644FB"/>
    <w:rsid w:val="39257351"/>
    <w:rsid w:val="392F0F3D"/>
    <w:rsid w:val="39322F95"/>
    <w:rsid w:val="39430A5E"/>
    <w:rsid w:val="39602F23"/>
    <w:rsid w:val="396B58C4"/>
    <w:rsid w:val="396F5D1F"/>
    <w:rsid w:val="397B0BB4"/>
    <w:rsid w:val="399B3376"/>
    <w:rsid w:val="39A64195"/>
    <w:rsid w:val="39C04E20"/>
    <w:rsid w:val="39CA3463"/>
    <w:rsid w:val="39CF6662"/>
    <w:rsid w:val="39D13A82"/>
    <w:rsid w:val="39F143A6"/>
    <w:rsid w:val="39F2252B"/>
    <w:rsid w:val="39F8041B"/>
    <w:rsid w:val="3A0E5A41"/>
    <w:rsid w:val="3A10216C"/>
    <w:rsid w:val="3A2175BE"/>
    <w:rsid w:val="3A224D17"/>
    <w:rsid w:val="3A2A7F00"/>
    <w:rsid w:val="3A593D19"/>
    <w:rsid w:val="3A597041"/>
    <w:rsid w:val="3A6A27D7"/>
    <w:rsid w:val="3A863FC4"/>
    <w:rsid w:val="3A8E6700"/>
    <w:rsid w:val="3AB54B04"/>
    <w:rsid w:val="3ABC09E4"/>
    <w:rsid w:val="3AC407C9"/>
    <w:rsid w:val="3ADA700B"/>
    <w:rsid w:val="3ADD1A06"/>
    <w:rsid w:val="3AF06CC1"/>
    <w:rsid w:val="3AF754CB"/>
    <w:rsid w:val="3AFF308E"/>
    <w:rsid w:val="3B084294"/>
    <w:rsid w:val="3B183E18"/>
    <w:rsid w:val="3B1E4EF7"/>
    <w:rsid w:val="3B215631"/>
    <w:rsid w:val="3B2D6711"/>
    <w:rsid w:val="3B51309B"/>
    <w:rsid w:val="3B5318D1"/>
    <w:rsid w:val="3B605431"/>
    <w:rsid w:val="3B883403"/>
    <w:rsid w:val="3B91742D"/>
    <w:rsid w:val="3B954F85"/>
    <w:rsid w:val="3B9C0E95"/>
    <w:rsid w:val="3B9F5CAC"/>
    <w:rsid w:val="3BA12001"/>
    <w:rsid w:val="3BA32D54"/>
    <w:rsid w:val="3BA96A60"/>
    <w:rsid w:val="3BAB3434"/>
    <w:rsid w:val="3BBD0AD4"/>
    <w:rsid w:val="3BBE52E7"/>
    <w:rsid w:val="3BC80F89"/>
    <w:rsid w:val="3BCA6137"/>
    <w:rsid w:val="3BFE5D03"/>
    <w:rsid w:val="3C01329F"/>
    <w:rsid w:val="3C0248C3"/>
    <w:rsid w:val="3C043AEA"/>
    <w:rsid w:val="3C072215"/>
    <w:rsid w:val="3C167592"/>
    <w:rsid w:val="3C170EB9"/>
    <w:rsid w:val="3C250799"/>
    <w:rsid w:val="3C276162"/>
    <w:rsid w:val="3C2B1BD6"/>
    <w:rsid w:val="3C3563E5"/>
    <w:rsid w:val="3C364397"/>
    <w:rsid w:val="3C396A58"/>
    <w:rsid w:val="3C3C369B"/>
    <w:rsid w:val="3C705476"/>
    <w:rsid w:val="3C714A0F"/>
    <w:rsid w:val="3C762FBC"/>
    <w:rsid w:val="3C89533A"/>
    <w:rsid w:val="3C9108DC"/>
    <w:rsid w:val="3C984A89"/>
    <w:rsid w:val="3CA427D7"/>
    <w:rsid w:val="3CA431D4"/>
    <w:rsid w:val="3CA86B29"/>
    <w:rsid w:val="3CB013F2"/>
    <w:rsid w:val="3CBD03A6"/>
    <w:rsid w:val="3CC17996"/>
    <w:rsid w:val="3CC706CB"/>
    <w:rsid w:val="3CC8720C"/>
    <w:rsid w:val="3CDC27C9"/>
    <w:rsid w:val="3CE068D8"/>
    <w:rsid w:val="3CF21AEE"/>
    <w:rsid w:val="3D0806F7"/>
    <w:rsid w:val="3D0A22D5"/>
    <w:rsid w:val="3D0B5F2D"/>
    <w:rsid w:val="3D114B5C"/>
    <w:rsid w:val="3D13167F"/>
    <w:rsid w:val="3D193B16"/>
    <w:rsid w:val="3D1C447A"/>
    <w:rsid w:val="3D3F2810"/>
    <w:rsid w:val="3D484D37"/>
    <w:rsid w:val="3D495DF7"/>
    <w:rsid w:val="3D672041"/>
    <w:rsid w:val="3D6E3CE9"/>
    <w:rsid w:val="3D746D97"/>
    <w:rsid w:val="3D851633"/>
    <w:rsid w:val="3D875BB8"/>
    <w:rsid w:val="3D911903"/>
    <w:rsid w:val="3DBF1661"/>
    <w:rsid w:val="3DF14ADE"/>
    <w:rsid w:val="3E041EA0"/>
    <w:rsid w:val="3E051FCE"/>
    <w:rsid w:val="3E1756B6"/>
    <w:rsid w:val="3E1D3A84"/>
    <w:rsid w:val="3E2048C2"/>
    <w:rsid w:val="3E28471D"/>
    <w:rsid w:val="3E465775"/>
    <w:rsid w:val="3E4C632F"/>
    <w:rsid w:val="3E5B02A3"/>
    <w:rsid w:val="3E5E3BF8"/>
    <w:rsid w:val="3E5F70CE"/>
    <w:rsid w:val="3E610DA9"/>
    <w:rsid w:val="3E645172"/>
    <w:rsid w:val="3E701062"/>
    <w:rsid w:val="3E77442B"/>
    <w:rsid w:val="3E783EC0"/>
    <w:rsid w:val="3EAC39B4"/>
    <w:rsid w:val="3EB154B3"/>
    <w:rsid w:val="3EC11BF7"/>
    <w:rsid w:val="3ED3669B"/>
    <w:rsid w:val="3EF93089"/>
    <w:rsid w:val="3F091664"/>
    <w:rsid w:val="3F0E4239"/>
    <w:rsid w:val="3F127531"/>
    <w:rsid w:val="3F224384"/>
    <w:rsid w:val="3F2B4E96"/>
    <w:rsid w:val="3F3A7BF4"/>
    <w:rsid w:val="3F3D1564"/>
    <w:rsid w:val="3F403B65"/>
    <w:rsid w:val="3F4159E0"/>
    <w:rsid w:val="3F507482"/>
    <w:rsid w:val="3F5661ED"/>
    <w:rsid w:val="3F5C181E"/>
    <w:rsid w:val="3F610EBC"/>
    <w:rsid w:val="3F6263C0"/>
    <w:rsid w:val="3F700303"/>
    <w:rsid w:val="3F755AF4"/>
    <w:rsid w:val="3F7A035D"/>
    <w:rsid w:val="3F7F2AED"/>
    <w:rsid w:val="3F8568C6"/>
    <w:rsid w:val="3F895D56"/>
    <w:rsid w:val="3F9C6528"/>
    <w:rsid w:val="3FAF7F99"/>
    <w:rsid w:val="3FB672B0"/>
    <w:rsid w:val="3FC24EFB"/>
    <w:rsid w:val="3FC42D5D"/>
    <w:rsid w:val="3FC470DF"/>
    <w:rsid w:val="3FC74278"/>
    <w:rsid w:val="3FC74891"/>
    <w:rsid w:val="3FDD44BD"/>
    <w:rsid w:val="3FEE4FBE"/>
    <w:rsid w:val="4016105A"/>
    <w:rsid w:val="40507088"/>
    <w:rsid w:val="40511B29"/>
    <w:rsid w:val="40525CFA"/>
    <w:rsid w:val="405666DE"/>
    <w:rsid w:val="405A164D"/>
    <w:rsid w:val="405A2653"/>
    <w:rsid w:val="40622EEA"/>
    <w:rsid w:val="4078244A"/>
    <w:rsid w:val="407D09B4"/>
    <w:rsid w:val="4087681C"/>
    <w:rsid w:val="40892F96"/>
    <w:rsid w:val="408E1F25"/>
    <w:rsid w:val="409D774F"/>
    <w:rsid w:val="40A12BD8"/>
    <w:rsid w:val="40A22DA0"/>
    <w:rsid w:val="40B03322"/>
    <w:rsid w:val="40C448ED"/>
    <w:rsid w:val="40C7040C"/>
    <w:rsid w:val="40D04CE6"/>
    <w:rsid w:val="40F933C3"/>
    <w:rsid w:val="4109777D"/>
    <w:rsid w:val="411F6223"/>
    <w:rsid w:val="41390C96"/>
    <w:rsid w:val="413B683F"/>
    <w:rsid w:val="414145F5"/>
    <w:rsid w:val="41466C95"/>
    <w:rsid w:val="414B6987"/>
    <w:rsid w:val="4158647C"/>
    <w:rsid w:val="416B0B98"/>
    <w:rsid w:val="416E7E6D"/>
    <w:rsid w:val="41740777"/>
    <w:rsid w:val="4175321B"/>
    <w:rsid w:val="418F78FA"/>
    <w:rsid w:val="4195768D"/>
    <w:rsid w:val="419F1DDA"/>
    <w:rsid w:val="41B52DD0"/>
    <w:rsid w:val="41CA3305"/>
    <w:rsid w:val="41CC6A6E"/>
    <w:rsid w:val="41D24F42"/>
    <w:rsid w:val="41D46746"/>
    <w:rsid w:val="41D8095C"/>
    <w:rsid w:val="41DB0720"/>
    <w:rsid w:val="41E50241"/>
    <w:rsid w:val="41E541A8"/>
    <w:rsid w:val="41EC53DF"/>
    <w:rsid w:val="41ED6B4B"/>
    <w:rsid w:val="42065175"/>
    <w:rsid w:val="42203DE5"/>
    <w:rsid w:val="4225439C"/>
    <w:rsid w:val="42272AB3"/>
    <w:rsid w:val="422E206E"/>
    <w:rsid w:val="423339AE"/>
    <w:rsid w:val="42400071"/>
    <w:rsid w:val="42623E1B"/>
    <w:rsid w:val="426655BC"/>
    <w:rsid w:val="42702AE2"/>
    <w:rsid w:val="42750B03"/>
    <w:rsid w:val="427A3AB6"/>
    <w:rsid w:val="427B2568"/>
    <w:rsid w:val="427B6090"/>
    <w:rsid w:val="42847469"/>
    <w:rsid w:val="428A5209"/>
    <w:rsid w:val="428F617C"/>
    <w:rsid w:val="42A32E9D"/>
    <w:rsid w:val="42A37451"/>
    <w:rsid w:val="42AA632B"/>
    <w:rsid w:val="42AE7F37"/>
    <w:rsid w:val="42B9327D"/>
    <w:rsid w:val="42CC28E0"/>
    <w:rsid w:val="42E24515"/>
    <w:rsid w:val="42E2679D"/>
    <w:rsid w:val="42FD403F"/>
    <w:rsid w:val="43036ACD"/>
    <w:rsid w:val="43037BB1"/>
    <w:rsid w:val="4308583C"/>
    <w:rsid w:val="43096B40"/>
    <w:rsid w:val="430B476E"/>
    <w:rsid w:val="433E40E3"/>
    <w:rsid w:val="434C15A3"/>
    <w:rsid w:val="434D4AE8"/>
    <w:rsid w:val="43512BF1"/>
    <w:rsid w:val="435448CE"/>
    <w:rsid w:val="43572820"/>
    <w:rsid w:val="435A4BE6"/>
    <w:rsid w:val="435C3448"/>
    <w:rsid w:val="436B0A40"/>
    <w:rsid w:val="43715519"/>
    <w:rsid w:val="437B4FA4"/>
    <w:rsid w:val="437B5074"/>
    <w:rsid w:val="437E400B"/>
    <w:rsid w:val="43834A3E"/>
    <w:rsid w:val="43875ECA"/>
    <w:rsid w:val="43993698"/>
    <w:rsid w:val="43B31196"/>
    <w:rsid w:val="43BB720C"/>
    <w:rsid w:val="43BC335F"/>
    <w:rsid w:val="43C92B32"/>
    <w:rsid w:val="43EB7ACC"/>
    <w:rsid w:val="43F21C60"/>
    <w:rsid w:val="43FC1AB4"/>
    <w:rsid w:val="442A1993"/>
    <w:rsid w:val="442F4C28"/>
    <w:rsid w:val="44402F95"/>
    <w:rsid w:val="444C6BA7"/>
    <w:rsid w:val="447D407D"/>
    <w:rsid w:val="448A0E5D"/>
    <w:rsid w:val="448C665C"/>
    <w:rsid w:val="449231FF"/>
    <w:rsid w:val="449D45F7"/>
    <w:rsid w:val="44A435AA"/>
    <w:rsid w:val="44A872EC"/>
    <w:rsid w:val="44A91136"/>
    <w:rsid w:val="44AA7083"/>
    <w:rsid w:val="44BC0A03"/>
    <w:rsid w:val="44C07EB7"/>
    <w:rsid w:val="44C41CD0"/>
    <w:rsid w:val="44E84CCF"/>
    <w:rsid w:val="44EB55BF"/>
    <w:rsid w:val="4516216D"/>
    <w:rsid w:val="451F0B3D"/>
    <w:rsid w:val="45282B19"/>
    <w:rsid w:val="452D2698"/>
    <w:rsid w:val="453A0233"/>
    <w:rsid w:val="454E3658"/>
    <w:rsid w:val="457F56BD"/>
    <w:rsid w:val="45836B41"/>
    <w:rsid w:val="45BA3A93"/>
    <w:rsid w:val="45D32B9D"/>
    <w:rsid w:val="45D33468"/>
    <w:rsid w:val="45D51F09"/>
    <w:rsid w:val="45E335B5"/>
    <w:rsid w:val="45F471EB"/>
    <w:rsid w:val="46010F1F"/>
    <w:rsid w:val="4605790B"/>
    <w:rsid w:val="46072FDC"/>
    <w:rsid w:val="4607613B"/>
    <w:rsid w:val="46144FA7"/>
    <w:rsid w:val="4615521A"/>
    <w:rsid w:val="46197399"/>
    <w:rsid w:val="461F3C01"/>
    <w:rsid w:val="462D4AD7"/>
    <w:rsid w:val="463E6D3E"/>
    <w:rsid w:val="46566AA9"/>
    <w:rsid w:val="46661558"/>
    <w:rsid w:val="466A3548"/>
    <w:rsid w:val="466C4AED"/>
    <w:rsid w:val="466D7257"/>
    <w:rsid w:val="466E2F34"/>
    <w:rsid w:val="468E4758"/>
    <w:rsid w:val="46967F5B"/>
    <w:rsid w:val="469B3FAE"/>
    <w:rsid w:val="46B35E11"/>
    <w:rsid w:val="46B8421A"/>
    <w:rsid w:val="46BA27BC"/>
    <w:rsid w:val="46BC6770"/>
    <w:rsid w:val="46CB00C3"/>
    <w:rsid w:val="46CF7E90"/>
    <w:rsid w:val="46D13DB8"/>
    <w:rsid w:val="471C6FA1"/>
    <w:rsid w:val="47240834"/>
    <w:rsid w:val="472E4C7C"/>
    <w:rsid w:val="473A45AB"/>
    <w:rsid w:val="473E07A9"/>
    <w:rsid w:val="47485F2E"/>
    <w:rsid w:val="47546CCD"/>
    <w:rsid w:val="475567CD"/>
    <w:rsid w:val="476D18A9"/>
    <w:rsid w:val="478039D4"/>
    <w:rsid w:val="478C3AAA"/>
    <w:rsid w:val="479E642E"/>
    <w:rsid w:val="47A12FBD"/>
    <w:rsid w:val="47A20A59"/>
    <w:rsid w:val="47B5458F"/>
    <w:rsid w:val="47C1238D"/>
    <w:rsid w:val="47CB0AA5"/>
    <w:rsid w:val="47E246F7"/>
    <w:rsid w:val="47E76F91"/>
    <w:rsid w:val="47FF0DAF"/>
    <w:rsid w:val="48030380"/>
    <w:rsid w:val="48185A6B"/>
    <w:rsid w:val="4820516A"/>
    <w:rsid w:val="48273A4D"/>
    <w:rsid w:val="483F2C13"/>
    <w:rsid w:val="484655CE"/>
    <w:rsid w:val="48490C72"/>
    <w:rsid w:val="484A471E"/>
    <w:rsid w:val="484B5430"/>
    <w:rsid w:val="485162E7"/>
    <w:rsid w:val="48533116"/>
    <w:rsid w:val="48560B58"/>
    <w:rsid w:val="48562972"/>
    <w:rsid w:val="48615205"/>
    <w:rsid w:val="486B3599"/>
    <w:rsid w:val="486F3FB1"/>
    <w:rsid w:val="487452ED"/>
    <w:rsid w:val="487E75DD"/>
    <w:rsid w:val="48936FC5"/>
    <w:rsid w:val="489414DE"/>
    <w:rsid w:val="48A57EC2"/>
    <w:rsid w:val="48A61185"/>
    <w:rsid w:val="48C440BD"/>
    <w:rsid w:val="48D16ECE"/>
    <w:rsid w:val="48D17B15"/>
    <w:rsid w:val="48DA77C2"/>
    <w:rsid w:val="48F814A8"/>
    <w:rsid w:val="490414C0"/>
    <w:rsid w:val="491171A1"/>
    <w:rsid w:val="4927647B"/>
    <w:rsid w:val="492C5797"/>
    <w:rsid w:val="495561DE"/>
    <w:rsid w:val="495F48E7"/>
    <w:rsid w:val="49780AA5"/>
    <w:rsid w:val="497C4A7C"/>
    <w:rsid w:val="49863AD0"/>
    <w:rsid w:val="499C2D6D"/>
    <w:rsid w:val="499D11DE"/>
    <w:rsid w:val="49BF7880"/>
    <w:rsid w:val="49C82B49"/>
    <w:rsid w:val="49D56C49"/>
    <w:rsid w:val="49D855C7"/>
    <w:rsid w:val="49EC4258"/>
    <w:rsid w:val="49F80512"/>
    <w:rsid w:val="49FF42B2"/>
    <w:rsid w:val="4A134E44"/>
    <w:rsid w:val="4A21436D"/>
    <w:rsid w:val="4A263F01"/>
    <w:rsid w:val="4A4658CB"/>
    <w:rsid w:val="4A4831FA"/>
    <w:rsid w:val="4A4C1CC9"/>
    <w:rsid w:val="4A5F0C28"/>
    <w:rsid w:val="4A624F55"/>
    <w:rsid w:val="4A7F1D52"/>
    <w:rsid w:val="4A854E3F"/>
    <w:rsid w:val="4A953B1E"/>
    <w:rsid w:val="4AAB146E"/>
    <w:rsid w:val="4ACF2903"/>
    <w:rsid w:val="4AFB4F34"/>
    <w:rsid w:val="4B0F757E"/>
    <w:rsid w:val="4B130467"/>
    <w:rsid w:val="4B1338CC"/>
    <w:rsid w:val="4B172B12"/>
    <w:rsid w:val="4B1E7CCA"/>
    <w:rsid w:val="4B1F0138"/>
    <w:rsid w:val="4B242A8A"/>
    <w:rsid w:val="4B262EBA"/>
    <w:rsid w:val="4B435D76"/>
    <w:rsid w:val="4B531F8D"/>
    <w:rsid w:val="4B6139D5"/>
    <w:rsid w:val="4B662E8B"/>
    <w:rsid w:val="4B7B3BAB"/>
    <w:rsid w:val="4B82772E"/>
    <w:rsid w:val="4B870F18"/>
    <w:rsid w:val="4B8D450C"/>
    <w:rsid w:val="4B943B21"/>
    <w:rsid w:val="4B9A718E"/>
    <w:rsid w:val="4BAB096B"/>
    <w:rsid w:val="4BAF7E06"/>
    <w:rsid w:val="4BBB3716"/>
    <w:rsid w:val="4BBD0359"/>
    <w:rsid w:val="4BD46636"/>
    <w:rsid w:val="4BD6500F"/>
    <w:rsid w:val="4BDE7972"/>
    <w:rsid w:val="4BEE45CB"/>
    <w:rsid w:val="4BF326C8"/>
    <w:rsid w:val="4C03036E"/>
    <w:rsid w:val="4C082496"/>
    <w:rsid w:val="4C08678F"/>
    <w:rsid w:val="4C1017DC"/>
    <w:rsid w:val="4C165F9F"/>
    <w:rsid w:val="4C1B5AC4"/>
    <w:rsid w:val="4C1D632B"/>
    <w:rsid w:val="4C396B73"/>
    <w:rsid w:val="4C426781"/>
    <w:rsid w:val="4C4B37EA"/>
    <w:rsid w:val="4C4C5496"/>
    <w:rsid w:val="4C6A1CEF"/>
    <w:rsid w:val="4C6C3432"/>
    <w:rsid w:val="4C854697"/>
    <w:rsid w:val="4C8A5FB4"/>
    <w:rsid w:val="4C8C21FB"/>
    <w:rsid w:val="4C9153FC"/>
    <w:rsid w:val="4C9D08B4"/>
    <w:rsid w:val="4CA66198"/>
    <w:rsid w:val="4CAA102F"/>
    <w:rsid w:val="4CB14655"/>
    <w:rsid w:val="4CB33E17"/>
    <w:rsid w:val="4CC80B92"/>
    <w:rsid w:val="4CC92C3A"/>
    <w:rsid w:val="4CE01489"/>
    <w:rsid w:val="4CEB74B6"/>
    <w:rsid w:val="4CF71ECA"/>
    <w:rsid w:val="4CF8202F"/>
    <w:rsid w:val="4CFD4AAA"/>
    <w:rsid w:val="4D03578B"/>
    <w:rsid w:val="4D182801"/>
    <w:rsid w:val="4D1836FB"/>
    <w:rsid w:val="4D2253C1"/>
    <w:rsid w:val="4D4231FC"/>
    <w:rsid w:val="4D4674EF"/>
    <w:rsid w:val="4D6555AF"/>
    <w:rsid w:val="4D745491"/>
    <w:rsid w:val="4D79073E"/>
    <w:rsid w:val="4D7B0185"/>
    <w:rsid w:val="4D7B58FD"/>
    <w:rsid w:val="4D9E34B9"/>
    <w:rsid w:val="4DBF6851"/>
    <w:rsid w:val="4DC70EF4"/>
    <w:rsid w:val="4DC90683"/>
    <w:rsid w:val="4DC94ACF"/>
    <w:rsid w:val="4DD61D2A"/>
    <w:rsid w:val="4DE54991"/>
    <w:rsid w:val="4DF05258"/>
    <w:rsid w:val="4E252D2A"/>
    <w:rsid w:val="4E2A50F1"/>
    <w:rsid w:val="4E3D2E04"/>
    <w:rsid w:val="4E3F795C"/>
    <w:rsid w:val="4E40707C"/>
    <w:rsid w:val="4E42373A"/>
    <w:rsid w:val="4E507D99"/>
    <w:rsid w:val="4E8D2056"/>
    <w:rsid w:val="4EBB286E"/>
    <w:rsid w:val="4EC632AF"/>
    <w:rsid w:val="4ED024B6"/>
    <w:rsid w:val="4ED21F42"/>
    <w:rsid w:val="4EDA5370"/>
    <w:rsid w:val="4EDC5ECC"/>
    <w:rsid w:val="4EE07940"/>
    <w:rsid w:val="4EF647A8"/>
    <w:rsid w:val="4F093E78"/>
    <w:rsid w:val="4F1E444B"/>
    <w:rsid w:val="4F2B223C"/>
    <w:rsid w:val="4F2C416E"/>
    <w:rsid w:val="4F3B0396"/>
    <w:rsid w:val="4F3B0E3C"/>
    <w:rsid w:val="4F4D0E89"/>
    <w:rsid w:val="4F5464CE"/>
    <w:rsid w:val="4F55307E"/>
    <w:rsid w:val="4F6F5219"/>
    <w:rsid w:val="4F8E4B27"/>
    <w:rsid w:val="4FA60918"/>
    <w:rsid w:val="4FB476B5"/>
    <w:rsid w:val="4FBC4BF4"/>
    <w:rsid w:val="4FD65B1E"/>
    <w:rsid w:val="4FD86F36"/>
    <w:rsid w:val="4FF84D7B"/>
    <w:rsid w:val="50051405"/>
    <w:rsid w:val="500832F8"/>
    <w:rsid w:val="501136F0"/>
    <w:rsid w:val="501414DE"/>
    <w:rsid w:val="5015592D"/>
    <w:rsid w:val="50173EB8"/>
    <w:rsid w:val="501F037F"/>
    <w:rsid w:val="502256AD"/>
    <w:rsid w:val="502E5255"/>
    <w:rsid w:val="503A442C"/>
    <w:rsid w:val="504215FA"/>
    <w:rsid w:val="50451DB7"/>
    <w:rsid w:val="504B791D"/>
    <w:rsid w:val="508F60CA"/>
    <w:rsid w:val="50981162"/>
    <w:rsid w:val="50AB29E0"/>
    <w:rsid w:val="50AB2C64"/>
    <w:rsid w:val="50BC7B28"/>
    <w:rsid w:val="50C06385"/>
    <w:rsid w:val="50CA3636"/>
    <w:rsid w:val="50CE6418"/>
    <w:rsid w:val="50D40BCA"/>
    <w:rsid w:val="50D70E9D"/>
    <w:rsid w:val="50D75D0F"/>
    <w:rsid w:val="50F35D93"/>
    <w:rsid w:val="50FA44CD"/>
    <w:rsid w:val="5105303B"/>
    <w:rsid w:val="51114085"/>
    <w:rsid w:val="511216F1"/>
    <w:rsid w:val="512148E1"/>
    <w:rsid w:val="512A1CE3"/>
    <w:rsid w:val="51343285"/>
    <w:rsid w:val="51392F3A"/>
    <w:rsid w:val="513A3791"/>
    <w:rsid w:val="514516F1"/>
    <w:rsid w:val="51505700"/>
    <w:rsid w:val="51545650"/>
    <w:rsid w:val="5156697B"/>
    <w:rsid w:val="516E7D73"/>
    <w:rsid w:val="5180209A"/>
    <w:rsid w:val="51897721"/>
    <w:rsid w:val="518F4D7D"/>
    <w:rsid w:val="519667AD"/>
    <w:rsid w:val="51973EE4"/>
    <w:rsid w:val="51A84D41"/>
    <w:rsid w:val="51AA2482"/>
    <w:rsid w:val="51B1317F"/>
    <w:rsid w:val="51C2126F"/>
    <w:rsid w:val="51C23429"/>
    <w:rsid w:val="51D560F8"/>
    <w:rsid w:val="51DB1E92"/>
    <w:rsid w:val="51E14E39"/>
    <w:rsid w:val="51E36D50"/>
    <w:rsid w:val="51ED757F"/>
    <w:rsid w:val="51EE7A0F"/>
    <w:rsid w:val="51F13019"/>
    <w:rsid w:val="51F5689F"/>
    <w:rsid w:val="52000D9C"/>
    <w:rsid w:val="5211091B"/>
    <w:rsid w:val="52150A7D"/>
    <w:rsid w:val="52260D03"/>
    <w:rsid w:val="52414306"/>
    <w:rsid w:val="52457AEB"/>
    <w:rsid w:val="52564EE5"/>
    <w:rsid w:val="52650E48"/>
    <w:rsid w:val="52666F95"/>
    <w:rsid w:val="526763FB"/>
    <w:rsid w:val="52740A71"/>
    <w:rsid w:val="52741EC2"/>
    <w:rsid w:val="52816BB6"/>
    <w:rsid w:val="53336AAE"/>
    <w:rsid w:val="533A136C"/>
    <w:rsid w:val="53480B19"/>
    <w:rsid w:val="5355264E"/>
    <w:rsid w:val="535F2BBA"/>
    <w:rsid w:val="536254F1"/>
    <w:rsid w:val="537B1523"/>
    <w:rsid w:val="537C67BA"/>
    <w:rsid w:val="53AF337A"/>
    <w:rsid w:val="53B26284"/>
    <w:rsid w:val="53B759F4"/>
    <w:rsid w:val="53B87069"/>
    <w:rsid w:val="53D225A4"/>
    <w:rsid w:val="53DF4479"/>
    <w:rsid w:val="541526AA"/>
    <w:rsid w:val="54157C9B"/>
    <w:rsid w:val="54163A8A"/>
    <w:rsid w:val="54186AD3"/>
    <w:rsid w:val="54213F74"/>
    <w:rsid w:val="54371F77"/>
    <w:rsid w:val="543B112A"/>
    <w:rsid w:val="54477CC6"/>
    <w:rsid w:val="54547B86"/>
    <w:rsid w:val="545E0121"/>
    <w:rsid w:val="54620B37"/>
    <w:rsid w:val="546A3396"/>
    <w:rsid w:val="54760B52"/>
    <w:rsid w:val="5481317B"/>
    <w:rsid w:val="548B620F"/>
    <w:rsid w:val="5494027A"/>
    <w:rsid w:val="54A209E3"/>
    <w:rsid w:val="54A21918"/>
    <w:rsid w:val="54AA76FF"/>
    <w:rsid w:val="54AD50F3"/>
    <w:rsid w:val="54B92F65"/>
    <w:rsid w:val="54CD732E"/>
    <w:rsid w:val="54CE5C12"/>
    <w:rsid w:val="54DA00AC"/>
    <w:rsid w:val="54DE5937"/>
    <w:rsid w:val="54E05AE9"/>
    <w:rsid w:val="54E82ECC"/>
    <w:rsid w:val="54EA31C7"/>
    <w:rsid w:val="54F02286"/>
    <w:rsid w:val="54FB3C17"/>
    <w:rsid w:val="55072E0B"/>
    <w:rsid w:val="551E5DD3"/>
    <w:rsid w:val="55220DA5"/>
    <w:rsid w:val="55272CCA"/>
    <w:rsid w:val="552B579B"/>
    <w:rsid w:val="55303C1E"/>
    <w:rsid w:val="5544415B"/>
    <w:rsid w:val="55487F01"/>
    <w:rsid w:val="555C6E60"/>
    <w:rsid w:val="556B7BE3"/>
    <w:rsid w:val="556E313D"/>
    <w:rsid w:val="556E398A"/>
    <w:rsid w:val="558114B8"/>
    <w:rsid w:val="55910F8E"/>
    <w:rsid w:val="559E2213"/>
    <w:rsid w:val="55AB500F"/>
    <w:rsid w:val="55B256C0"/>
    <w:rsid w:val="55C73811"/>
    <w:rsid w:val="55DF79E5"/>
    <w:rsid w:val="5611384C"/>
    <w:rsid w:val="561B28DD"/>
    <w:rsid w:val="561D05FE"/>
    <w:rsid w:val="562163E5"/>
    <w:rsid w:val="56243972"/>
    <w:rsid w:val="5625542E"/>
    <w:rsid w:val="5635520A"/>
    <w:rsid w:val="564846E1"/>
    <w:rsid w:val="566056C5"/>
    <w:rsid w:val="56641FF0"/>
    <w:rsid w:val="566C0CDE"/>
    <w:rsid w:val="567F34E2"/>
    <w:rsid w:val="56840D14"/>
    <w:rsid w:val="568868CC"/>
    <w:rsid w:val="56933527"/>
    <w:rsid w:val="569C4AD4"/>
    <w:rsid w:val="56A90562"/>
    <w:rsid w:val="56AD47B1"/>
    <w:rsid w:val="56B75990"/>
    <w:rsid w:val="56B913AD"/>
    <w:rsid w:val="56D1235F"/>
    <w:rsid w:val="56DA0859"/>
    <w:rsid w:val="56DC35DD"/>
    <w:rsid w:val="56E17318"/>
    <w:rsid w:val="56FD590E"/>
    <w:rsid w:val="56FE257B"/>
    <w:rsid w:val="5702291F"/>
    <w:rsid w:val="57036880"/>
    <w:rsid w:val="57080DC8"/>
    <w:rsid w:val="5725410D"/>
    <w:rsid w:val="57305E26"/>
    <w:rsid w:val="57314C5A"/>
    <w:rsid w:val="57415244"/>
    <w:rsid w:val="574A5794"/>
    <w:rsid w:val="574D13EC"/>
    <w:rsid w:val="575A261C"/>
    <w:rsid w:val="57A6426A"/>
    <w:rsid w:val="57B82816"/>
    <w:rsid w:val="57B87D1E"/>
    <w:rsid w:val="57C06C2C"/>
    <w:rsid w:val="57E01724"/>
    <w:rsid w:val="57F307C1"/>
    <w:rsid w:val="57FA2BAA"/>
    <w:rsid w:val="580162E5"/>
    <w:rsid w:val="58041F34"/>
    <w:rsid w:val="5815497A"/>
    <w:rsid w:val="581C6799"/>
    <w:rsid w:val="581F4620"/>
    <w:rsid w:val="582A73F1"/>
    <w:rsid w:val="584F286F"/>
    <w:rsid w:val="585D149C"/>
    <w:rsid w:val="586621B6"/>
    <w:rsid w:val="587A0112"/>
    <w:rsid w:val="589C683B"/>
    <w:rsid w:val="58A64F0F"/>
    <w:rsid w:val="58B55746"/>
    <w:rsid w:val="58B9588A"/>
    <w:rsid w:val="58C14572"/>
    <w:rsid w:val="58C73AD7"/>
    <w:rsid w:val="58CF309C"/>
    <w:rsid w:val="58D25ED8"/>
    <w:rsid w:val="58DA2920"/>
    <w:rsid w:val="58DF24AD"/>
    <w:rsid w:val="58E930A9"/>
    <w:rsid w:val="58F020A3"/>
    <w:rsid w:val="58FB332B"/>
    <w:rsid w:val="590900E6"/>
    <w:rsid w:val="59113547"/>
    <w:rsid w:val="5915104C"/>
    <w:rsid w:val="59216BE2"/>
    <w:rsid w:val="593A1A9E"/>
    <w:rsid w:val="594E5246"/>
    <w:rsid w:val="594F0971"/>
    <w:rsid w:val="59540A82"/>
    <w:rsid w:val="59594578"/>
    <w:rsid w:val="59631729"/>
    <w:rsid w:val="596522DF"/>
    <w:rsid w:val="597D4B6A"/>
    <w:rsid w:val="59827DF3"/>
    <w:rsid w:val="59870732"/>
    <w:rsid w:val="598A7A09"/>
    <w:rsid w:val="59AF47E4"/>
    <w:rsid w:val="59B33075"/>
    <w:rsid w:val="59B63D96"/>
    <w:rsid w:val="59C13ED2"/>
    <w:rsid w:val="59E6253A"/>
    <w:rsid w:val="59E7033F"/>
    <w:rsid w:val="59E860B1"/>
    <w:rsid w:val="59F0027C"/>
    <w:rsid w:val="59FB4D0B"/>
    <w:rsid w:val="5A0354F7"/>
    <w:rsid w:val="5A1E5359"/>
    <w:rsid w:val="5A291824"/>
    <w:rsid w:val="5A344ECC"/>
    <w:rsid w:val="5A390B46"/>
    <w:rsid w:val="5A3B770C"/>
    <w:rsid w:val="5A3D382F"/>
    <w:rsid w:val="5A492723"/>
    <w:rsid w:val="5A51537E"/>
    <w:rsid w:val="5A572876"/>
    <w:rsid w:val="5A5A0BE4"/>
    <w:rsid w:val="5A5C6DA1"/>
    <w:rsid w:val="5A5D74BC"/>
    <w:rsid w:val="5A6E0714"/>
    <w:rsid w:val="5A7C5C8F"/>
    <w:rsid w:val="5A90403D"/>
    <w:rsid w:val="5A93572D"/>
    <w:rsid w:val="5A9D71ED"/>
    <w:rsid w:val="5AA74703"/>
    <w:rsid w:val="5AAA3B25"/>
    <w:rsid w:val="5AB04EDE"/>
    <w:rsid w:val="5AC64C86"/>
    <w:rsid w:val="5ACF4A76"/>
    <w:rsid w:val="5AD51064"/>
    <w:rsid w:val="5AD55A7C"/>
    <w:rsid w:val="5ADE295C"/>
    <w:rsid w:val="5AF8170C"/>
    <w:rsid w:val="5B05555C"/>
    <w:rsid w:val="5B0A4BC8"/>
    <w:rsid w:val="5B1649CC"/>
    <w:rsid w:val="5B1716E1"/>
    <w:rsid w:val="5B244DD8"/>
    <w:rsid w:val="5B2717CA"/>
    <w:rsid w:val="5B295890"/>
    <w:rsid w:val="5B2D7342"/>
    <w:rsid w:val="5B303BD9"/>
    <w:rsid w:val="5B3879B9"/>
    <w:rsid w:val="5B401EC9"/>
    <w:rsid w:val="5B436EF0"/>
    <w:rsid w:val="5B480E92"/>
    <w:rsid w:val="5B4D2B80"/>
    <w:rsid w:val="5B550806"/>
    <w:rsid w:val="5B63588F"/>
    <w:rsid w:val="5B7B185E"/>
    <w:rsid w:val="5B893F6C"/>
    <w:rsid w:val="5B9B45EA"/>
    <w:rsid w:val="5B9F1B41"/>
    <w:rsid w:val="5BA37F28"/>
    <w:rsid w:val="5BA40700"/>
    <w:rsid w:val="5BAE24A8"/>
    <w:rsid w:val="5BB117B1"/>
    <w:rsid w:val="5BB9244E"/>
    <w:rsid w:val="5BBC287B"/>
    <w:rsid w:val="5BC51BF0"/>
    <w:rsid w:val="5BCF26D8"/>
    <w:rsid w:val="5BE86470"/>
    <w:rsid w:val="5BF5470C"/>
    <w:rsid w:val="5C0B7CEE"/>
    <w:rsid w:val="5C1333BB"/>
    <w:rsid w:val="5C205F58"/>
    <w:rsid w:val="5C44015E"/>
    <w:rsid w:val="5C4D41F0"/>
    <w:rsid w:val="5C554BC5"/>
    <w:rsid w:val="5C636253"/>
    <w:rsid w:val="5C7509E6"/>
    <w:rsid w:val="5C7D3D43"/>
    <w:rsid w:val="5C882C4F"/>
    <w:rsid w:val="5C887DF1"/>
    <w:rsid w:val="5C8962BA"/>
    <w:rsid w:val="5CA70B0A"/>
    <w:rsid w:val="5CBD523A"/>
    <w:rsid w:val="5CCD31A9"/>
    <w:rsid w:val="5CD2475E"/>
    <w:rsid w:val="5CF86CAE"/>
    <w:rsid w:val="5D0B3776"/>
    <w:rsid w:val="5D443020"/>
    <w:rsid w:val="5D47572E"/>
    <w:rsid w:val="5D485FD5"/>
    <w:rsid w:val="5D487E79"/>
    <w:rsid w:val="5D516A2D"/>
    <w:rsid w:val="5D65410C"/>
    <w:rsid w:val="5D7D662C"/>
    <w:rsid w:val="5D954FBB"/>
    <w:rsid w:val="5DAB78D0"/>
    <w:rsid w:val="5DE847B7"/>
    <w:rsid w:val="5E0779FA"/>
    <w:rsid w:val="5E131AC2"/>
    <w:rsid w:val="5E1D5BB1"/>
    <w:rsid w:val="5E1D5F77"/>
    <w:rsid w:val="5E234035"/>
    <w:rsid w:val="5E355654"/>
    <w:rsid w:val="5E4F7B9F"/>
    <w:rsid w:val="5E632DB0"/>
    <w:rsid w:val="5E751A3D"/>
    <w:rsid w:val="5E7762CF"/>
    <w:rsid w:val="5E8460C1"/>
    <w:rsid w:val="5E8D61CD"/>
    <w:rsid w:val="5E92367E"/>
    <w:rsid w:val="5EBD47B9"/>
    <w:rsid w:val="5EBF574D"/>
    <w:rsid w:val="5EC9135A"/>
    <w:rsid w:val="5ED14E5B"/>
    <w:rsid w:val="5EDC1529"/>
    <w:rsid w:val="5EF04B7B"/>
    <w:rsid w:val="5EFF3DE0"/>
    <w:rsid w:val="5F106EAF"/>
    <w:rsid w:val="5F283CA5"/>
    <w:rsid w:val="5F305F32"/>
    <w:rsid w:val="5F4060EA"/>
    <w:rsid w:val="5F414203"/>
    <w:rsid w:val="5F425A26"/>
    <w:rsid w:val="5F4E3CB5"/>
    <w:rsid w:val="5F5E2546"/>
    <w:rsid w:val="5F7D1E64"/>
    <w:rsid w:val="5F9238A2"/>
    <w:rsid w:val="5F9374D0"/>
    <w:rsid w:val="5F985829"/>
    <w:rsid w:val="5FB76990"/>
    <w:rsid w:val="5FC334A7"/>
    <w:rsid w:val="5FC542C6"/>
    <w:rsid w:val="5FCC1B18"/>
    <w:rsid w:val="5FD86134"/>
    <w:rsid w:val="5FDA449D"/>
    <w:rsid w:val="5FDA48B5"/>
    <w:rsid w:val="5FE25384"/>
    <w:rsid w:val="5FE875BC"/>
    <w:rsid w:val="60213F74"/>
    <w:rsid w:val="603D6662"/>
    <w:rsid w:val="60545FFD"/>
    <w:rsid w:val="60671E65"/>
    <w:rsid w:val="60747F81"/>
    <w:rsid w:val="607562A7"/>
    <w:rsid w:val="60786235"/>
    <w:rsid w:val="608429EC"/>
    <w:rsid w:val="608664A5"/>
    <w:rsid w:val="608C7B28"/>
    <w:rsid w:val="608F41F2"/>
    <w:rsid w:val="60922C3C"/>
    <w:rsid w:val="609E6925"/>
    <w:rsid w:val="60BA77CD"/>
    <w:rsid w:val="60C63F24"/>
    <w:rsid w:val="60CA2B58"/>
    <w:rsid w:val="60F80C2F"/>
    <w:rsid w:val="610B0872"/>
    <w:rsid w:val="610D5E32"/>
    <w:rsid w:val="613468C2"/>
    <w:rsid w:val="613A48D5"/>
    <w:rsid w:val="613C191C"/>
    <w:rsid w:val="61487E7F"/>
    <w:rsid w:val="614C4BCD"/>
    <w:rsid w:val="614F6149"/>
    <w:rsid w:val="6151253D"/>
    <w:rsid w:val="61572E4F"/>
    <w:rsid w:val="616128EC"/>
    <w:rsid w:val="61621D15"/>
    <w:rsid w:val="616720C6"/>
    <w:rsid w:val="617E294F"/>
    <w:rsid w:val="618604D6"/>
    <w:rsid w:val="618649E8"/>
    <w:rsid w:val="61882ACA"/>
    <w:rsid w:val="61A9585F"/>
    <w:rsid w:val="61AB7C65"/>
    <w:rsid w:val="61B20F7D"/>
    <w:rsid w:val="61C3512C"/>
    <w:rsid w:val="61D50E0A"/>
    <w:rsid w:val="61DB7979"/>
    <w:rsid w:val="61E513E8"/>
    <w:rsid w:val="61F96BC2"/>
    <w:rsid w:val="620310E4"/>
    <w:rsid w:val="62073433"/>
    <w:rsid w:val="620B3059"/>
    <w:rsid w:val="620D753C"/>
    <w:rsid w:val="62160B22"/>
    <w:rsid w:val="62162122"/>
    <w:rsid w:val="62181D46"/>
    <w:rsid w:val="624E0D77"/>
    <w:rsid w:val="625374B6"/>
    <w:rsid w:val="62554002"/>
    <w:rsid w:val="626B7791"/>
    <w:rsid w:val="627565C5"/>
    <w:rsid w:val="62796491"/>
    <w:rsid w:val="6287132C"/>
    <w:rsid w:val="628762A4"/>
    <w:rsid w:val="628C2933"/>
    <w:rsid w:val="628C4312"/>
    <w:rsid w:val="62970423"/>
    <w:rsid w:val="62AB1D8D"/>
    <w:rsid w:val="62C42917"/>
    <w:rsid w:val="62D9309F"/>
    <w:rsid w:val="62DE5A92"/>
    <w:rsid w:val="62E73481"/>
    <w:rsid w:val="62ED42C9"/>
    <w:rsid w:val="62FA55D0"/>
    <w:rsid w:val="631A7E52"/>
    <w:rsid w:val="63234C0F"/>
    <w:rsid w:val="63355D34"/>
    <w:rsid w:val="634B4DB7"/>
    <w:rsid w:val="634C01CF"/>
    <w:rsid w:val="635134EB"/>
    <w:rsid w:val="635665B8"/>
    <w:rsid w:val="635B1B3D"/>
    <w:rsid w:val="63620A31"/>
    <w:rsid w:val="638C2572"/>
    <w:rsid w:val="63A83A82"/>
    <w:rsid w:val="63BE4ABB"/>
    <w:rsid w:val="63BF6635"/>
    <w:rsid w:val="63CB3622"/>
    <w:rsid w:val="63D600F2"/>
    <w:rsid w:val="63E31E9D"/>
    <w:rsid w:val="63EC3164"/>
    <w:rsid w:val="63FA7ECE"/>
    <w:rsid w:val="640434E5"/>
    <w:rsid w:val="64185C22"/>
    <w:rsid w:val="643B275E"/>
    <w:rsid w:val="64411A38"/>
    <w:rsid w:val="64472050"/>
    <w:rsid w:val="64587275"/>
    <w:rsid w:val="645A4D4A"/>
    <w:rsid w:val="646A5BED"/>
    <w:rsid w:val="646B6CE4"/>
    <w:rsid w:val="646F41AC"/>
    <w:rsid w:val="647147AB"/>
    <w:rsid w:val="648A6387"/>
    <w:rsid w:val="64A30C3B"/>
    <w:rsid w:val="64B87B20"/>
    <w:rsid w:val="64BD786B"/>
    <w:rsid w:val="64C4485F"/>
    <w:rsid w:val="64DA076B"/>
    <w:rsid w:val="64E36924"/>
    <w:rsid w:val="64E9112D"/>
    <w:rsid w:val="64FA59F0"/>
    <w:rsid w:val="65014155"/>
    <w:rsid w:val="65142B38"/>
    <w:rsid w:val="6520621E"/>
    <w:rsid w:val="653D68E6"/>
    <w:rsid w:val="655E1F51"/>
    <w:rsid w:val="655E7181"/>
    <w:rsid w:val="656A3683"/>
    <w:rsid w:val="656A7144"/>
    <w:rsid w:val="656E05D2"/>
    <w:rsid w:val="65765ABD"/>
    <w:rsid w:val="65787D37"/>
    <w:rsid w:val="657B048C"/>
    <w:rsid w:val="657F70B1"/>
    <w:rsid w:val="65865107"/>
    <w:rsid w:val="659242EE"/>
    <w:rsid w:val="65B0069A"/>
    <w:rsid w:val="65B34F87"/>
    <w:rsid w:val="65B61ED7"/>
    <w:rsid w:val="65B8329C"/>
    <w:rsid w:val="65F93869"/>
    <w:rsid w:val="660B2971"/>
    <w:rsid w:val="660B5D8E"/>
    <w:rsid w:val="66101EAA"/>
    <w:rsid w:val="66224F9D"/>
    <w:rsid w:val="6632531C"/>
    <w:rsid w:val="665B45D9"/>
    <w:rsid w:val="667237CD"/>
    <w:rsid w:val="667A559E"/>
    <w:rsid w:val="66953E2E"/>
    <w:rsid w:val="669566DC"/>
    <w:rsid w:val="669C0D67"/>
    <w:rsid w:val="66AE39AD"/>
    <w:rsid w:val="66B00768"/>
    <w:rsid w:val="66DA2D4C"/>
    <w:rsid w:val="66DE6544"/>
    <w:rsid w:val="66F40EB6"/>
    <w:rsid w:val="66FB73E6"/>
    <w:rsid w:val="670A4B9E"/>
    <w:rsid w:val="67171C12"/>
    <w:rsid w:val="671C012D"/>
    <w:rsid w:val="672E507D"/>
    <w:rsid w:val="673936D7"/>
    <w:rsid w:val="67517AFA"/>
    <w:rsid w:val="676C58B2"/>
    <w:rsid w:val="67805AAD"/>
    <w:rsid w:val="67921D1E"/>
    <w:rsid w:val="67925682"/>
    <w:rsid w:val="67A838AD"/>
    <w:rsid w:val="67A90BCA"/>
    <w:rsid w:val="67AB1B26"/>
    <w:rsid w:val="67B265D1"/>
    <w:rsid w:val="67B30E44"/>
    <w:rsid w:val="67B445B8"/>
    <w:rsid w:val="67C223E6"/>
    <w:rsid w:val="67C23B71"/>
    <w:rsid w:val="67C501C3"/>
    <w:rsid w:val="67E55296"/>
    <w:rsid w:val="67E87F7F"/>
    <w:rsid w:val="68080A2F"/>
    <w:rsid w:val="681E7CFD"/>
    <w:rsid w:val="68221B5F"/>
    <w:rsid w:val="68245AAD"/>
    <w:rsid w:val="68260669"/>
    <w:rsid w:val="682633F9"/>
    <w:rsid w:val="68270406"/>
    <w:rsid w:val="68273145"/>
    <w:rsid w:val="682A5BF7"/>
    <w:rsid w:val="6840231F"/>
    <w:rsid w:val="68535738"/>
    <w:rsid w:val="68721156"/>
    <w:rsid w:val="687C423F"/>
    <w:rsid w:val="68A6107A"/>
    <w:rsid w:val="68BB024A"/>
    <w:rsid w:val="68C25D28"/>
    <w:rsid w:val="68C56A94"/>
    <w:rsid w:val="68C76E3B"/>
    <w:rsid w:val="68CE4A32"/>
    <w:rsid w:val="68D033F3"/>
    <w:rsid w:val="68D50A2F"/>
    <w:rsid w:val="68DC689F"/>
    <w:rsid w:val="68E0170A"/>
    <w:rsid w:val="690C4305"/>
    <w:rsid w:val="69141C2E"/>
    <w:rsid w:val="69184264"/>
    <w:rsid w:val="69430710"/>
    <w:rsid w:val="695479FA"/>
    <w:rsid w:val="69577732"/>
    <w:rsid w:val="696E334E"/>
    <w:rsid w:val="696F1E02"/>
    <w:rsid w:val="69736BFB"/>
    <w:rsid w:val="69762AAC"/>
    <w:rsid w:val="697826BD"/>
    <w:rsid w:val="697850F1"/>
    <w:rsid w:val="69874F79"/>
    <w:rsid w:val="69997553"/>
    <w:rsid w:val="69AA23F5"/>
    <w:rsid w:val="69BF7EC3"/>
    <w:rsid w:val="69C174CB"/>
    <w:rsid w:val="69CD5383"/>
    <w:rsid w:val="69D04A00"/>
    <w:rsid w:val="69D330B4"/>
    <w:rsid w:val="69E80552"/>
    <w:rsid w:val="69F432B5"/>
    <w:rsid w:val="6A083959"/>
    <w:rsid w:val="6A2835EC"/>
    <w:rsid w:val="6A291175"/>
    <w:rsid w:val="6A2C34AA"/>
    <w:rsid w:val="6A332FC7"/>
    <w:rsid w:val="6A503E5B"/>
    <w:rsid w:val="6A571043"/>
    <w:rsid w:val="6A6459AF"/>
    <w:rsid w:val="6A820F91"/>
    <w:rsid w:val="6A824374"/>
    <w:rsid w:val="6A87407F"/>
    <w:rsid w:val="6A884A17"/>
    <w:rsid w:val="6A99127D"/>
    <w:rsid w:val="6AB43706"/>
    <w:rsid w:val="6AB8004E"/>
    <w:rsid w:val="6AB861B4"/>
    <w:rsid w:val="6AD96CB7"/>
    <w:rsid w:val="6AE14E68"/>
    <w:rsid w:val="6AE94B94"/>
    <w:rsid w:val="6AEA1BB6"/>
    <w:rsid w:val="6B0F3C1E"/>
    <w:rsid w:val="6B13077A"/>
    <w:rsid w:val="6B1424DD"/>
    <w:rsid w:val="6B221E5F"/>
    <w:rsid w:val="6B272595"/>
    <w:rsid w:val="6B2B1CE6"/>
    <w:rsid w:val="6B2F5E6F"/>
    <w:rsid w:val="6B4629BA"/>
    <w:rsid w:val="6B4C3CF7"/>
    <w:rsid w:val="6B5F4252"/>
    <w:rsid w:val="6B6B5CD2"/>
    <w:rsid w:val="6B711394"/>
    <w:rsid w:val="6B772471"/>
    <w:rsid w:val="6B7C0E69"/>
    <w:rsid w:val="6B857B5D"/>
    <w:rsid w:val="6B882178"/>
    <w:rsid w:val="6B9541FA"/>
    <w:rsid w:val="6BA078E7"/>
    <w:rsid w:val="6BB36B04"/>
    <w:rsid w:val="6BBD490E"/>
    <w:rsid w:val="6BC02799"/>
    <w:rsid w:val="6BC576AE"/>
    <w:rsid w:val="6BCC1277"/>
    <w:rsid w:val="6BCE51E5"/>
    <w:rsid w:val="6BD05062"/>
    <w:rsid w:val="6BEA1F9C"/>
    <w:rsid w:val="6BF279A0"/>
    <w:rsid w:val="6BFC4F57"/>
    <w:rsid w:val="6C066239"/>
    <w:rsid w:val="6C157316"/>
    <w:rsid w:val="6C1F76C2"/>
    <w:rsid w:val="6C372744"/>
    <w:rsid w:val="6C4E1244"/>
    <w:rsid w:val="6C5B6EEC"/>
    <w:rsid w:val="6C5D2D2B"/>
    <w:rsid w:val="6C6E3EA2"/>
    <w:rsid w:val="6C7765FE"/>
    <w:rsid w:val="6C8008DC"/>
    <w:rsid w:val="6C9B3F28"/>
    <w:rsid w:val="6C9B7ADA"/>
    <w:rsid w:val="6CAA5E4D"/>
    <w:rsid w:val="6CC60DC9"/>
    <w:rsid w:val="6CD44DB3"/>
    <w:rsid w:val="6CDC7845"/>
    <w:rsid w:val="6D000FC4"/>
    <w:rsid w:val="6D0222AE"/>
    <w:rsid w:val="6D031778"/>
    <w:rsid w:val="6D08005D"/>
    <w:rsid w:val="6D0A7C83"/>
    <w:rsid w:val="6D106FB7"/>
    <w:rsid w:val="6D1911BB"/>
    <w:rsid w:val="6D1950FC"/>
    <w:rsid w:val="6D1C3F9C"/>
    <w:rsid w:val="6D2B7848"/>
    <w:rsid w:val="6D4A67A4"/>
    <w:rsid w:val="6D507B9E"/>
    <w:rsid w:val="6D517127"/>
    <w:rsid w:val="6D5D5CC1"/>
    <w:rsid w:val="6D6B744D"/>
    <w:rsid w:val="6D6E2003"/>
    <w:rsid w:val="6D782946"/>
    <w:rsid w:val="6D88460B"/>
    <w:rsid w:val="6DA07DE7"/>
    <w:rsid w:val="6DA721E6"/>
    <w:rsid w:val="6DBE5CD2"/>
    <w:rsid w:val="6DCF5902"/>
    <w:rsid w:val="6DD17765"/>
    <w:rsid w:val="6DE374BA"/>
    <w:rsid w:val="6DEC6B1D"/>
    <w:rsid w:val="6E0B3AA3"/>
    <w:rsid w:val="6E1A3D81"/>
    <w:rsid w:val="6E20601C"/>
    <w:rsid w:val="6E2A5041"/>
    <w:rsid w:val="6E2C4FDA"/>
    <w:rsid w:val="6E3A38A7"/>
    <w:rsid w:val="6E405232"/>
    <w:rsid w:val="6E4660D0"/>
    <w:rsid w:val="6E49556F"/>
    <w:rsid w:val="6E4A043D"/>
    <w:rsid w:val="6E5D124F"/>
    <w:rsid w:val="6E6F129A"/>
    <w:rsid w:val="6E81328B"/>
    <w:rsid w:val="6E8C7E9A"/>
    <w:rsid w:val="6E9E277B"/>
    <w:rsid w:val="6EA7226C"/>
    <w:rsid w:val="6EB13143"/>
    <w:rsid w:val="6EBD7502"/>
    <w:rsid w:val="6EBF0F07"/>
    <w:rsid w:val="6EC3545C"/>
    <w:rsid w:val="6ECA78B1"/>
    <w:rsid w:val="6ED3082D"/>
    <w:rsid w:val="6ED802BA"/>
    <w:rsid w:val="6EFD5C0F"/>
    <w:rsid w:val="6F0211AE"/>
    <w:rsid w:val="6F081FAF"/>
    <w:rsid w:val="6F185436"/>
    <w:rsid w:val="6F1C1F9E"/>
    <w:rsid w:val="6F252E0D"/>
    <w:rsid w:val="6F257D94"/>
    <w:rsid w:val="6F31361C"/>
    <w:rsid w:val="6F356A75"/>
    <w:rsid w:val="6F6A055F"/>
    <w:rsid w:val="6F6A09C1"/>
    <w:rsid w:val="6F733EF8"/>
    <w:rsid w:val="6F7478CD"/>
    <w:rsid w:val="6F8310B0"/>
    <w:rsid w:val="6FAF4A0F"/>
    <w:rsid w:val="6FB917DB"/>
    <w:rsid w:val="6FC80B1A"/>
    <w:rsid w:val="6FD412E1"/>
    <w:rsid w:val="6FE8060A"/>
    <w:rsid w:val="6FEA1D9F"/>
    <w:rsid w:val="6FEE7DF4"/>
    <w:rsid w:val="6FF43A17"/>
    <w:rsid w:val="6FF473BA"/>
    <w:rsid w:val="6FFC588A"/>
    <w:rsid w:val="70233526"/>
    <w:rsid w:val="702F613F"/>
    <w:rsid w:val="70306C17"/>
    <w:rsid w:val="7032775A"/>
    <w:rsid w:val="704C0A9F"/>
    <w:rsid w:val="70754C0A"/>
    <w:rsid w:val="70810F20"/>
    <w:rsid w:val="70861530"/>
    <w:rsid w:val="70984F7D"/>
    <w:rsid w:val="709970EF"/>
    <w:rsid w:val="709C1A8C"/>
    <w:rsid w:val="70B27B70"/>
    <w:rsid w:val="70B42928"/>
    <w:rsid w:val="70CE09C3"/>
    <w:rsid w:val="70D66B5B"/>
    <w:rsid w:val="70E41A32"/>
    <w:rsid w:val="71135B6C"/>
    <w:rsid w:val="71147566"/>
    <w:rsid w:val="71287630"/>
    <w:rsid w:val="712C1AEB"/>
    <w:rsid w:val="713148BC"/>
    <w:rsid w:val="71371CF9"/>
    <w:rsid w:val="713E5AE7"/>
    <w:rsid w:val="714D242D"/>
    <w:rsid w:val="71595F60"/>
    <w:rsid w:val="716F1C44"/>
    <w:rsid w:val="717E7A69"/>
    <w:rsid w:val="71806D32"/>
    <w:rsid w:val="71AD6FAE"/>
    <w:rsid w:val="71AE30B5"/>
    <w:rsid w:val="71C27EC8"/>
    <w:rsid w:val="71C33DD0"/>
    <w:rsid w:val="71C47A3E"/>
    <w:rsid w:val="71DD6019"/>
    <w:rsid w:val="71E66B42"/>
    <w:rsid w:val="71FE1EF5"/>
    <w:rsid w:val="71FE6B1E"/>
    <w:rsid w:val="72005AE6"/>
    <w:rsid w:val="72082326"/>
    <w:rsid w:val="72104AC2"/>
    <w:rsid w:val="72124041"/>
    <w:rsid w:val="72135B21"/>
    <w:rsid w:val="721601E1"/>
    <w:rsid w:val="72190667"/>
    <w:rsid w:val="72337620"/>
    <w:rsid w:val="72390483"/>
    <w:rsid w:val="723F5BDB"/>
    <w:rsid w:val="725226FE"/>
    <w:rsid w:val="72570EA7"/>
    <w:rsid w:val="725972C0"/>
    <w:rsid w:val="725B686D"/>
    <w:rsid w:val="72726B56"/>
    <w:rsid w:val="727355E2"/>
    <w:rsid w:val="72954897"/>
    <w:rsid w:val="72A11E23"/>
    <w:rsid w:val="72A322A5"/>
    <w:rsid w:val="72AF0917"/>
    <w:rsid w:val="72AF53EF"/>
    <w:rsid w:val="72B3210B"/>
    <w:rsid w:val="72C2329A"/>
    <w:rsid w:val="72CF7ADB"/>
    <w:rsid w:val="72E75951"/>
    <w:rsid w:val="72E91B02"/>
    <w:rsid w:val="72F805FE"/>
    <w:rsid w:val="72F9284C"/>
    <w:rsid w:val="72FF3233"/>
    <w:rsid w:val="7301165F"/>
    <w:rsid w:val="731F34BA"/>
    <w:rsid w:val="733C616F"/>
    <w:rsid w:val="7340334A"/>
    <w:rsid w:val="734A7EB9"/>
    <w:rsid w:val="73586DC3"/>
    <w:rsid w:val="735B05AA"/>
    <w:rsid w:val="736811C4"/>
    <w:rsid w:val="73725CC7"/>
    <w:rsid w:val="73800008"/>
    <w:rsid w:val="738F08AE"/>
    <w:rsid w:val="739B35DE"/>
    <w:rsid w:val="73AC6A95"/>
    <w:rsid w:val="73DA0AAB"/>
    <w:rsid w:val="73FA2A89"/>
    <w:rsid w:val="7405758D"/>
    <w:rsid w:val="74071B2C"/>
    <w:rsid w:val="741505C3"/>
    <w:rsid w:val="74301EA6"/>
    <w:rsid w:val="74386E56"/>
    <w:rsid w:val="7439010A"/>
    <w:rsid w:val="743D7BB4"/>
    <w:rsid w:val="7442371E"/>
    <w:rsid w:val="745B1A80"/>
    <w:rsid w:val="74622F2F"/>
    <w:rsid w:val="7468424A"/>
    <w:rsid w:val="7497088D"/>
    <w:rsid w:val="74A30572"/>
    <w:rsid w:val="74AA7244"/>
    <w:rsid w:val="74AF07EA"/>
    <w:rsid w:val="74C6304D"/>
    <w:rsid w:val="74C6592A"/>
    <w:rsid w:val="74C73FE3"/>
    <w:rsid w:val="74D752B2"/>
    <w:rsid w:val="74DC5A55"/>
    <w:rsid w:val="74E71A82"/>
    <w:rsid w:val="74F31C3B"/>
    <w:rsid w:val="74F64E3F"/>
    <w:rsid w:val="74FD1B30"/>
    <w:rsid w:val="75127587"/>
    <w:rsid w:val="751D0E17"/>
    <w:rsid w:val="752C6162"/>
    <w:rsid w:val="754A05DC"/>
    <w:rsid w:val="754D0AC8"/>
    <w:rsid w:val="755A7CE3"/>
    <w:rsid w:val="756358A8"/>
    <w:rsid w:val="756F4DCA"/>
    <w:rsid w:val="75942A40"/>
    <w:rsid w:val="759D5D7C"/>
    <w:rsid w:val="75A023F2"/>
    <w:rsid w:val="75C5780F"/>
    <w:rsid w:val="75DE1FA4"/>
    <w:rsid w:val="75FB2A56"/>
    <w:rsid w:val="75FF18EA"/>
    <w:rsid w:val="76023351"/>
    <w:rsid w:val="76165DD7"/>
    <w:rsid w:val="761730DD"/>
    <w:rsid w:val="762514F1"/>
    <w:rsid w:val="762C5C47"/>
    <w:rsid w:val="765512FB"/>
    <w:rsid w:val="766477E6"/>
    <w:rsid w:val="76687032"/>
    <w:rsid w:val="7672045B"/>
    <w:rsid w:val="76766B2A"/>
    <w:rsid w:val="767F2D37"/>
    <w:rsid w:val="76895AED"/>
    <w:rsid w:val="7698131F"/>
    <w:rsid w:val="76984EB1"/>
    <w:rsid w:val="76991A17"/>
    <w:rsid w:val="76BA50E5"/>
    <w:rsid w:val="76D114B9"/>
    <w:rsid w:val="76D42781"/>
    <w:rsid w:val="76D81D5A"/>
    <w:rsid w:val="76FF6865"/>
    <w:rsid w:val="77067FBD"/>
    <w:rsid w:val="77236D53"/>
    <w:rsid w:val="772A5AB9"/>
    <w:rsid w:val="772B4368"/>
    <w:rsid w:val="774D3DC3"/>
    <w:rsid w:val="776D6580"/>
    <w:rsid w:val="778C04E9"/>
    <w:rsid w:val="778D0EB5"/>
    <w:rsid w:val="778F2765"/>
    <w:rsid w:val="77B360B7"/>
    <w:rsid w:val="77DD6D0D"/>
    <w:rsid w:val="77E22291"/>
    <w:rsid w:val="78037E72"/>
    <w:rsid w:val="78044227"/>
    <w:rsid w:val="78081284"/>
    <w:rsid w:val="780820AC"/>
    <w:rsid w:val="78125407"/>
    <w:rsid w:val="78163E0D"/>
    <w:rsid w:val="7816691F"/>
    <w:rsid w:val="78300AEE"/>
    <w:rsid w:val="784E49B9"/>
    <w:rsid w:val="784F14F7"/>
    <w:rsid w:val="78507637"/>
    <w:rsid w:val="78570A15"/>
    <w:rsid w:val="7859168E"/>
    <w:rsid w:val="7867796C"/>
    <w:rsid w:val="787F40EE"/>
    <w:rsid w:val="788E133E"/>
    <w:rsid w:val="78985EAB"/>
    <w:rsid w:val="789E5F80"/>
    <w:rsid w:val="78B57BD3"/>
    <w:rsid w:val="78C14DB7"/>
    <w:rsid w:val="78C243BF"/>
    <w:rsid w:val="78D81144"/>
    <w:rsid w:val="78DB60EA"/>
    <w:rsid w:val="78EF1AB2"/>
    <w:rsid w:val="78F3376F"/>
    <w:rsid w:val="78F669DD"/>
    <w:rsid w:val="78F93BF1"/>
    <w:rsid w:val="79047D24"/>
    <w:rsid w:val="792073FF"/>
    <w:rsid w:val="79255B1E"/>
    <w:rsid w:val="79327BE3"/>
    <w:rsid w:val="793423B9"/>
    <w:rsid w:val="794674FF"/>
    <w:rsid w:val="794F5E9D"/>
    <w:rsid w:val="7950305C"/>
    <w:rsid w:val="79596ED9"/>
    <w:rsid w:val="796606AB"/>
    <w:rsid w:val="797279F9"/>
    <w:rsid w:val="797B05F4"/>
    <w:rsid w:val="798B6440"/>
    <w:rsid w:val="79976759"/>
    <w:rsid w:val="799C0BFC"/>
    <w:rsid w:val="79A23D4A"/>
    <w:rsid w:val="79B50C6F"/>
    <w:rsid w:val="79C97C3D"/>
    <w:rsid w:val="79D319E8"/>
    <w:rsid w:val="79E06AB0"/>
    <w:rsid w:val="7A0527D6"/>
    <w:rsid w:val="7A073B40"/>
    <w:rsid w:val="7A161DCC"/>
    <w:rsid w:val="7A1D1EDB"/>
    <w:rsid w:val="7A1E66A7"/>
    <w:rsid w:val="7A230AF8"/>
    <w:rsid w:val="7A2B24E9"/>
    <w:rsid w:val="7A3626DC"/>
    <w:rsid w:val="7A3A1801"/>
    <w:rsid w:val="7A3E3C86"/>
    <w:rsid w:val="7A421F6B"/>
    <w:rsid w:val="7A66124D"/>
    <w:rsid w:val="7A856C46"/>
    <w:rsid w:val="7A8A4BE4"/>
    <w:rsid w:val="7A9C129D"/>
    <w:rsid w:val="7AA44BF9"/>
    <w:rsid w:val="7AAC617C"/>
    <w:rsid w:val="7ABE7A74"/>
    <w:rsid w:val="7AC3193E"/>
    <w:rsid w:val="7AD825ED"/>
    <w:rsid w:val="7ADE35C4"/>
    <w:rsid w:val="7AE7522B"/>
    <w:rsid w:val="7AED7CA7"/>
    <w:rsid w:val="7AF26CCE"/>
    <w:rsid w:val="7AFC756B"/>
    <w:rsid w:val="7B034900"/>
    <w:rsid w:val="7B0A616D"/>
    <w:rsid w:val="7B1530FA"/>
    <w:rsid w:val="7B2373FC"/>
    <w:rsid w:val="7B296957"/>
    <w:rsid w:val="7B442558"/>
    <w:rsid w:val="7B6A65F9"/>
    <w:rsid w:val="7B73525D"/>
    <w:rsid w:val="7B746DAC"/>
    <w:rsid w:val="7B841502"/>
    <w:rsid w:val="7B856B69"/>
    <w:rsid w:val="7BA51FAA"/>
    <w:rsid w:val="7BA71431"/>
    <w:rsid w:val="7BA84EEF"/>
    <w:rsid w:val="7BAA325D"/>
    <w:rsid w:val="7BAB65F0"/>
    <w:rsid w:val="7BC5601A"/>
    <w:rsid w:val="7BDB36C8"/>
    <w:rsid w:val="7BE067C0"/>
    <w:rsid w:val="7BF434DE"/>
    <w:rsid w:val="7C041716"/>
    <w:rsid w:val="7C0D7EE2"/>
    <w:rsid w:val="7C0F6F8D"/>
    <w:rsid w:val="7C1832E2"/>
    <w:rsid w:val="7C1C3A1B"/>
    <w:rsid w:val="7C2C3168"/>
    <w:rsid w:val="7C60764A"/>
    <w:rsid w:val="7C7F077B"/>
    <w:rsid w:val="7C945C5D"/>
    <w:rsid w:val="7CB570A3"/>
    <w:rsid w:val="7CC85D2E"/>
    <w:rsid w:val="7CFA0A3C"/>
    <w:rsid w:val="7CFB25C5"/>
    <w:rsid w:val="7D024938"/>
    <w:rsid w:val="7D0432EA"/>
    <w:rsid w:val="7D071A67"/>
    <w:rsid w:val="7D08106A"/>
    <w:rsid w:val="7D153027"/>
    <w:rsid w:val="7D240558"/>
    <w:rsid w:val="7D265B72"/>
    <w:rsid w:val="7D4E4391"/>
    <w:rsid w:val="7D506BD1"/>
    <w:rsid w:val="7D6A50D1"/>
    <w:rsid w:val="7D6C1F0C"/>
    <w:rsid w:val="7D6F7C2B"/>
    <w:rsid w:val="7D7B5BD6"/>
    <w:rsid w:val="7D812A55"/>
    <w:rsid w:val="7D9828AA"/>
    <w:rsid w:val="7DA058B1"/>
    <w:rsid w:val="7DA15DD8"/>
    <w:rsid w:val="7DA54E7B"/>
    <w:rsid w:val="7DAD4B1E"/>
    <w:rsid w:val="7DC704B9"/>
    <w:rsid w:val="7DCE4670"/>
    <w:rsid w:val="7DDB6F5C"/>
    <w:rsid w:val="7DDF08B2"/>
    <w:rsid w:val="7DDF7781"/>
    <w:rsid w:val="7DE55ADE"/>
    <w:rsid w:val="7E122502"/>
    <w:rsid w:val="7E123900"/>
    <w:rsid w:val="7E2D277B"/>
    <w:rsid w:val="7E2F58AE"/>
    <w:rsid w:val="7E464EB2"/>
    <w:rsid w:val="7E5724CE"/>
    <w:rsid w:val="7E5B4BE3"/>
    <w:rsid w:val="7E5F5E41"/>
    <w:rsid w:val="7E6C79E8"/>
    <w:rsid w:val="7E6E14DC"/>
    <w:rsid w:val="7E7D6BF3"/>
    <w:rsid w:val="7E8F2FE1"/>
    <w:rsid w:val="7E9451AE"/>
    <w:rsid w:val="7EB35B91"/>
    <w:rsid w:val="7EB90785"/>
    <w:rsid w:val="7EE2181E"/>
    <w:rsid w:val="7EE97E69"/>
    <w:rsid w:val="7EEF15E6"/>
    <w:rsid w:val="7EFB7E48"/>
    <w:rsid w:val="7F0F3C4C"/>
    <w:rsid w:val="7F102E25"/>
    <w:rsid w:val="7F1B620C"/>
    <w:rsid w:val="7F1F0D0A"/>
    <w:rsid w:val="7F215389"/>
    <w:rsid w:val="7F2B3490"/>
    <w:rsid w:val="7F363325"/>
    <w:rsid w:val="7F4B5891"/>
    <w:rsid w:val="7F4C3B9B"/>
    <w:rsid w:val="7F680EF6"/>
    <w:rsid w:val="7F6C1A45"/>
    <w:rsid w:val="7F81479C"/>
    <w:rsid w:val="7F91418B"/>
    <w:rsid w:val="7F9511E2"/>
    <w:rsid w:val="7F961536"/>
    <w:rsid w:val="7FAB72FA"/>
    <w:rsid w:val="7FB772DD"/>
    <w:rsid w:val="7FD5728C"/>
    <w:rsid w:val="7FE66A22"/>
    <w:rsid w:val="7FED0787"/>
    <w:rsid w:val="7FF3410F"/>
    <w:rsid w:val="7FF3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5">
    <w:name w:val="heading 2"/>
    <w:basedOn w:val="1"/>
    <w:next w:val="1"/>
    <w:link w:val="33"/>
    <w:qFormat/>
    <w:uiPriority w:val="0"/>
    <w:pPr>
      <w:keepNext/>
      <w:keepLines/>
      <w:numPr>
        <w:ilvl w:val="0"/>
        <w:numId w:val="2"/>
      </w:numPr>
      <w:spacing w:line="360" w:lineRule="auto"/>
      <w:outlineLvl w:val="1"/>
    </w:pPr>
    <w:rPr>
      <w:rFonts w:ascii="Arial" w:hAnsi="Arial"/>
      <w:b/>
      <w:bCs/>
      <w:sz w:val="28"/>
      <w:szCs w:val="32"/>
    </w:rPr>
  </w:style>
  <w:style w:type="paragraph" w:styleId="6">
    <w:name w:val="heading 3"/>
    <w:basedOn w:val="1"/>
    <w:next w:val="1"/>
    <w:qFormat/>
    <w:uiPriority w:val="0"/>
    <w:pPr>
      <w:keepNext/>
      <w:keepLines/>
      <w:outlineLvl w:val="2"/>
    </w:pPr>
    <w:rPr>
      <w:rFonts w:ascii="宋体" w:hAnsi="宋体" w:eastAsia="黑体"/>
      <w:bCs/>
      <w:sz w:val="24"/>
      <w:szCs w:val="28"/>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99"/>
    <w:pPr>
      <w:spacing w:before="240" w:after="60"/>
      <w:jc w:val="center"/>
      <w:outlineLvl w:val="0"/>
    </w:pPr>
    <w:rPr>
      <w:rFonts w:ascii="Cambria" w:hAnsi="Cambria"/>
      <w:b/>
      <w:bCs/>
      <w:kern w:val="0"/>
      <w:sz w:val="32"/>
      <w:szCs w:val="32"/>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basedOn w:val="1"/>
    <w:qFormat/>
    <w:uiPriority w:val="0"/>
    <w:pPr>
      <w:spacing w:beforeLines="50"/>
    </w:pPr>
    <w:rPr>
      <w:rFonts w:ascii="宋体" w:hAnsi="宋体"/>
      <w:szCs w:val="20"/>
    </w:rPr>
  </w:style>
  <w:style w:type="paragraph" w:styleId="10">
    <w:name w:val="Body Text Indent"/>
    <w:basedOn w:val="1"/>
    <w:next w:val="11"/>
    <w:qFormat/>
    <w:uiPriority w:val="0"/>
    <w:pPr>
      <w:spacing w:after="120"/>
      <w:ind w:left="420" w:leftChars="200"/>
    </w:pPr>
  </w:style>
  <w:style w:type="paragraph" w:styleId="11">
    <w:name w:val="envelope return"/>
    <w:basedOn w:val="1"/>
    <w:unhideWhenUsed/>
    <w:qFormat/>
    <w:uiPriority w:val="99"/>
    <w:pPr>
      <w:snapToGrid w:val="0"/>
      <w:ind w:firstLine="200"/>
    </w:pPr>
    <w:rPr>
      <w:rFonts w:ascii="Arial" w:hAnsi="Arial" w:cs="Arial"/>
      <w:szCs w:val="20"/>
    </w:rPr>
  </w:style>
  <w:style w:type="paragraph" w:styleId="12">
    <w:name w:val="Plain Text"/>
    <w:basedOn w:val="1"/>
    <w:qFormat/>
    <w:uiPriority w:val="0"/>
    <w:rPr>
      <w:rFonts w:ascii="宋体" w:hAnsi="Courier New"/>
      <w:szCs w:val="20"/>
    </w:rPr>
  </w:style>
  <w:style w:type="paragraph" w:styleId="13">
    <w:name w:val="footer"/>
    <w:basedOn w:val="1"/>
    <w:link w:val="49"/>
    <w:qFormat/>
    <w:uiPriority w:val="99"/>
    <w:pPr>
      <w:tabs>
        <w:tab w:val="center" w:pos="4153"/>
        <w:tab w:val="right" w:pos="8306"/>
      </w:tabs>
      <w:snapToGrid w:val="0"/>
      <w:jc w:val="left"/>
    </w:pPr>
    <w:rPr>
      <w:sz w:val="18"/>
      <w:szCs w:val="18"/>
    </w:rPr>
  </w:style>
  <w:style w:type="paragraph" w:styleId="14">
    <w:name w:val="header"/>
    <w:basedOn w:val="1"/>
    <w:link w:val="4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39"/>
    <w:pPr>
      <w:spacing w:before="120" w:after="120"/>
      <w:jc w:val="left"/>
    </w:pPr>
    <w:rPr>
      <w:rFonts w:cs="Calibri"/>
      <w:b/>
      <w:bCs/>
      <w:caps/>
      <w:sz w:val="20"/>
      <w:szCs w:val="20"/>
    </w:rPr>
  </w:style>
  <w:style w:type="paragraph" w:styleId="16">
    <w:name w:val="footnote text"/>
    <w:basedOn w:val="1"/>
    <w:unhideWhenUsed/>
    <w:qFormat/>
    <w:uiPriority w:val="0"/>
    <w:pPr>
      <w:snapToGrid w:val="0"/>
      <w:jc w:val="left"/>
    </w:pPr>
    <w:rPr>
      <w:sz w:val="18"/>
      <w:szCs w:val="18"/>
    </w:rPr>
  </w:style>
  <w:style w:type="paragraph" w:styleId="17">
    <w:name w:val="Normal (Web)"/>
    <w:qFormat/>
    <w:uiPriority w:val="0"/>
    <w:pPr>
      <w:spacing w:before="100" w:beforeAutospacing="1" w:after="100" w:afterAutospacing="1"/>
    </w:pPr>
    <w:rPr>
      <w:rFonts w:ascii="宋体" w:hAnsi="宋体" w:eastAsia="宋体" w:cs="宋体"/>
      <w:sz w:val="24"/>
      <w:szCs w:val="24"/>
      <w:lang w:val="en-US" w:eastAsia="zh-CN" w:bidi="ar-SA"/>
    </w:rPr>
  </w:style>
  <w:style w:type="paragraph" w:styleId="18">
    <w:name w:val="index 1"/>
    <w:basedOn w:val="1"/>
    <w:next w:val="1"/>
    <w:semiHidden/>
    <w:qFormat/>
    <w:uiPriority w:val="0"/>
    <w:pPr>
      <w:spacing w:line="220" w:lineRule="exact"/>
      <w:jc w:val="center"/>
    </w:pPr>
    <w:rPr>
      <w:rFonts w:ascii="仿宋_GB2312" w:eastAsia="仿宋_GB2312"/>
      <w:szCs w:val="21"/>
    </w:rPr>
  </w:style>
  <w:style w:type="paragraph" w:styleId="19">
    <w:name w:val="Body Text First Indent 2"/>
    <w:basedOn w:val="10"/>
    <w:qFormat/>
    <w:uiPriority w:val="0"/>
    <w:pPr>
      <w:ind w:firstLine="420" w:firstLineChars="200"/>
    </w:pPr>
    <w:rPr>
      <w:rFonts w:ascii="Calibri" w:hAnsi="Calibri"/>
      <w:szCs w:val="2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style>
  <w:style w:type="character" w:styleId="25">
    <w:name w:val="FollowedHyperlink"/>
    <w:basedOn w:val="22"/>
    <w:qFormat/>
    <w:uiPriority w:val="0"/>
    <w:rPr>
      <w:color w:val="333333"/>
      <w:u w:val="none"/>
    </w:rPr>
  </w:style>
  <w:style w:type="character" w:styleId="26">
    <w:name w:val="Hyperlink"/>
    <w:basedOn w:val="22"/>
    <w:qFormat/>
    <w:uiPriority w:val="0"/>
    <w:rPr>
      <w:color w:val="333333"/>
      <w:u w:val="none"/>
    </w:rPr>
  </w:style>
  <w:style w:type="character" w:styleId="27">
    <w:name w:val="annotation reference"/>
    <w:qFormat/>
    <w:uiPriority w:val="0"/>
    <w:rPr>
      <w:sz w:val="21"/>
      <w:szCs w:val="21"/>
    </w:rPr>
  </w:style>
  <w:style w:type="character" w:styleId="28">
    <w:name w:val="footnote reference"/>
    <w:qFormat/>
    <w:uiPriority w:val="0"/>
    <w:rPr>
      <w:vertAlign w:val="superscript"/>
    </w:rPr>
  </w:style>
  <w:style w:type="paragraph" w:customStyle="1" w:styleId="29">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0">
    <w:name w:val="表格"/>
    <w:basedOn w:val="1"/>
    <w:qFormat/>
    <w:uiPriority w:val="0"/>
    <w:pPr>
      <w:textAlignment w:val="center"/>
    </w:pPr>
    <w:rPr>
      <w:rFonts w:ascii="华文细黑" w:hAnsi="华文细黑"/>
      <w:kern w:val="0"/>
      <w:szCs w:val="20"/>
    </w:rPr>
  </w:style>
  <w:style w:type="paragraph" w:customStyle="1" w:styleId="31">
    <w:name w:val="正文 题目"/>
    <w:basedOn w:val="1"/>
    <w:qFormat/>
    <w:uiPriority w:val="0"/>
    <w:pPr>
      <w:jc w:val="center"/>
    </w:pPr>
    <w:rPr>
      <w:rFonts w:ascii="黑体" w:hAnsi="黑体" w:eastAsia="黑体"/>
      <w:sz w:val="28"/>
    </w:rPr>
  </w:style>
  <w:style w:type="paragraph" w:customStyle="1" w:styleId="32">
    <w:name w:val="列出段落1"/>
    <w:basedOn w:val="1"/>
    <w:qFormat/>
    <w:uiPriority w:val="99"/>
    <w:rPr>
      <w:rFonts w:ascii="Times New Roman" w:hAnsi="Times New Roman"/>
    </w:rPr>
  </w:style>
  <w:style w:type="character" w:customStyle="1" w:styleId="33">
    <w:name w:val="标题 2 字符"/>
    <w:link w:val="5"/>
    <w:qFormat/>
    <w:uiPriority w:val="0"/>
    <w:rPr>
      <w:rFonts w:ascii="Arial" w:hAnsi="Arial"/>
      <w:b/>
      <w:bCs/>
      <w:sz w:val="28"/>
      <w:szCs w:val="32"/>
    </w:rPr>
  </w:style>
  <w:style w:type="paragraph" w:customStyle="1" w:styleId="3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5">
    <w:name w:val="WPSOffice手动目录 1"/>
    <w:qFormat/>
    <w:uiPriority w:val="0"/>
    <w:rPr>
      <w:rFonts w:asciiTheme="minorHAnsi" w:hAnsiTheme="minorHAnsi" w:eastAsiaTheme="minorEastAsia" w:cstheme="minorBidi"/>
      <w:lang w:val="en-US" w:eastAsia="zh-CN" w:bidi="ar-SA"/>
    </w:rPr>
  </w:style>
  <w:style w:type="paragraph" w:customStyle="1" w:styleId="36">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7">
    <w:name w:val="font21"/>
    <w:basedOn w:val="22"/>
    <w:qFormat/>
    <w:uiPriority w:val="0"/>
    <w:rPr>
      <w:rFonts w:hint="eastAsia" w:ascii="宋体" w:hAnsi="宋体" w:eastAsia="宋体" w:cs="宋体"/>
      <w:color w:val="000000"/>
      <w:sz w:val="24"/>
      <w:szCs w:val="24"/>
      <w:u w:val="none"/>
    </w:rPr>
  </w:style>
  <w:style w:type="character" w:customStyle="1" w:styleId="38">
    <w:name w:val="font01"/>
    <w:basedOn w:val="22"/>
    <w:qFormat/>
    <w:uiPriority w:val="0"/>
    <w:rPr>
      <w:rFonts w:hint="default" w:ascii="Times New Roman" w:hAnsi="Times New Roman" w:cs="Times New Roman"/>
      <w:color w:val="000000"/>
      <w:sz w:val="24"/>
      <w:szCs w:val="24"/>
      <w:u w:val="none"/>
    </w:rPr>
  </w:style>
  <w:style w:type="character" w:customStyle="1" w:styleId="39">
    <w:name w:val="font11"/>
    <w:basedOn w:val="22"/>
    <w:qFormat/>
    <w:uiPriority w:val="0"/>
    <w:rPr>
      <w:rFonts w:hint="default" w:ascii="Times New Roman" w:hAnsi="Times New Roman" w:cs="Times New Roman"/>
      <w:color w:val="000000"/>
      <w:sz w:val="20"/>
      <w:szCs w:val="20"/>
      <w:u w:val="none"/>
    </w:rPr>
  </w:style>
  <w:style w:type="character" w:customStyle="1" w:styleId="40">
    <w:name w:val="font31"/>
    <w:basedOn w:val="22"/>
    <w:qFormat/>
    <w:uiPriority w:val="0"/>
    <w:rPr>
      <w:rFonts w:hint="eastAsia" w:ascii="宋体" w:hAnsi="宋体" w:eastAsia="宋体" w:cs="宋体"/>
      <w:color w:val="000000"/>
      <w:sz w:val="20"/>
      <w:szCs w:val="20"/>
      <w:u w:val="none"/>
    </w:rPr>
  </w:style>
  <w:style w:type="paragraph" w:customStyle="1" w:styleId="41">
    <w:name w:val="附件标题"/>
    <w:basedOn w:val="5"/>
    <w:next w:val="1"/>
    <w:qFormat/>
    <w:uiPriority w:val="0"/>
    <w:pPr>
      <w:numPr>
        <w:numId w:val="3"/>
      </w:numPr>
      <w:tabs>
        <w:tab w:val="left" w:pos="1134"/>
      </w:tabs>
      <w:ind w:firstLine="0"/>
      <w:jc w:val="center"/>
    </w:pPr>
    <w:rPr>
      <w:rFonts w:ascii="黑体" w:hAnsi="黑体"/>
      <w:sz w:val="30"/>
      <w:szCs w:val="30"/>
    </w:rPr>
  </w:style>
  <w:style w:type="character" w:customStyle="1" w:styleId="42">
    <w:name w:val="font151"/>
    <w:basedOn w:val="22"/>
    <w:qFormat/>
    <w:uiPriority w:val="0"/>
    <w:rPr>
      <w:rFonts w:hint="eastAsia" w:ascii="新宋体" w:hAnsi="新宋体" w:eastAsia="新宋体" w:cs="新宋体"/>
      <w:color w:val="000000"/>
      <w:sz w:val="32"/>
      <w:szCs w:val="32"/>
      <w:u w:val="none"/>
      <w:vertAlign w:val="superscript"/>
    </w:rPr>
  </w:style>
  <w:style w:type="paragraph" w:customStyle="1" w:styleId="43">
    <w:name w:val="Char Char Char Char13"/>
    <w:basedOn w:val="1"/>
    <w:qFormat/>
    <w:uiPriority w:val="0"/>
    <w:pPr>
      <w:widowControl/>
      <w:spacing w:line="360" w:lineRule="auto"/>
      <w:ind w:firstLine="200" w:firstLineChars="200"/>
      <w:jc w:val="left"/>
    </w:pPr>
    <w:rPr>
      <w:rFonts w:ascii="宋体" w:hAnsi="宋体" w:cs="宋体"/>
      <w:kern w:val="0"/>
      <w:sz w:val="24"/>
    </w:rPr>
  </w:style>
  <w:style w:type="paragraph" w:customStyle="1" w:styleId="44">
    <w:name w:val="标3"/>
    <w:basedOn w:val="6"/>
    <w:qFormat/>
    <w:uiPriority w:val="0"/>
    <w:pPr>
      <w:spacing w:before="240" w:after="240" w:line="360" w:lineRule="auto"/>
    </w:pPr>
    <w:rPr>
      <w:szCs w:val="32"/>
    </w:rPr>
  </w:style>
  <w:style w:type="character" w:customStyle="1" w:styleId="45">
    <w:name w:val="font71"/>
    <w:basedOn w:val="22"/>
    <w:qFormat/>
    <w:uiPriority w:val="0"/>
    <w:rPr>
      <w:rFonts w:hint="eastAsia" w:ascii="新宋体" w:hAnsi="新宋体" w:eastAsia="新宋体" w:cs="新宋体"/>
      <w:color w:val="000000"/>
      <w:sz w:val="28"/>
      <w:szCs w:val="28"/>
      <w:u w:val="none"/>
      <w:vertAlign w:val="superscript"/>
    </w:rPr>
  </w:style>
  <w:style w:type="character" w:customStyle="1" w:styleId="46">
    <w:name w:val="font41"/>
    <w:basedOn w:val="22"/>
    <w:qFormat/>
    <w:uiPriority w:val="0"/>
    <w:rPr>
      <w:rFonts w:ascii="Calibri" w:hAnsi="Calibri" w:cs="Calibri"/>
      <w:color w:val="000000"/>
      <w:sz w:val="28"/>
      <w:szCs w:val="28"/>
      <w:u w:val="none"/>
    </w:rPr>
  </w:style>
  <w:style w:type="paragraph" w:customStyle="1" w:styleId="47">
    <w:name w:val="格式4"/>
    <w:basedOn w:val="1"/>
    <w:qFormat/>
    <w:uiPriority w:val="0"/>
    <w:pPr>
      <w:spacing w:line="420" w:lineRule="exact"/>
      <w:ind w:left="990" w:leftChars="300" w:hanging="360" w:hangingChars="150"/>
    </w:pPr>
    <w:rPr>
      <w:rFonts w:ascii="宋体" w:hAnsi="宋体"/>
      <w:color w:val="000000"/>
      <w:sz w:val="24"/>
    </w:rPr>
  </w:style>
  <w:style w:type="character" w:customStyle="1" w:styleId="48">
    <w:name w:val="页眉 字符"/>
    <w:basedOn w:val="22"/>
    <w:link w:val="14"/>
    <w:qFormat/>
    <w:uiPriority w:val="99"/>
    <w:rPr>
      <w:rFonts w:asciiTheme="minorHAnsi" w:hAnsiTheme="minorHAnsi" w:eastAsiaTheme="minorEastAsia" w:cstheme="minorBidi"/>
      <w:kern w:val="2"/>
      <w:sz w:val="18"/>
      <w:szCs w:val="24"/>
    </w:rPr>
  </w:style>
  <w:style w:type="character" w:customStyle="1" w:styleId="49">
    <w:name w:val="页脚 字符"/>
    <w:basedOn w:val="22"/>
    <w:link w:val="1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23214</Words>
  <Characters>25531</Characters>
  <Lines>216</Lines>
  <Paragraphs>61</Paragraphs>
  <TotalTime>4</TotalTime>
  <ScaleCrop>false</ScaleCrop>
  <LinksUpToDate>false</LinksUpToDate>
  <CharactersWithSpaces>28164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2020-10-09T06:52:00Z</dcterms:created>
  <dc:creator>huajie</dc:creator>
  <cp:lastModifiedBy>赵建涛</cp:lastModifiedBy>
  <cp:lastPrinted>2022-03-09T08:33:00Z</cp:lastPrinted>
  <dcterms:modified xsi:type="dcterms:W3CDTF">2022-03-25T04:17:32Z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BC31B34CC8864FE78C831AC275076BAE</vt:lpwstr>
  </property>
</Properties>
</file>