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color w:val="auto"/>
          <w:sz w:val="32"/>
          <w:szCs w:val="32"/>
          <w:highlight w:val="none"/>
          <w:u w:val="single"/>
        </w:rPr>
      </w:pPr>
      <w:r>
        <w:rPr>
          <w:rFonts w:hint="default" w:ascii="Times New Roman" w:hAnsi="Times New Roman" w:cs="Times New Roman"/>
          <w:b/>
          <w:bCs/>
          <w:color w:val="auto"/>
          <w:sz w:val="40"/>
          <w:szCs w:val="40"/>
          <w:highlight w:val="none"/>
          <w:u w:val="single"/>
        </w:rPr>
        <w:t>20</w:t>
      </w:r>
      <w:r>
        <w:rPr>
          <w:rFonts w:hint="default" w:ascii="Times New Roman" w:hAnsi="Times New Roman" w:cs="Times New Roman"/>
          <w:b/>
          <w:bCs/>
          <w:color w:val="auto"/>
          <w:sz w:val="40"/>
          <w:szCs w:val="40"/>
          <w:highlight w:val="none"/>
          <w:u w:val="single"/>
          <w:lang w:val="en-US" w:eastAsia="zh-CN"/>
        </w:rPr>
        <w:t>22</w:t>
      </w:r>
      <w:r>
        <w:rPr>
          <w:rFonts w:hint="default" w:ascii="Times New Roman" w:hAnsi="Times New Roman" w:cs="Times New Roman"/>
          <w:b/>
          <w:bCs/>
          <w:color w:val="auto"/>
          <w:sz w:val="40"/>
          <w:szCs w:val="40"/>
          <w:highlight w:val="none"/>
          <w:u w:val="single"/>
        </w:rPr>
        <w:t>~202</w:t>
      </w:r>
      <w:r>
        <w:rPr>
          <w:rFonts w:hint="default" w:ascii="Times New Roman" w:hAnsi="Times New Roman" w:cs="Times New Roman"/>
          <w:b/>
          <w:bCs/>
          <w:color w:val="auto"/>
          <w:sz w:val="40"/>
          <w:szCs w:val="40"/>
          <w:highlight w:val="none"/>
          <w:u w:val="single"/>
          <w:lang w:val="en-US" w:eastAsia="zh-CN"/>
        </w:rPr>
        <w:t>4</w:t>
      </w:r>
      <w:r>
        <w:rPr>
          <w:rFonts w:hint="default" w:ascii="Times New Roman" w:hAnsi="Times New Roman" w:cs="Times New Roman"/>
          <w:b/>
          <w:bCs/>
          <w:color w:val="auto"/>
          <w:sz w:val="40"/>
          <w:szCs w:val="40"/>
          <w:highlight w:val="none"/>
          <w:u w:val="single"/>
        </w:rPr>
        <w:t>年度工地试验室试验检测仪器设备检定/校准服务量值溯源机构定点库采购</w:t>
      </w:r>
    </w:p>
    <w:p>
      <w:pPr>
        <w:spacing w:line="540" w:lineRule="exact"/>
        <w:ind w:firstLine="420"/>
        <w:jc w:val="center"/>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snapToGrid w:val="0"/>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采 购 人：</w:t>
      </w:r>
      <w:r>
        <w:rPr>
          <w:rFonts w:hint="eastAsia" w:ascii="Times New Roman" w:hAnsi="Times New Roman" w:eastAsia="黑体" w:cs="Times New Roman"/>
          <w:color w:val="auto"/>
          <w:sz w:val="32"/>
          <w:szCs w:val="32"/>
          <w:u w:val="single"/>
        </w:rPr>
        <w:t>安徽</w:t>
      </w:r>
      <w:r>
        <w:rPr>
          <w:rFonts w:hint="eastAsia" w:ascii="Times New Roman" w:hAnsi="Times New Roman" w:eastAsia="黑体" w:cs="Times New Roman"/>
          <w:color w:val="auto"/>
          <w:sz w:val="32"/>
          <w:szCs w:val="32"/>
          <w:u w:val="single"/>
          <w:lang w:val="en-US" w:eastAsia="zh-CN"/>
        </w:rPr>
        <w:t>省</w:t>
      </w:r>
      <w:r>
        <w:rPr>
          <w:rFonts w:hint="eastAsia" w:ascii="Times New Roman" w:hAnsi="Times New Roman" w:eastAsia="黑体" w:cs="Times New Roman"/>
          <w:color w:val="auto"/>
          <w:sz w:val="32"/>
          <w:szCs w:val="32"/>
          <w:u w:val="single"/>
        </w:rPr>
        <w:t>高速公路试验检测科研中心有限公司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snapToGrid w:val="0"/>
        <w:jc w:val="center"/>
        <w:rPr>
          <w:rFonts w:ascii="Times New Roman" w:hAnsi="Times New Roman" w:eastAsia="黑体" w:cs="Times New Roman"/>
          <w:color w:val="C00000"/>
          <w:sz w:val="32"/>
          <w:szCs w:val="32"/>
          <w:u w:val="single"/>
        </w:rPr>
      </w:pPr>
      <w:r>
        <w:rPr>
          <w:rFonts w:ascii="Times New Roman" w:hAnsi="Times New Roman" w:eastAsia="黑体" w:cs="Times New Roman"/>
          <w:color w:val="auto"/>
          <w:sz w:val="32"/>
          <w:szCs w:val="32"/>
        </w:rPr>
        <w:t>日期</w:t>
      </w:r>
      <w:r>
        <w:rPr>
          <w:rFonts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C00000"/>
          <w:sz w:val="32"/>
          <w:szCs w:val="32"/>
          <w:lang w:val="en-US" w:eastAsia="zh-CN"/>
        </w:rPr>
        <w:t xml:space="preserve"> </w:t>
      </w:r>
      <w:r>
        <w:rPr>
          <w:rFonts w:hint="eastAsia" w:ascii="Times New Roman" w:hAnsi="Times New Roman" w:eastAsia="黑体" w:cs="Times New Roman"/>
          <w:color w:val="auto"/>
          <w:sz w:val="32"/>
          <w:szCs w:val="32"/>
          <w:u w:val="single"/>
          <w:lang w:val="en-US" w:eastAsia="zh-CN"/>
        </w:rPr>
        <w:t>2022年03</w:t>
      </w:r>
      <w:r>
        <w:rPr>
          <w:rFonts w:ascii="Times New Roman" w:hAnsi="Times New Roman" w:eastAsia="黑体" w:cs="Times New Roman"/>
          <w:color w:val="auto"/>
          <w:sz w:val="32"/>
          <w:szCs w:val="32"/>
          <w:u w:val="single"/>
        </w:rPr>
        <w:t>月</w:t>
      </w:r>
      <w:r>
        <w:rPr>
          <w:rFonts w:hint="eastAsia" w:ascii="Times New Roman" w:hAnsi="Times New Roman" w:eastAsia="黑体" w:cs="Times New Roman"/>
          <w:color w:val="auto"/>
          <w:sz w:val="32"/>
          <w:szCs w:val="32"/>
          <w:u w:val="single"/>
          <w:lang w:val="en-US" w:eastAsia="zh-CN"/>
        </w:rPr>
        <w:t>29</w:t>
      </w:r>
      <w:r>
        <w:rPr>
          <w:rFonts w:ascii="Times New Roman" w:hAnsi="Times New Roman" w:eastAsia="黑体" w:cs="Times New Roman"/>
          <w:color w:val="auto"/>
          <w:sz w:val="32"/>
          <w:szCs w:val="32"/>
          <w:u w:val="single"/>
        </w:rPr>
        <w:t>日</w:t>
      </w:r>
    </w:p>
    <w:p>
      <w:pPr>
        <w:ind w:left="1896" w:leftChars="903"/>
        <w:rPr>
          <w:rFonts w:ascii="Times New Roman" w:hAnsi="Times New Roman" w:eastAsia="宋体" w:cs="Times New Roman"/>
          <w:color w:val="C00000"/>
          <w:sz w:val="24"/>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color w:val="auto"/>
          <w:kern w:val="2"/>
          <w:sz w:val="21"/>
          <w:szCs w:val="24"/>
          <w:lang w:val="en-US" w:eastAsia="zh-CN" w:bidi="ar-SA"/>
        </w:rPr>
        <w:id w:val="147463371"/>
        <w:docPartObj>
          <w:docPartGallery w:val="Table of Contents"/>
          <w:docPartUnique/>
        </w:docPartObj>
      </w:sdtPr>
      <w:sdtEndPr>
        <w:rPr>
          <w:rFonts w:asciiTheme="minorHAnsi" w:hAnsiTheme="minorHAnsi" w:eastAsiaTheme="minorEastAsia" w:cstheme="minorBidi"/>
          <w:color w:val="auto"/>
          <w:kern w:val="2"/>
          <w:sz w:val="20"/>
          <w:szCs w:val="20"/>
          <w:lang w:val="en-US" w:eastAsia="zh-CN" w:bidi="ar-SA"/>
        </w:rPr>
      </w:sdtEndPr>
      <w:sdtContent>
        <w:p>
          <w:pPr>
            <w:pStyle w:val="35"/>
            <w:tabs>
              <w:tab w:val="right" w:leader="dot" w:pos="8312"/>
            </w:tabs>
            <w:jc w:val="center"/>
            <w:rPr>
              <w:rFonts w:ascii="Times New Roman" w:hAnsi="Times New Roman" w:eastAsia="宋体" w:cs="Times New Roman"/>
              <w:color w:val="auto"/>
              <w:sz w:val="28"/>
              <w:szCs w:val="28"/>
              <w:highlight w:val="none"/>
            </w:rPr>
          </w:pPr>
          <w:bookmarkStart w:id="0" w:name="_Toc6571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pPr>
            <w:pStyle w:val="35"/>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_Toc19851_WPSOffice_Level1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63371"/>
              <w:placeholder>
                <w:docPart w:val="{9f12a70a-0659-4274-b4fd-0ffe6d43a57a}"/>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1" w:name="_Toc19851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fldChar w:fldCharType="end"/>
          </w:r>
        </w:p>
        <w:p>
          <w:pPr>
            <w:pStyle w:val="35"/>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_Toc7466_WPSOffice_Level1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63371"/>
              <w:placeholder>
                <w:docPart w:val="{46a56cc3-7b90-4249-b4ac-b726a8ff0fee}"/>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4</w:t>
          </w:r>
          <w:r>
            <w:rPr>
              <w:rFonts w:ascii="Times New Roman" w:hAnsi="Times New Roman" w:eastAsia="宋体" w:cs="Times New Roman"/>
              <w:color w:val="auto"/>
              <w:sz w:val="28"/>
              <w:szCs w:val="28"/>
              <w:highlight w:val="none"/>
            </w:rPr>
            <w:fldChar w:fldCharType="end"/>
          </w:r>
        </w:p>
        <w:p>
          <w:pPr>
            <w:pStyle w:val="35"/>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_Toc20530_WPSOffice_Level1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63371"/>
              <w:placeholder>
                <w:docPart w:val="{d7ca3874-a5d7-46f2-a9a5-83b3012ed8e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bookmarkStart w:id="2" w:name="_Toc20530_WPSOffice_Level1Page"/>
          <w:r>
            <w:rPr>
              <w:rFonts w:ascii="Times New Roman" w:hAnsi="Times New Roman" w:eastAsia="宋体" w:cs="Times New Roman"/>
              <w:color w:val="auto"/>
              <w:sz w:val="28"/>
              <w:szCs w:val="28"/>
              <w:highlight w:val="none"/>
            </w:rPr>
            <w:t>1</w:t>
          </w:r>
          <w:bookmarkEnd w:id="2"/>
          <w:r>
            <w:rPr>
              <w:rFonts w:hint="eastAsia" w:ascii="Times New Roman" w:hAnsi="Times New Roman" w:eastAsia="宋体" w:cs="Times New Roman"/>
              <w:color w:val="auto"/>
              <w:sz w:val="28"/>
              <w:szCs w:val="28"/>
              <w:highlight w:val="none"/>
              <w:lang w:val="en-US" w:eastAsia="zh-CN"/>
            </w:rPr>
            <w:t>0</w:t>
          </w:r>
          <w:r>
            <w:rPr>
              <w:rFonts w:ascii="Times New Roman" w:hAnsi="Times New Roman" w:eastAsia="宋体" w:cs="Times New Roman"/>
              <w:color w:val="auto"/>
              <w:sz w:val="28"/>
              <w:szCs w:val="28"/>
              <w:highlight w:val="none"/>
            </w:rPr>
            <w:fldChar w:fldCharType="end"/>
          </w:r>
        </w:p>
        <w:p>
          <w:pPr>
            <w:pStyle w:val="35"/>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_Toc3069_WPSOffice_Level1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63371"/>
              <w:placeholder>
                <w:docPart w:val="{12a0c8dc-eeb1-4b5a-a611-8533d8386728}"/>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1</w:t>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6</w:t>
          </w:r>
        </w:p>
        <w:p>
          <w:pPr>
            <w:pStyle w:val="35"/>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_Toc29093_WPSOffice_Level1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63371"/>
              <w:placeholder>
                <w:docPart w:val="{c6e64ec1-9337-41fe-991c-e352c64ec5e4}"/>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2</w:t>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8</w:t>
          </w:r>
        </w:p>
        <w:p>
          <w:pPr>
            <w:pStyle w:val="35"/>
            <w:tabs>
              <w:tab w:val="right" w:leader="dot" w:pos="8312"/>
            </w:tabs>
            <w:rPr>
              <w:rFonts w:hint="eastAsia" w:eastAsia="宋体"/>
              <w:color w:val="auto"/>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_Toc28290_WPSOffice_Level1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63371"/>
              <w:placeholder>
                <w:docPart w:val="{50e46119-a1fb-43ac-a648-11741ea53da5}"/>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六</w:t>
              </w:r>
              <w:r>
                <w:rPr>
                  <w:rFonts w:hint="default" w:ascii="Times New Roman" w:hAnsi="Times New Roman" w:eastAsia="宋体" w:cs="Times New Roman"/>
                  <w:color w:val="auto"/>
                  <w:sz w:val="28"/>
                  <w:szCs w:val="28"/>
                  <w:highlight w:val="none"/>
                </w:rPr>
                <w:t>章 响应文件格式</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3</w:t>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9</w:t>
          </w:r>
        </w:p>
        <w:bookmarkEnd w:id="0"/>
        <w:p>
          <w:pPr>
            <w:pStyle w:val="35"/>
            <w:tabs>
              <w:tab w:val="right" w:leader="dot" w:pos="8312"/>
            </w:tabs>
            <w:rPr>
              <w:color w:val="auto"/>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Times New Roman" w:hAnsi="Times New Roman" w:eastAsia="宋体" w:cs="Times New Roman"/>
          <w:color w:val="auto"/>
          <w:sz w:val="21"/>
          <w:highlight w:val="none"/>
        </w:rPr>
      </w:pPr>
    </w:p>
    <w:p>
      <w:pPr>
        <w:spacing w:before="0" w:beforeLines="0" w:after="0" w:afterLines="0" w:line="240" w:lineRule="auto"/>
        <w:ind w:left="0" w:leftChars="0" w:right="0" w:rightChars="0" w:firstLine="0" w:firstLineChars="0"/>
        <w:jc w:val="center"/>
        <w:rPr>
          <w:rFonts w:ascii="Times New Roman" w:hAnsi="Times New Roman" w:eastAsia="宋体" w:cs="Times New Roman"/>
          <w:color w:val="auto"/>
          <w:sz w:val="21"/>
          <w:highlight w:val="none"/>
        </w:rPr>
      </w:pPr>
    </w:p>
    <w:p>
      <w:pPr>
        <w:spacing w:before="0" w:beforeLines="0" w:after="0" w:afterLines="0" w:line="240" w:lineRule="auto"/>
        <w:ind w:left="0" w:leftChars="0" w:right="0" w:rightChars="0" w:firstLine="0" w:firstLineChars="0"/>
        <w:jc w:val="center"/>
        <w:rPr>
          <w:rFonts w:ascii="Times New Roman" w:hAnsi="Times New Roman" w:eastAsia="宋体" w:cs="Times New Roman"/>
          <w:color w:val="auto"/>
          <w:sz w:val="21"/>
          <w:highlight w:val="none"/>
        </w:rPr>
      </w:pPr>
    </w:p>
    <w:p>
      <w:pPr>
        <w:pStyle w:val="4"/>
        <w:spacing w:before="240" w:after="240"/>
        <w:rPr>
          <w:rFonts w:hint="default"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4"/>
        <w:spacing w:before="240" w:after="240"/>
        <w:rPr>
          <w:rFonts w:hint="default" w:ascii="Times New Roman" w:hAnsi="Times New Roman" w:eastAsia="宋体" w:cs="Times New Roman"/>
          <w:color w:val="auto"/>
          <w:highlight w:val="none"/>
        </w:rPr>
      </w:pPr>
      <w:bookmarkStart w:id="3" w:name="_Toc19851_WPSOffice_Level1"/>
      <w:r>
        <w:rPr>
          <w:rFonts w:hint="default" w:ascii="Times New Roman" w:hAnsi="Times New Roman" w:eastAsia="宋体" w:cs="Times New Roman"/>
          <w:color w:val="auto"/>
          <w:highlight w:val="none"/>
        </w:rPr>
        <w:t>采购公告</w:t>
      </w:r>
      <w:bookmarkEnd w:id="3"/>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 w:name="_Toc10395_WPSOffice_Level2"/>
      <w:bookmarkStart w:id="5" w:name="_Toc525632585"/>
      <w:bookmarkStart w:id="6" w:name="_Toc6496_WPSOffice_Level2"/>
      <w:bookmarkStart w:id="7" w:name="_Toc12765"/>
      <w:bookmarkStart w:id="8" w:name="_Toc4489_WPSOffice_Level2"/>
      <w:bookmarkStart w:id="9" w:name="_Toc13871"/>
      <w:bookmarkStart w:id="10" w:name="_Toc24354_WPSOffice_Level2"/>
      <w:r>
        <w:rPr>
          <w:rFonts w:hint="default" w:ascii="Times New Roman" w:hAnsi="Times New Roman" w:eastAsia="黑体" w:cs="Times New Roman"/>
          <w:bCs w:val="0"/>
          <w:color w:val="auto"/>
          <w:sz w:val="22"/>
          <w:szCs w:val="15"/>
          <w:highlight w:val="none"/>
        </w:rPr>
        <w:t>项目简介</w:t>
      </w:r>
      <w:bookmarkEnd w:id="4"/>
      <w:bookmarkEnd w:id="5"/>
      <w:bookmarkEnd w:id="6"/>
      <w:bookmarkEnd w:id="7"/>
      <w:bookmarkEnd w:id="8"/>
      <w:bookmarkEnd w:id="9"/>
      <w:bookmarkEnd w:id="10"/>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2022~2024年度工地试验室试验检测仪器设备检定/校准服务量值溯源机构定点库采购</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ascii="Times New Roman" w:hAnsi="Times New Roman" w:cs="Times New Roman"/>
          <w:color w:val="auto"/>
          <w:szCs w:val="22"/>
          <w:u w:val="single"/>
        </w:rPr>
        <w:t>安徽</w:t>
      </w:r>
      <w:r>
        <w:rPr>
          <w:rFonts w:hint="eastAsia" w:ascii="Times New Roman" w:hAnsi="Times New Roman" w:cs="Times New Roman"/>
          <w:color w:val="auto"/>
          <w:szCs w:val="22"/>
          <w:u w:val="single"/>
          <w:lang w:eastAsia="zh-CN"/>
        </w:rPr>
        <w:t>省</w:t>
      </w:r>
      <w:r>
        <w:rPr>
          <w:rFonts w:ascii="Times New Roman" w:hAnsi="Times New Roman" w:cs="Times New Roman"/>
          <w:color w:val="auto"/>
          <w:szCs w:val="22"/>
          <w:u w:val="single"/>
        </w:rPr>
        <w:t>高速公路试验检测科研中心有限公司</w:t>
      </w:r>
      <w:r>
        <w:rPr>
          <w:rFonts w:hint="eastAsia" w:ascii="Times New Roman" w:hAnsi="Times New Roman" w:cs="Times New Roman"/>
          <w:color w:val="auto"/>
          <w:szCs w:val="22"/>
          <w:u w:val="single"/>
        </w:rPr>
        <w:t>（以下简称“高速检测”）</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本次服务采购拟为试验事业部确定2022~2024年度工地试验室试验检测仪器设备检定/校准服务量值溯源机构；计划采购时间3年，</w:t>
      </w:r>
      <w:r>
        <w:rPr>
          <w:rFonts w:hint="eastAsia" w:ascii="Times New Roman" w:hAnsi="Times New Roman" w:cs="Times New Roman"/>
          <w:color w:val="auto"/>
          <w:sz w:val="21"/>
          <w:szCs w:val="22"/>
          <w:highlight w:val="none"/>
          <w:u w:val="single"/>
          <w:lang w:val="en-US" w:eastAsia="zh-CN"/>
        </w:rPr>
        <w:t>服务期自合同签订之日起</w:t>
      </w:r>
      <w:r>
        <w:rPr>
          <w:rFonts w:hint="default" w:ascii="Times New Roman" w:hAnsi="Times New Roman" w:cs="Times New Roman"/>
          <w:color w:val="auto"/>
          <w:sz w:val="21"/>
          <w:szCs w:val="22"/>
          <w:highlight w:val="none"/>
          <w:u w:val="single"/>
          <w:lang w:val="en-US" w:eastAsia="zh-CN"/>
        </w:rPr>
        <w:t>至2024年12月31日；具体服务地点由采购人指定</w:t>
      </w:r>
      <w:r>
        <w:rPr>
          <w:rFonts w:hint="eastAsia" w:ascii="Times New Roman" w:hAnsi="Times New Roman" w:cs="Times New Roman"/>
          <w:color w:val="auto"/>
          <w:sz w:val="21"/>
          <w:szCs w:val="22"/>
          <w:highlight w:val="none"/>
          <w:u w:val="single"/>
          <w:lang w:val="en-US" w:eastAsia="zh-CN"/>
        </w:rPr>
        <w:t>。</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1" w:name="_Toc17858_WPSOffice_Level2"/>
      <w:bookmarkStart w:id="12" w:name="_Toc8128_WPSOffice_Level2"/>
      <w:bookmarkStart w:id="13" w:name="_Toc18367_WPSOffice_Level2"/>
      <w:bookmarkStart w:id="14" w:name="_Toc10274"/>
      <w:bookmarkStart w:id="15" w:name="_Toc23266_WPSOffice_Level2"/>
      <w:bookmarkStart w:id="16" w:name="_Toc18453"/>
      <w:bookmarkStart w:id="17" w:name="_Toc525632586"/>
      <w:r>
        <w:rPr>
          <w:rFonts w:hint="default" w:ascii="Times New Roman" w:hAnsi="Times New Roman" w:eastAsia="黑体" w:cs="Times New Roman"/>
          <w:bCs w:val="0"/>
          <w:color w:val="auto"/>
          <w:sz w:val="22"/>
          <w:szCs w:val="15"/>
          <w:highlight w:val="none"/>
        </w:rPr>
        <w:t>采购说明</w:t>
      </w:r>
      <w:bookmarkEnd w:id="11"/>
      <w:bookmarkEnd w:id="12"/>
      <w:bookmarkEnd w:id="13"/>
      <w:bookmarkEnd w:id="14"/>
      <w:bookmarkEnd w:id="15"/>
      <w:bookmarkEnd w:id="16"/>
      <w:bookmarkEnd w:id="17"/>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18" w:name="_Toc4489_WPSOffice_Level3"/>
      <w:r>
        <w:rPr>
          <w:rFonts w:hint="default" w:ascii="Times New Roman" w:hAnsi="Times New Roman" w:cs="Times New Roman"/>
          <w:color w:val="auto"/>
          <w:sz w:val="21"/>
          <w:szCs w:val="22"/>
          <w:highlight w:val="none"/>
        </w:rPr>
        <w:t>2.1 采购方式：</w:t>
      </w:r>
      <w:bookmarkEnd w:id="18"/>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19"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9"/>
      <w:bookmarkStart w:id="20" w:name="_Toc22379_WPSOffice_Level3"/>
      <w:r>
        <w:rPr>
          <w:rFonts w:hint="eastAsia" w:ascii="Times New Roman" w:hAnsi="Times New Roman" w:cs="Times New Roman"/>
          <w:color w:val="auto"/>
          <w:sz w:val="21"/>
          <w:szCs w:val="22"/>
          <w:highlight w:val="none"/>
          <w:u w:val="single"/>
          <w:lang w:val="en-US" w:eastAsia="zh-CN"/>
        </w:rPr>
        <w:t>100%来自</w:t>
      </w:r>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default" w:ascii="Times New Roman" w:hAnsi="Times New Roman" w:cs="Times New Roman"/>
          <w:color w:val="auto"/>
          <w:sz w:val="21"/>
          <w:szCs w:val="22"/>
          <w:highlight w:val="none"/>
          <w:lang w:val="en-US" w:eastAsia="zh-CN"/>
        </w:rPr>
        <w:t>采购范围：</w:t>
      </w:r>
      <w:r>
        <w:rPr>
          <w:rFonts w:hint="default" w:ascii="Times New Roman" w:hAnsi="Times New Roman" w:cs="Times New Roman"/>
          <w:color w:val="auto"/>
          <w:sz w:val="21"/>
          <w:szCs w:val="22"/>
          <w:highlight w:val="none"/>
          <w:u w:val="single"/>
          <w:lang w:val="en-US" w:eastAsia="zh-CN"/>
        </w:rPr>
        <w:t xml:space="preserve"> </w:t>
      </w:r>
      <w:r>
        <w:rPr>
          <w:rFonts w:ascii="Times New Roman" w:hAnsi="Times New Roman" w:cs="Times New Roman"/>
          <w:color w:val="auto"/>
          <w:szCs w:val="22"/>
          <w:u w:val="single"/>
        </w:rPr>
        <w:t>仅针对</w:t>
      </w:r>
      <w:r>
        <w:rPr>
          <w:rFonts w:hint="eastAsia" w:ascii="Times New Roman" w:hAnsi="Times New Roman" w:cs="Times New Roman"/>
          <w:color w:val="auto"/>
          <w:szCs w:val="22"/>
          <w:u w:val="single"/>
          <w:lang w:val="en-US" w:eastAsia="zh-CN"/>
        </w:rPr>
        <w:t>高速检测</w:t>
      </w:r>
      <w:r>
        <w:rPr>
          <w:rFonts w:hint="default" w:ascii="Times New Roman" w:hAnsi="Times New Roman" w:cs="Times New Roman"/>
          <w:color w:val="auto"/>
          <w:sz w:val="21"/>
          <w:szCs w:val="22"/>
          <w:highlight w:val="none"/>
          <w:u w:val="single"/>
          <w:lang w:val="en-US" w:eastAsia="zh-CN"/>
        </w:rPr>
        <w:t>2022~2024年度工地试验室试验检测仪器设备检定/校准服务量值溯源</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2.4 合同包划分：</w:t>
      </w:r>
      <w:r>
        <w:rPr>
          <w:rFonts w:hint="eastAsia" w:ascii="Times New Roman" w:hAnsi="Times New Roman" w:cs="Times New Roman"/>
          <w:color w:val="auto"/>
          <w:szCs w:val="22"/>
          <w:u w:val="single"/>
        </w:rPr>
        <w:t>无包段划分</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 xml:space="preserve">2.5 </w:t>
      </w:r>
      <w:r>
        <w:rPr>
          <w:rFonts w:hint="default" w:ascii="Times New Roman" w:hAnsi="Times New Roman" w:cs="Times New Roman"/>
          <w:color w:val="auto"/>
          <w:sz w:val="21"/>
          <w:szCs w:val="22"/>
          <w:highlight w:val="none"/>
          <w:u w:val="none"/>
          <w:lang w:val="en-US" w:eastAsia="zh-CN"/>
        </w:rPr>
        <w:t>框架协议</w:t>
      </w:r>
      <w:r>
        <w:rPr>
          <w:rFonts w:hint="default" w:ascii="Times New Roman" w:hAnsi="Times New Roman" w:cs="Times New Roman"/>
          <w:color w:val="auto"/>
          <w:sz w:val="21"/>
          <w:szCs w:val="22"/>
          <w:highlight w:val="none"/>
          <w:lang w:val="en-US" w:eastAsia="zh-CN"/>
        </w:rPr>
        <w:t>价格形式</w:t>
      </w:r>
      <w:r>
        <w:rPr>
          <w:rFonts w:hint="default" w:ascii="Times New Roman" w:hAnsi="Times New Roman" w:cs="Times New Roman"/>
          <w:color w:val="auto"/>
          <w:sz w:val="21"/>
          <w:szCs w:val="22"/>
          <w:highlight w:val="none"/>
        </w:rPr>
        <w:t>：</w:t>
      </w:r>
      <w:bookmarkEnd w:id="20"/>
      <w:r>
        <w:rPr>
          <w:rFonts w:hint="default" w:ascii="Times New Roman" w:hAnsi="Times New Roman" w:cs="Times New Roman"/>
          <w:color w:val="auto"/>
          <w:sz w:val="21"/>
          <w:szCs w:val="22"/>
          <w:highlight w:val="none"/>
          <w:u w:val="single"/>
          <w:lang w:val="en-US" w:eastAsia="zh-CN"/>
        </w:rPr>
        <w:t>固定价</w:t>
      </w:r>
      <w:r>
        <w:rPr>
          <w:rFonts w:hint="default" w:ascii="Times New Roman" w:hAnsi="Times New Roman" w:cs="Times New Roman"/>
          <w:color w:val="auto"/>
          <w:sz w:val="21"/>
          <w:szCs w:val="22"/>
          <w:highlight w:val="none"/>
          <w:lang w:val="en-US" w:eastAsia="zh-CN"/>
        </w:rPr>
        <w:t>，最高限价</w:t>
      </w:r>
      <w:r>
        <w:rPr>
          <w:rFonts w:hint="eastAsia" w:ascii="Times New Roman" w:hAnsi="Times New Roman" w:cs="Times New Roman"/>
          <w:color w:val="auto"/>
          <w:sz w:val="21"/>
          <w:szCs w:val="22"/>
          <w:highlight w:val="none"/>
          <w:lang w:val="en-US" w:eastAsia="zh-CN"/>
        </w:rPr>
        <w:t>（如有）</w:t>
      </w:r>
      <w:r>
        <w:rPr>
          <w:rFonts w:hint="default" w:ascii="Times New Roman" w:hAnsi="Times New Roman" w:cs="Times New Roman"/>
          <w:color w:val="auto"/>
          <w:sz w:val="21"/>
          <w:szCs w:val="22"/>
          <w:highlight w:val="none"/>
          <w:lang w:val="en-US" w:eastAsia="zh-CN"/>
        </w:rPr>
        <w:t>为__</w:t>
      </w:r>
      <w:r>
        <w:rPr>
          <w:rFonts w:hint="eastAsia" w:ascii="Times New Roman" w:hAnsi="Times New Roman" w:cs="Times New Roman"/>
          <w:color w:val="auto"/>
          <w:szCs w:val="22"/>
          <w:u w:val="single"/>
        </w:rPr>
        <w:t>报价形式为比例报价，最高限价不超过100%</w:t>
      </w:r>
      <w:r>
        <w:rPr>
          <w:rFonts w:hint="default" w:ascii="Times New Roman" w:hAnsi="Times New Roman" w:cs="Times New Roman"/>
          <w:color w:val="auto"/>
          <w:sz w:val="21"/>
          <w:szCs w:val="22"/>
          <w:highlight w:val="none"/>
          <w:lang w:val="en-US" w:eastAsia="zh-CN"/>
        </w:rPr>
        <w:t>_。</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 xml:space="preserve">2.6 </w:t>
      </w:r>
      <w:r>
        <w:rPr>
          <w:rFonts w:hint="default" w:ascii="Times New Roman" w:hAnsi="Times New Roman" w:cs="Times New Roman"/>
          <w:color w:val="auto"/>
          <w:sz w:val="21"/>
          <w:szCs w:val="22"/>
          <w:highlight w:val="none"/>
          <w:u w:val="none"/>
          <w:lang w:val="en-US" w:eastAsia="zh-CN"/>
        </w:rPr>
        <w:t>框架协议执行有效期：</w:t>
      </w:r>
      <w:r>
        <w:rPr>
          <w:rFonts w:hint="eastAsia" w:ascii="Times New Roman" w:hAnsi="Times New Roman" w:cs="Times New Roman"/>
          <w:color w:val="auto"/>
          <w:sz w:val="21"/>
          <w:szCs w:val="22"/>
          <w:highlight w:val="none"/>
          <w:u w:val="single"/>
          <w:lang w:val="en-US" w:eastAsia="zh-CN"/>
        </w:rPr>
        <w:t>本次服务期限为自合同签订</w:t>
      </w:r>
      <w:r>
        <w:rPr>
          <w:rFonts w:hint="default" w:ascii="Times New Roman" w:hAnsi="Times New Roman" w:cs="Times New Roman"/>
          <w:color w:val="auto"/>
          <w:sz w:val="21"/>
          <w:szCs w:val="22"/>
          <w:highlight w:val="none"/>
          <w:u w:val="single"/>
          <w:lang w:val="en-US" w:eastAsia="zh-CN"/>
        </w:rPr>
        <w:t>后至2024年12月31日</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2"/>
          <w:highlight w:val="none"/>
          <w:u w:val="none"/>
          <w:lang w:val="en-US" w:eastAsia="zh-CN"/>
        </w:rPr>
        <w:t>2.7 入围原则：合格制，评审通过的供应商有数量限制，入围供应商数量不超过</w:t>
      </w:r>
      <w:r>
        <w:rPr>
          <w:rFonts w:hint="eastAsia" w:ascii="Times New Roman" w:hAnsi="Times New Roman" w:cs="Times New Roman"/>
          <w:color w:val="auto"/>
          <w:sz w:val="21"/>
          <w:szCs w:val="22"/>
          <w:highlight w:val="none"/>
          <w:u w:val="single"/>
          <w:lang w:val="en-US" w:eastAsia="zh-CN"/>
        </w:rPr>
        <w:t xml:space="preserve"> 3</w:t>
      </w:r>
      <w:r>
        <w:rPr>
          <w:rFonts w:hint="default" w:ascii="Times New Roman" w:hAnsi="Times New Roman" w:cs="Times New Roman"/>
          <w:color w:val="auto"/>
          <w:sz w:val="21"/>
          <w:szCs w:val="22"/>
          <w:highlight w:val="none"/>
          <w:u w:val="none"/>
          <w:lang w:val="en-US" w:eastAsia="zh-CN"/>
        </w:rPr>
        <w:t>家。</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lang w:val="en-US" w:eastAsia="zh-CN"/>
        </w:rPr>
        <w:t>2.8 每个供应商最多可同时对</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（具体数量）合同包进行报价，并允许最多入</w:t>
      </w:r>
      <w:r>
        <w:rPr>
          <w:rFonts w:hint="default" w:ascii="Times New Roman" w:hAnsi="Times New Roman" w:cs="Times New Roman"/>
          <w:color w:val="auto"/>
          <w:sz w:val="21"/>
          <w:szCs w:val="22"/>
          <w:highlight w:val="none"/>
          <w:u w:val="none"/>
          <w:lang w:val="en-US" w:eastAsia="zh-CN"/>
        </w:rPr>
        <w:t xml:space="preserve">围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none"/>
          <w:lang w:val="en-US" w:eastAsia="zh-CN"/>
        </w:rPr>
        <w:t>个合同包；多合同包的入围原则：</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none"/>
          <w:lang w:val="en-US" w:eastAsia="zh-CN"/>
        </w:rPr>
        <w:t>。</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1" w:name="_Toc22379_WPSOffice_Level2"/>
      <w:bookmarkStart w:id="22" w:name="_Toc1622_WPSOffice_Level2"/>
      <w:bookmarkStart w:id="23" w:name="_Toc31673_WPSOffice_Level2"/>
      <w:bookmarkStart w:id="24" w:name="_Toc6388"/>
      <w:bookmarkStart w:id="25" w:name="_Toc29516_WPSOffice_Level2"/>
      <w:bookmarkStart w:id="26" w:name="_Toc3714"/>
      <w:bookmarkStart w:id="27" w:name="_Toc525632587"/>
      <w:r>
        <w:rPr>
          <w:rFonts w:hint="default" w:ascii="Times New Roman" w:hAnsi="Times New Roman" w:eastAsia="黑体" w:cs="Times New Roman"/>
          <w:bCs w:val="0"/>
          <w:color w:val="auto"/>
          <w:sz w:val="22"/>
          <w:szCs w:val="15"/>
          <w:highlight w:val="none"/>
        </w:rPr>
        <w:t>供应商资格条件</w:t>
      </w:r>
      <w:bookmarkEnd w:id="21"/>
      <w:bookmarkEnd w:id="22"/>
      <w:bookmarkEnd w:id="23"/>
      <w:bookmarkEnd w:id="24"/>
      <w:bookmarkEnd w:id="25"/>
      <w:bookmarkEnd w:id="26"/>
      <w:bookmarkEnd w:id="27"/>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本次采购要求供应商须同时具备：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（1）资质最低要求：</w:t>
      </w:r>
      <w:r>
        <w:rPr>
          <w:rFonts w:hint="eastAsia" w:ascii="Times New Roman" w:hAnsi="Times New Roman" w:cs="Times New Roman"/>
          <w:color w:val="auto"/>
          <w:szCs w:val="22"/>
          <w:u w:val="single"/>
        </w:rPr>
        <w:t>供应商</w:t>
      </w:r>
      <w:r>
        <w:rPr>
          <w:rFonts w:hint="eastAsia" w:ascii="Times New Roman" w:hAnsi="Times New Roman" w:cs="Times New Roman"/>
          <w:color w:val="auto"/>
          <w:szCs w:val="22"/>
          <w:u w:val="single"/>
          <w:lang w:val="en-US" w:eastAsia="zh-CN"/>
        </w:rPr>
        <w:t>须</w:t>
      </w:r>
      <w:r>
        <w:rPr>
          <w:rFonts w:hint="default" w:ascii="Times New Roman" w:hAnsi="Times New Roman" w:cs="Times New Roman"/>
          <w:color w:val="auto"/>
          <w:sz w:val="21"/>
          <w:szCs w:val="22"/>
          <w:highlight w:val="none"/>
          <w:u w:val="single"/>
          <w:lang w:val="en-US" w:eastAsia="zh-CN"/>
        </w:rPr>
        <w:t>具备独立法人资格，工商行政管理部门核发的企业法人营业执照或事业单位法人证书；具备中国合格评定国家认可委员会（CNAS）实验室认可证书</w:t>
      </w:r>
      <w:r>
        <w:rPr>
          <w:rFonts w:hint="default" w:ascii="Times New Roman" w:hAnsi="Times New Roman" w:cs="Times New Roman"/>
          <w:color w:val="auto"/>
          <w:sz w:val="21"/>
          <w:szCs w:val="22"/>
          <w:highlight w:val="none"/>
          <w:u w:val="none"/>
          <w:lang w:val="en-US" w:eastAsia="zh-CN"/>
        </w:rPr>
        <w:t>。</w:t>
      </w:r>
    </w:p>
    <w:p>
      <w:pPr>
        <w:numPr>
          <w:ilvl w:val="-1"/>
          <w:numId w:val="0"/>
        </w:numPr>
        <w:snapToGrid w:val="0"/>
        <w:spacing w:line="440" w:lineRule="exact"/>
        <w:ind w:left="0"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（2）主要人员最低要求：</w:t>
      </w:r>
      <w:r>
        <w:rPr>
          <w:rFonts w:hint="eastAsia" w:ascii="Times New Roman" w:hAnsi="Times New Roman" w:cs="Times New Roman"/>
          <w:color w:val="auto"/>
          <w:sz w:val="21"/>
          <w:szCs w:val="22"/>
          <w:highlight w:val="none"/>
          <w:u w:val="single"/>
          <w:lang w:val="en-US" w:eastAsia="zh-CN"/>
        </w:rPr>
        <w:t xml:space="preserve"> / </w:t>
      </w:r>
      <w:r>
        <w:rPr>
          <w:rFonts w:hint="default" w:ascii="Times New Roman" w:hAnsi="Times New Roman" w:cs="Times New Roman"/>
          <w:color w:val="auto"/>
          <w:sz w:val="21"/>
          <w:szCs w:val="22"/>
          <w:highlight w:val="none"/>
          <w:u w:val="none"/>
          <w:lang w:val="en-US" w:eastAsia="zh-CN"/>
        </w:rPr>
        <w:t>。</w:t>
      </w:r>
    </w:p>
    <w:p>
      <w:pPr>
        <w:numPr>
          <w:ilvl w:val="0"/>
          <w:numId w:val="0"/>
        </w:num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u w:val="none"/>
          <w:lang w:val="en-US" w:eastAsia="zh-CN"/>
        </w:rPr>
        <w:t>（3）业绩最低要求：</w:t>
      </w:r>
      <w:r>
        <w:rPr>
          <w:rFonts w:hint="eastAsia" w:ascii="Times New Roman" w:hAnsi="Times New Roman" w:cs="Times New Roman"/>
          <w:color w:val="auto"/>
          <w:sz w:val="21"/>
          <w:szCs w:val="22"/>
          <w:highlight w:val="none"/>
          <w:u w:val="single"/>
          <w:lang w:val="en-US" w:eastAsia="zh-CN"/>
        </w:rPr>
        <w:t>近三年内（自2019年1月1日起，以合同签订时间为准），完成过一个高速公路工地试验室试验检测仪器检定/校准服务的业绩</w:t>
      </w:r>
      <w:r>
        <w:rPr>
          <w:rFonts w:hint="default" w:ascii="Times New Roman" w:hAnsi="Times New Roman" w:cs="Times New Roman"/>
          <w:color w:val="auto"/>
          <w:sz w:val="21"/>
          <w:szCs w:val="22"/>
          <w:highlight w:val="none"/>
          <w:u w:val="none"/>
          <w:lang w:val="en-US" w:eastAsia="zh-CN"/>
        </w:rPr>
        <w:t>。</w:t>
      </w:r>
    </w:p>
    <w:p>
      <w:pPr>
        <w:numPr>
          <w:ilvl w:val="-1"/>
          <w:numId w:val="0"/>
        </w:numPr>
        <w:snapToGrid w:val="0"/>
        <w:spacing w:line="440" w:lineRule="exact"/>
        <w:ind w:left="0"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（4）信誉要求最低要求：</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①未被责令停业，暂扣或吊销执照，或吊销资质证书；</w:t>
      </w:r>
    </w:p>
    <w:p>
      <w:pPr>
        <w:snapToGrid w:val="0"/>
        <w:spacing w:line="440" w:lineRule="exact"/>
        <w:ind w:firstLine="420" w:firstLineChars="20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sz w:val="21"/>
          <w:szCs w:val="22"/>
          <w:highlight w:val="none"/>
          <w:u w:val="none"/>
          <w:lang w:val="en-US" w:eastAsia="zh-CN"/>
        </w:rPr>
        <w:t>②未</w:t>
      </w:r>
      <w:r>
        <w:rPr>
          <w:rFonts w:hint="default" w:ascii="Times New Roman" w:hAnsi="Times New Roman" w:cs="Times New Roman"/>
          <w:color w:val="auto"/>
          <w:szCs w:val="22"/>
          <w:highlight w:val="none"/>
          <w:u w:val="none"/>
        </w:rPr>
        <w:t>进入清算程序，或被宣告破产，或其他丧失履约能力的情形</w:t>
      </w:r>
      <w:r>
        <w:rPr>
          <w:rFonts w:hint="default"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③在国家企业信用信息公示系统（http://www.gsxt.gov.cn）中未被列入严重违法失信企业名单；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④在“信用中国”网站（http://www.creditchina.gov.cn）中未被列入失信被执行人名单；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⑤在近三年内（自响应文件递交截止之日向前追溯3年）供应商或其法定代表人、项目负责人（如有）未有行贿犯罪行为；</w:t>
      </w:r>
    </w:p>
    <w:p>
      <w:pPr>
        <w:pStyle w:val="2"/>
        <w:ind w:firstLine="420" w:firstLineChars="200"/>
        <w:rPr>
          <w:rFonts w:hint="eastAsia"/>
          <w:lang w:val="en-US" w:eastAsia="zh-CN"/>
        </w:rPr>
      </w:pPr>
      <w:r>
        <w:rPr>
          <w:rFonts w:hint="default" w:ascii="Times New Roman" w:hAnsi="Times New Roman" w:cs="Times New Roman"/>
          <w:color w:val="auto"/>
          <w:highlight w:val="none"/>
          <w:lang w:val="en-US" w:eastAsia="zh-CN"/>
        </w:rPr>
        <w:t>⑥</w:t>
      </w:r>
      <w:r>
        <w:rPr>
          <w:rFonts w:hint="default"/>
          <w:lang w:val="en-US" w:eastAsia="zh-CN"/>
        </w:rPr>
        <w:t>报价人被工商行政管理部门列入企业经营异常名录的</w:t>
      </w:r>
      <w:r>
        <w:rPr>
          <w:rFonts w:hint="eastAsia"/>
          <w:lang w:val="en-US" w:eastAsia="zh-CN"/>
        </w:rPr>
        <w:t xml:space="preserve"> </w:t>
      </w:r>
      <w:r>
        <w:rPr>
          <w:rFonts w:hint="default" w:ascii="Times New Roman" w:hAnsi="Times New Roman" w:cs="Times New Roman"/>
          <w:color w:val="auto"/>
          <w:sz w:val="21"/>
          <w:szCs w:val="22"/>
          <w:highlight w:val="none"/>
          <w:u w:val="none"/>
          <w:lang w:val="en-US" w:eastAsia="zh-CN"/>
        </w:rPr>
        <w:t>；</w:t>
      </w:r>
    </w:p>
    <w:p>
      <w:pPr>
        <w:pStyle w:val="2"/>
        <w:ind w:firstLine="420" w:firstLineChars="200"/>
        <w:rPr>
          <w:rFonts w:hint="default"/>
          <w:lang w:val="en-US" w:eastAsia="zh-CN"/>
        </w:rPr>
      </w:pPr>
      <w:r>
        <w:rPr>
          <w:rFonts w:hint="eastAsia"/>
          <w:lang w:val="en-US" w:eastAsia="zh-CN"/>
        </w:rPr>
        <w:t>⑦报价人被税务部门列入重大税收违法案件当事人名单的</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lang w:val="en-US" w:eastAsia="zh-CN"/>
        </w:rPr>
        <w:t>⑧</w:t>
      </w:r>
      <w:r>
        <w:rPr>
          <w:rFonts w:hint="default" w:ascii="Times New Roman" w:hAnsi="Times New Roman" w:cs="Times New Roman" w:eastAsiaTheme="minorEastAsia"/>
          <w:color w:val="auto"/>
          <w:highlight w:val="none"/>
          <w:lang w:val="en-US" w:eastAsia="zh-CN"/>
        </w:rPr>
        <w:t>其他要求：</w:t>
      </w:r>
      <w:r>
        <w:rPr>
          <w:rFonts w:hint="eastAsia" w:ascii="Times New Roman" w:hAnsi="Times New Roman" w:cs="Times New Roman"/>
          <w:color w:val="auto"/>
          <w:sz w:val="21"/>
          <w:szCs w:val="22"/>
          <w:highlight w:val="none"/>
          <w:u w:val="single"/>
          <w:lang w:val="en-US" w:eastAsia="zh-CN"/>
        </w:rPr>
        <w:t xml:space="preserve"> / </w:t>
      </w:r>
      <w:r>
        <w:rPr>
          <w:rFonts w:hint="default" w:ascii="Times New Roman" w:hAnsi="Times New Roman" w:cs="Times New Roman" w:eastAsiaTheme="minorEastAsia"/>
          <w:color w:val="auto"/>
          <w:highlight w:val="none"/>
          <w:lang w:val="en-US" w:eastAsia="zh-CN"/>
        </w:rPr>
        <w:t>。</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default"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8" w:name="_Toc4751"/>
      <w:bookmarkStart w:id="29" w:name="_Toc25666_WPSOffice_Level2"/>
      <w:bookmarkStart w:id="30" w:name="_Toc525632588"/>
      <w:bookmarkStart w:id="31" w:name="_Toc29452_WPSOffice_Level2"/>
      <w:bookmarkStart w:id="32" w:name="_Toc1994"/>
      <w:bookmarkStart w:id="33" w:name="_Toc2996_WPSOffice_Level2"/>
      <w:bookmarkStart w:id="34" w:name="_Toc4109_WPSOffice_Level2"/>
      <w:r>
        <w:rPr>
          <w:rFonts w:hint="default"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8"/>
      <w:bookmarkEnd w:id="29"/>
      <w:bookmarkEnd w:id="30"/>
      <w:bookmarkEnd w:id="31"/>
      <w:bookmarkEnd w:id="32"/>
      <w:bookmarkEnd w:id="33"/>
      <w:bookmarkEnd w:id="34"/>
    </w:p>
    <w:p>
      <w:pPr>
        <w:snapToGrid w:val="0"/>
        <w:spacing w:line="440" w:lineRule="exact"/>
        <w:ind w:firstLine="367" w:firstLineChars="175"/>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w:t>
      </w:r>
      <w:r>
        <w:rPr>
          <w:rFonts w:hint="eastAsia" w:ascii="Times New Roman" w:hAnsi="Times New Roman" w:cs="Times New Roman"/>
          <w:color w:val="auto"/>
          <w:sz w:val="21"/>
          <w:szCs w:val="22"/>
          <w:highlight w:val="none"/>
          <w:lang w:val="en-US" w:eastAsia="zh-CN"/>
        </w:rPr>
        <w:t>安徽省高速公路试验检测科研中心有限公司官网（http://www.ahgsjc.com/）</w:t>
      </w:r>
      <w:r>
        <w:rPr>
          <w:rFonts w:hint="default" w:ascii="Times New Roman" w:hAnsi="Times New Roman" w:cs="Times New Roman"/>
          <w:color w:val="auto"/>
          <w:sz w:val="21"/>
          <w:szCs w:val="22"/>
          <w:highlight w:val="none"/>
          <w:lang w:val="en-US" w:eastAsia="zh-CN"/>
        </w:rPr>
        <w:t>，选择所参加的</w:t>
      </w:r>
      <w:r>
        <w:rPr>
          <w:rFonts w:hint="eastAsia" w:ascii="Times New Roman" w:hAnsi="Times New Roman" w:cs="Times New Roman"/>
          <w:color w:val="auto"/>
          <w:sz w:val="21"/>
          <w:szCs w:val="22"/>
          <w:highlight w:val="none"/>
          <w:lang w:val="en-US" w:eastAsia="zh-CN"/>
        </w:rPr>
        <w:t>项目</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default"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lang w:val="en-US" w:eastAsia="zh-CN"/>
        </w:rPr>
        <w:t>未按规定在</w:t>
      </w:r>
      <w:r>
        <w:rPr>
          <w:rFonts w:hint="eastAsia" w:ascii="Times New Roman" w:hAnsi="Times New Roman" w:cs="Times New Roman"/>
          <w:color w:val="auto"/>
          <w:sz w:val="21"/>
          <w:szCs w:val="22"/>
          <w:highlight w:val="none"/>
          <w:lang w:val="en-US" w:eastAsia="zh-CN"/>
        </w:rPr>
        <w:t>安徽省高速公路试验检测科研中心有限公司官网</w:t>
      </w:r>
      <w:r>
        <w:rPr>
          <w:rFonts w:hint="default" w:ascii="Times New Roman" w:hAnsi="Times New Roman" w:cs="Times New Roman"/>
          <w:color w:val="auto"/>
          <w:sz w:val="21"/>
          <w:szCs w:val="22"/>
          <w:highlight w:val="none"/>
          <w:lang w:val="en-US" w:eastAsia="zh-CN"/>
        </w:rPr>
        <w:t>下载</w:t>
      </w:r>
      <w:r>
        <w:rPr>
          <w:rFonts w:hint="eastAsia" w:ascii="Times New Roman" w:hAnsi="Times New Roman" w:cs="Times New Roman"/>
          <w:color w:val="auto"/>
          <w:sz w:val="21"/>
          <w:szCs w:val="22"/>
          <w:highlight w:val="none"/>
          <w:lang w:val="en-US" w:eastAsia="zh-CN"/>
        </w:rPr>
        <w:t>询比文件</w:t>
      </w:r>
      <w:r>
        <w:rPr>
          <w:rFonts w:hint="default" w:ascii="Times New Roman" w:hAnsi="Times New Roman" w:cs="Times New Roman"/>
          <w:color w:val="auto"/>
          <w:sz w:val="21"/>
          <w:szCs w:val="22"/>
          <w:highlight w:val="none"/>
          <w:lang w:val="en-US" w:eastAsia="zh-CN"/>
        </w:rPr>
        <w:t>的，后续将不予接受其响应文件。</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89"/>
      <w:bookmarkStart w:id="36" w:name="_Toc726"/>
      <w:r>
        <w:rPr>
          <w:rFonts w:hint="default" w:ascii="Times New Roman" w:hAnsi="Times New Roman" w:eastAsia="黑体" w:cs="Times New Roman"/>
          <w:bCs w:val="0"/>
          <w:color w:val="auto"/>
          <w:sz w:val="22"/>
          <w:szCs w:val="15"/>
          <w:highlight w:val="none"/>
        </w:rPr>
        <w:t>响应文件的递交</w:t>
      </w:r>
      <w:bookmarkEnd w:id="35"/>
      <w:bookmarkEnd w:id="36"/>
    </w:p>
    <w:p>
      <w:pPr>
        <w:snapToGrid w:val="0"/>
        <w:spacing w:line="440" w:lineRule="exact"/>
        <w:ind w:firstLine="420" w:firstLineChars="200"/>
        <w:rPr>
          <w:rFonts w:hint="default" w:ascii="Times New Roman" w:hAnsi="Times New Roman" w:cs="Times New Roman"/>
          <w:color w:val="C00000"/>
          <w:sz w:val="21"/>
          <w:szCs w:val="22"/>
          <w:highlight w:val="none"/>
        </w:rPr>
      </w:pPr>
      <w:r>
        <w:rPr>
          <w:rFonts w:hint="default" w:ascii="Times New Roman" w:hAnsi="Times New Roman" w:cs="Times New Roman"/>
          <w:color w:val="auto"/>
          <w:sz w:val="21"/>
          <w:szCs w:val="22"/>
          <w:highlight w:val="none"/>
        </w:rPr>
        <w:t>响应文件递交的截止时间为</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04</w:t>
      </w:r>
      <w:r>
        <w:rPr>
          <w:rFonts w:hint="default" w:ascii="Times New Roman" w:hAnsi="Times New Roman" w:cs="Times New Roman"/>
          <w:color w:val="auto"/>
          <w:sz w:val="21"/>
          <w:szCs w:val="22"/>
          <w:highlight w:val="none"/>
          <w:lang w:val="en-US" w:eastAsia="zh-CN"/>
        </w:rPr>
        <w:t>月</w:t>
      </w:r>
      <w:r>
        <w:rPr>
          <w:rFonts w:hint="eastAsia" w:ascii="Times New Roman" w:hAnsi="Times New Roman" w:cs="Times New Roman"/>
          <w:color w:val="auto"/>
          <w:sz w:val="21"/>
          <w:szCs w:val="22"/>
          <w:highlight w:val="none"/>
          <w:u w:val="single"/>
          <w:lang w:val="en-US" w:eastAsia="zh-CN"/>
        </w:rPr>
        <w:t>07</w:t>
      </w:r>
      <w:r>
        <w:rPr>
          <w:rFonts w:hint="default" w:ascii="Times New Roman" w:hAnsi="Times New Roman" w:cs="Times New Roman"/>
          <w:color w:val="auto"/>
          <w:sz w:val="21"/>
          <w:szCs w:val="22"/>
          <w:highlight w:val="none"/>
          <w:lang w:val="en-US" w:eastAsia="zh-CN"/>
        </w:rPr>
        <w:t>日</w:t>
      </w:r>
      <w:r>
        <w:rPr>
          <w:rFonts w:hint="eastAsia" w:ascii="Times New Roman" w:hAnsi="Times New Roman" w:cs="Times New Roman"/>
          <w:color w:val="auto"/>
          <w:sz w:val="21"/>
          <w:szCs w:val="22"/>
          <w:highlight w:val="none"/>
          <w:u w:val="single"/>
          <w:lang w:val="en-US" w:eastAsia="zh-CN"/>
        </w:rPr>
        <w:t>14</w:t>
      </w:r>
      <w:r>
        <w:rPr>
          <w:rFonts w:hint="default" w:ascii="Times New Roman" w:hAnsi="Times New Roman" w:cs="Times New Roman"/>
          <w:color w:val="auto"/>
          <w:sz w:val="21"/>
          <w:szCs w:val="22"/>
          <w:highlight w:val="none"/>
          <w:lang w:val="en-US" w:eastAsia="zh-CN"/>
        </w:rPr>
        <w:t>时</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default"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u w:val="single"/>
        </w:rPr>
        <w:t>安徽省高速公路试验检测科研中心有限公司一楼会议室</w:t>
      </w:r>
      <w:r>
        <w:rPr>
          <w:rFonts w:hint="default" w:ascii="Times New Roman" w:hAnsi="Times New Roman" w:cs="Times New Roman"/>
          <w:color w:val="auto"/>
          <w:sz w:val="21"/>
          <w:szCs w:val="22"/>
          <w:highlight w:val="none"/>
          <w:lang w:val="en-US" w:eastAsia="zh-CN"/>
        </w:rPr>
        <w:t>（地点</w:t>
      </w:r>
      <w:r>
        <w:rPr>
          <w:rFonts w:hint="eastAsia" w:ascii="Times New Roman" w:hAnsi="Times New Roman" w:cs="Times New Roman"/>
          <w:color w:val="auto"/>
          <w:sz w:val="21"/>
          <w:szCs w:val="22"/>
          <w:highlight w:val="none"/>
          <w:lang w:val="en-US" w:eastAsia="zh-CN"/>
        </w:rPr>
        <w:t>办公楼正南侧，南门东侧平房</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C00000"/>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525632591"/>
      <w:bookmarkStart w:id="38" w:name="_Toc22719"/>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ascii="Times New Roman" w:hAnsi="Times New Roman" w:cs="Times New Roman"/>
          <w:color w:val="auto"/>
          <w:szCs w:val="22"/>
          <w:u w:val="single"/>
        </w:rPr>
        <w:t>安徽省高速公路试验检测科研中心有限公司</w:t>
      </w:r>
      <w:r>
        <w:rPr>
          <w:rFonts w:hint="eastAsia" w:ascii="Times New Roman" w:hAnsi="Times New Roman" w:cs="Times New Roman"/>
          <w:color w:val="auto"/>
          <w:szCs w:val="22"/>
          <w:u w:val="single"/>
          <w:lang w:val="en-US" w:eastAsia="zh-CN"/>
        </w:rPr>
        <w:t>主楼5楼会议室</w:t>
      </w:r>
      <w:r>
        <w:rPr>
          <w:rFonts w:hint="default" w:ascii="Times New Roman" w:hAnsi="Times New Roman" w:cs="Times New Roman"/>
          <w:color w:val="auto"/>
          <w:sz w:val="21"/>
          <w:szCs w:val="22"/>
          <w:highlight w:val="none"/>
          <w:lang w:val="en-US" w:eastAsia="zh-CN"/>
        </w:rPr>
        <w:t>（地点）组织进行响应文件的启封。供应商的法定代表人或授权代理人应携带本人身份证、</w:t>
      </w:r>
      <w:r>
        <w:rPr>
          <w:rFonts w:hint="default" w:ascii="Times New Roman" w:hAnsi="Times New Roman" w:cs="Times New Roman"/>
          <w:color w:val="auto"/>
          <w:szCs w:val="22"/>
          <w:highlight w:val="none"/>
        </w:rPr>
        <w:t>授权代理人</w:t>
      </w:r>
      <w:r>
        <w:rPr>
          <w:rFonts w:hint="default" w:ascii="Times New Roman" w:hAnsi="Times New Roman" w:cs="Times New Roman"/>
          <w:color w:val="auto"/>
          <w:szCs w:val="22"/>
          <w:highlight w:val="none"/>
          <w:lang w:val="en-US" w:eastAsia="zh-CN"/>
        </w:rPr>
        <w:t>应携带</w:t>
      </w:r>
      <w:r>
        <w:rPr>
          <w:rFonts w:hint="default" w:ascii="Times New Roman" w:hAnsi="Times New Roman" w:cs="Times New Roman"/>
          <w:color w:val="auto"/>
          <w:sz w:val="21"/>
          <w:szCs w:val="22"/>
          <w:highlight w:val="none"/>
          <w:lang w:val="en-US" w:eastAsia="zh-CN"/>
        </w:rPr>
        <w:t>授权委托书准时参加启封会议。</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7"/>
      <w:bookmarkEnd w:id="38"/>
      <w:bookmarkStart w:id="257" w:name="_GoBack"/>
      <w:bookmarkEnd w:id="257"/>
    </w:p>
    <w:p>
      <w:pPr>
        <w:snapToGrid w:val="0"/>
        <w:spacing w:before="156" w:beforeLines="50" w:line="360" w:lineRule="auto"/>
        <w:ind w:firstLine="420" w:firstLineChars="200"/>
        <w:rPr>
          <w:u w:val="none"/>
        </w:rPr>
      </w:pPr>
      <w:bookmarkStart w:id="39" w:name="_Toc26829"/>
      <w:bookmarkStart w:id="40" w:name="_Toc525632592"/>
      <w:bookmarkStart w:id="41" w:name="_Toc321_WPSOffice_Level2"/>
      <w:bookmarkStart w:id="42" w:name="_Toc8501"/>
      <w:bookmarkStart w:id="43" w:name="_Toc28571_WPSOffice_Level2"/>
      <w:bookmarkStart w:id="44" w:name="_Toc14943_WPSOffice_Level2"/>
      <w:bookmarkStart w:id="45" w:name="_Toc20572_WPSOffice_Level2"/>
      <w:r>
        <w:rPr>
          <w:rFonts w:ascii="Times New Roman" w:hAnsi="Times New Roman" w:cs="Times New Roman"/>
          <w:szCs w:val="22"/>
        </w:rPr>
        <w:t>本次采购公</w:t>
      </w:r>
      <w:r>
        <w:rPr>
          <w:rFonts w:ascii="Times New Roman" w:hAnsi="Times New Roman" w:cs="Times New Roman"/>
          <w:szCs w:val="22"/>
          <w:u w:val="none"/>
        </w:rPr>
        <w:t>告在</w:t>
      </w:r>
      <w:r>
        <w:rPr>
          <w:rFonts w:hint="eastAsia" w:ascii="Times New Roman" w:hAnsi="Times New Roman" w:cs="Times New Roman"/>
          <w:szCs w:val="22"/>
          <w:u w:val="none"/>
          <w:lang w:val="en-US" w:eastAsia="zh-CN"/>
        </w:rPr>
        <w:t>安徽省高速公路试验检测科研中心有限公司官网</w:t>
      </w:r>
      <w:r>
        <w:rPr>
          <w:rFonts w:ascii="Times New Roman" w:hAnsi="Times New Roman" w:cs="Times New Roman"/>
          <w:szCs w:val="22"/>
          <w:u w:val="none"/>
        </w:rPr>
        <w:t>（http://www.ahgsjc.com/）公司公告栏上发布。</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采购人联系方式</w:t>
      </w:r>
      <w:bookmarkEnd w:id="39"/>
      <w:bookmarkEnd w:id="40"/>
      <w:bookmarkEnd w:id="41"/>
      <w:bookmarkEnd w:id="42"/>
      <w:bookmarkEnd w:id="43"/>
      <w:bookmarkEnd w:id="44"/>
      <w:bookmarkEnd w:id="45"/>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ascii="Times New Roman" w:hAnsi="Times New Roman" w:cs="Times New Roman"/>
          <w:color w:val="auto"/>
          <w:szCs w:val="22"/>
          <w:u w:val="single"/>
        </w:rPr>
        <w:t>安徽省高速公路试验检测科研中心有限公司</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ascii="Times New Roman" w:hAnsi="Times New Roman" w:cs="Times New Roman"/>
          <w:color w:val="auto"/>
          <w:szCs w:val="22"/>
          <w:u w:val="single"/>
        </w:rPr>
        <w:t>安徽省合肥市</w:t>
      </w:r>
      <w:r>
        <w:rPr>
          <w:rFonts w:hint="eastAsia" w:ascii="Times New Roman" w:hAnsi="Times New Roman" w:cs="Times New Roman"/>
          <w:color w:val="auto"/>
          <w:szCs w:val="22"/>
          <w:u w:val="single"/>
          <w:lang w:val="en-US" w:eastAsia="zh-CN"/>
        </w:rPr>
        <w:t>蜀山区</w:t>
      </w:r>
      <w:r>
        <w:rPr>
          <w:rFonts w:ascii="Times New Roman" w:hAnsi="Times New Roman" w:cs="Times New Roman"/>
          <w:color w:val="auto"/>
          <w:szCs w:val="22"/>
          <w:u w:val="single"/>
        </w:rPr>
        <w:t>金寨南路18号</w:t>
      </w:r>
    </w:p>
    <w:p>
      <w:pPr>
        <w:spacing w:line="440" w:lineRule="exact"/>
        <w:ind w:firstLine="420" w:firstLineChars="200"/>
        <w:rPr>
          <w:rFonts w:hint="default" w:ascii="Times New Roman" w:hAnsi="Times New Roman" w:cs="Times New Roman"/>
          <w:color w:val="auto"/>
          <w:sz w:val="21"/>
          <w:szCs w:val="22"/>
          <w:highlight w:val="none"/>
          <w:lang w:val="en-US"/>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230601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 xml:space="preserve">     </w:t>
      </w:r>
      <w:r>
        <w:rPr>
          <w:rFonts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王 </w:t>
      </w:r>
      <w:r>
        <w:rPr>
          <w:rFonts w:ascii="Times New Roman" w:hAnsi="Times New Roman" w:cs="Times New Roman"/>
          <w:color w:val="auto"/>
          <w:szCs w:val="22"/>
          <w:u w:val="single"/>
        </w:rPr>
        <w:t>工</w:t>
      </w:r>
      <w:r>
        <w:rPr>
          <w:rFonts w:hint="eastAsia" w:ascii="Times New Roman" w:hAnsi="Times New Roman" w:cs="Times New Roman"/>
          <w:color w:val="auto"/>
          <w:szCs w:val="22"/>
          <w:u w:val="single"/>
          <w:lang w:val="en-US" w:eastAsia="zh-CN"/>
        </w:rPr>
        <w:t xml:space="preserve">              </w:t>
      </w:r>
      <w:r>
        <w:rPr>
          <w:rFonts w:hint="default" w:ascii="Times New Roman" w:hAnsi="Times New Roman" w:cs="Times New Roman"/>
          <w:color w:val="auto"/>
          <w:sz w:val="21"/>
          <w:szCs w:val="22"/>
          <w:highlight w:val="none"/>
          <w:u w:val="single"/>
        </w:rPr>
        <w:t xml:space="preserve"> </w:t>
      </w:r>
      <w:r>
        <w:rPr>
          <w:rFonts w:hint="default" w:ascii="Times New Roman" w:hAnsi="Times New Roman" w:cs="Times New Roman"/>
          <w:color w:val="auto"/>
          <w:sz w:val="21"/>
          <w:szCs w:val="22"/>
          <w:highlight w:val="none"/>
        </w:rPr>
        <w:t xml:space="preserve"> </w:t>
      </w:r>
    </w:p>
    <w:p>
      <w:pPr>
        <w:spacing w:line="440" w:lineRule="exact"/>
        <w:ind w:firstLine="420" w:firstLineChars="200"/>
        <w:rPr>
          <w:rFonts w:hint="default"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u w:val="single"/>
          <w:lang w:val="en-US" w:eastAsia="zh-CN"/>
        </w:rPr>
        <w:t xml:space="preserve">18355107101            </w:t>
      </w:r>
    </w:p>
    <w:p>
      <w:pPr>
        <w:spacing w:line="440" w:lineRule="exact"/>
        <w:ind w:firstLine="420" w:firstLineChars="200"/>
        <w:rPr>
          <w:rFonts w:hint="default" w:ascii="Times New Roman" w:hAnsi="Times New Roman" w:cs="Times New Roman"/>
          <w:color w:val="auto"/>
          <w:sz w:val="21"/>
          <w:szCs w:val="22"/>
          <w:highlight w:val="none"/>
          <w:lang w:val="en-US"/>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Cs w:val="22"/>
          <w:u w:val="single"/>
          <w:lang w:val="en-US" w:eastAsia="zh-CN"/>
        </w:rPr>
        <w:t xml:space="preserve">     </w:t>
      </w:r>
      <w:r>
        <w:rPr>
          <w:rFonts w:hint="eastAsia" w:ascii="Times New Roman" w:hAnsi="Times New Roman" w:cs="Times New Roman"/>
          <w:color w:val="auto"/>
          <w:szCs w:val="22"/>
          <w:u w:val="single"/>
          <w:lang w:val="en-US" w:eastAsia="zh-CN"/>
        </w:rPr>
        <w:t xml:space="preserve"> </w:t>
      </w:r>
      <w:r>
        <w:rPr>
          <w:rFonts w:hint="default" w:ascii="Times New Roman" w:hAnsi="Times New Roman" w:cs="Times New Roman"/>
          <w:color w:val="auto"/>
          <w:szCs w:val="22"/>
          <w:u w:val="single"/>
          <w:lang w:val="en-US" w:eastAsia="zh-CN"/>
        </w:rPr>
        <w:t xml:space="preserve"> </w:t>
      </w:r>
      <w:r>
        <w:rPr>
          <w:rFonts w:hint="eastAsia" w:ascii="Times New Roman" w:hAnsi="Times New Roman" w:cs="Times New Roman"/>
          <w:color w:val="auto"/>
          <w:szCs w:val="22"/>
          <w:u w:val="single"/>
        </w:rPr>
        <w:t>ahgsjc@sina.</w:t>
      </w:r>
      <w:r>
        <w:rPr>
          <w:rFonts w:hint="eastAsia" w:ascii="Times New Roman" w:hAnsi="Times New Roman" w:cs="Times New Roman"/>
          <w:color w:val="auto"/>
          <w:szCs w:val="22"/>
          <w:u w:val="single"/>
          <w:lang w:val="en-US" w:eastAsia="zh-CN"/>
        </w:rPr>
        <w:t>cn</w:t>
      </w:r>
      <w:r>
        <w:rPr>
          <w:rFonts w:hint="default" w:ascii="Times New Roman" w:hAnsi="Times New Roman" w:cs="Times New Roman"/>
          <w:color w:val="auto"/>
          <w:szCs w:val="22"/>
          <w:u w:val="single"/>
          <w:lang w:val="en-US" w:eastAsia="zh-CN"/>
        </w:rPr>
        <w:t xml:space="preserve">   </w:t>
      </w:r>
      <w:r>
        <w:rPr>
          <w:rFonts w:hint="eastAsia" w:ascii="Times New Roman" w:hAnsi="Times New Roman" w:cs="Times New Roman"/>
          <w:color w:val="auto"/>
          <w:szCs w:val="22"/>
          <w:u w:val="single"/>
          <w:lang w:val="en-US" w:eastAsia="zh-CN"/>
        </w:rPr>
        <w:t xml:space="preserve">    </w:t>
      </w:r>
      <w:r>
        <w:rPr>
          <w:rFonts w:hint="default" w:ascii="Times New Roman" w:hAnsi="Times New Roman" w:cs="Times New Roman"/>
          <w:color w:val="auto"/>
          <w:szCs w:val="22"/>
          <w:u w:val="single"/>
          <w:lang w:val="en-US" w:eastAsia="zh-CN"/>
        </w:rPr>
        <w:t xml:space="preserve">  </w:t>
      </w:r>
      <w:r>
        <w:rPr>
          <w:rFonts w:hint="eastAsia" w:ascii="Times New Roman" w:hAnsi="Times New Roman" w:cs="Times New Roman"/>
          <w:color w:val="auto"/>
          <w:szCs w:val="22"/>
          <w:u w:val="single"/>
          <w:lang w:val="en-US" w:eastAsia="zh-CN"/>
        </w:rPr>
        <w:t xml:space="preserve"> </w:t>
      </w:r>
      <w:r>
        <w:rPr>
          <w:rFonts w:hint="default" w:ascii="Times New Roman" w:hAnsi="Times New Roman" w:cs="Times New Roman"/>
          <w:color w:val="auto"/>
          <w:szCs w:val="22"/>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29"/>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29"/>
        <w:jc w:val="right"/>
        <w:rPr>
          <w:rFonts w:hint="default" w:ascii="Times New Roman" w:hAnsi="Times New Roman" w:eastAsia="Fang Song" w:cs="Times New Roman"/>
          <w:color w:val="auto"/>
          <w:sz w:val="21"/>
          <w:szCs w:val="22"/>
          <w:highlight w:val="none"/>
          <w:lang w:val="en-US" w:eastAsia="zh-CN"/>
        </w:rPr>
      </w:pPr>
    </w:p>
    <w:p>
      <w:pPr>
        <w:pStyle w:val="29"/>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u w:val="single"/>
          <w:lang w:val="en-US" w:eastAsia="zh-CN"/>
        </w:rPr>
        <w:t>03</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u w:val="single"/>
          <w:lang w:val="en-US" w:eastAsia="zh-CN"/>
        </w:rPr>
        <w:t>29</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rPr>
          <w:rFonts w:hint="default" w:ascii="Times New Roman" w:hAnsi="Times New Roman" w:eastAsia="宋体" w:cs="Times New Roman"/>
          <w:color w:val="auto"/>
          <w:highlight w:val="none"/>
        </w:rPr>
      </w:pPr>
      <w:bookmarkStart w:id="46" w:name="_Toc7466_WPSOffice_Level1"/>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bookmarkEnd w:id="46"/>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47" w:name="_Toc14201207"/>
      <w:bookmarkStart w:id="48" w:name="_Toc9067720"/>
      <w:bookmarkStart w:id="49" w:name="_Toc26656938"/>
      <w:r>
        <w:rPr>
          <w:rFonts w:hint="default" w:ascii="Times New Roman" w:hAnsi="Times New Roman" w:eastAsia="黑体" w:cs="Times New Roman"/>
          <w:bCs/>
          <w:color w:val="auto"/>
          <w:sz w:val="24"/>
          <w:szCs w:val="32"/>
          <w:highlight w:val="none"/>
        </w:rPr>
        <w:t>1. 总则</w:t>
      </w:r>
      <w:bookmarkEnd w:id="47"/>
      <w:bookmarkEnd w:id="48"/>
      <w:bookmarkEnd w:id="49"/>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50" w:name="_Toc14201208"/>
      <w:bookmarkStart w:id="51" w:name="_Toc26656939"/>
      <w:r>
        <w:rPr>
          <w:rFonts w:hint="default" w:ascii="Times New Roman" w:hAnsi="Times New Roman" w:eastAsia="黑体" w:cs="Times New Roman"/>
          <w:bCs/>
          <w:color w:val="auto"/>
          <w:sz w:val="24"/>
          <w:szCs w:val="32"/>
          <w:highlight w:val="none"/>
        </w:rPr>
        <w:t xml:space="preserve">1.1 </w:t>
      </w:r>
      <w:bookmarkEnd w:id="50"/>
      <w:bookmarkEnd w:id="51"/>
      <w:bookmarkStart w:id="52" w:name="_Toc14201210"/>
      <w:bookmarkStart w:id="53" w:name="_Toc26656941"/>
      <w:r>
        <w:rPr>
          <w:rFonts w:hint="default" w:ascii="Times New Roman" w:hAnsi="Times New Roman" w:eastAsia="黑体" w:cs="Times New Roman"/>
          <w:bCs/>
          <w:color w:val="auto"/>
          <w:sz w:val="24"/>
          <w:szCs w:val="32"/>
          <w:highlight w:val="none"/>
        </w:rPr>
        <w:t>质量要求</w:t>
      </w:r>
      <w:bookmarkEnd w:id="52"/>
      <w:bookmarkEnd w:id="53"/>
    </w:p>
    <w:p>
      <w:pPr>
        <w:spacing w:line="440" w:lineRule="exact"/>
        <w:ind w:firstLine="420"/>
        <w:rPr>
          <w:rFonts w:ascii="Times New Roman" w:hAnsi="Times New Roman" w:cs="Times New Roman"/>
          <w:color w:val="auto"/>
          <w:szCs w:val="21"/>
        </w:rPr>
      </w:pPr>
      <w:bookmarkStart w:id="54" w:name="_Toc26656942"/>
      <w:bookmarkStart w:id="55" w:name="_Toc14201211"/>
      <w:r>
        <w:rPr>
          <w:rFonts w:ascii="Times New Roman" w:hAnsi="Times New Roman" w:cs="Times New Roman"/>
          <w:color w:val="auto"/>
          <w:szCs w:val="21"/>
        </w:rPr>
        <w:t>1.</w:t>
      </w:r>
      <w:r>
        <w:rPr>
          <w:rFonts w:hint="eastAsia" w:ascii="Times New Roman" w:hAnsi="Times New Roman" w:cs="Times New Roman"/>
          <w:color w:val="auto"/>
          <w:szCs w:val="21"/>
        </w:rPr>
        <w:t>1</w:t>
      </w:r>
      <w:r>
        <w:rPr>
          <w:rFonts w:ascii="Times New Roman" w:hAnsi="Times New Roman" w:cs="Times New Roman"/>
          <w:color w:val="auto"/>
          <w:szCs w:val="21"/>
        </w:rPr>
        <w:t>.</w:t>
      </w:r>
      <w:r>
        <w:rPr>
          <w:rFonts w:hint="eastAsia" w:ascii="Times New Roman" w:hAnsi="Times New Roman" w:cs="Times New Roman"/>
          <w:color w:val="auto"/>
          <w:szCs w:val="21"/>
        </w:rPr>
        <w:t>1</w:t>
      </w:r>
      <w:r>
        <w:rPr>
          <w:rFonts w:ascii="Times New Roman" w:hAnsi="Times New Roman" w:cs="Times New Roman"/>
          <w:color w:val="auto"/>
          <w:szCs w:val="21"/>
        </w:rPr>
        <w:t xml:space="preserve"> 本合同包的质量要求：</w:t>
      </w:r>
      <w:r>
        <w:rPr>
          <w:rFonts w:ascii="Times New Roman" w:hAnsi="Times New Roman" w:cs="Times New Roman"/>
          <w:color w:val="auto"/>
          <w:szCs w:val="21"/>
          <w:u w:val="single"/>
        </w:rPr>
        <w:t>应满足国家相关</w:t>
      </w:r>
      <w:r>
        <w:rPr>
          <w:rFonts w:hint="eastAsia" w:ascii="Times New Roman" w:hAnsi="Times New Roman" w:cs="Times New Roman"/>
          <w:color w:val="auto"/>
          <w:szCs w:val="21"/>
          <w:u w:val="single"/>
        </w:rPr>
        <w:t>规范及采购清单参数</w:t>
      </w:r>
      <w:r>
        <w:rPr>
          <w:rFonts w:ascii="Times New Roman" w:hAnsi="Times New Roman" w:cs="Times New Roman"/>
          <w:color w:val="auto"/>
          <w:szCs w:val="21"/>
          <w:u w:val="single"/>
        </w:rPr>
        <w:t>的要求。</w:t>
      </w:r>
    </w:p>
    <w:p>
      <w:pPr>
        <w:keepNext/>
        <w:keepLines/>
        <w:spacing w:before="120" w:after="120"/>
        <w:ind w:firstLine="420" w:firstLineChars="200"/>
        <w:outlineLvl w:val="2"/>
        <w:rPr>
          <w:rFonts w:ascii="Times New Roman" w:hAnsi="Times New Roman" w:cs="Times New Roman"/>
          <w:color w:val="auto"/>
          <w:szCs w:val="21"/>
          <w:u w:val="single"/>
        </w:rPr>
      </w:pPr>
      <w:r>
        <w:rPr>
          <w:rFonts w:ascii="Times New Roman" w:hAnsi="Times New Roman" w:cs="Times New Roman"/>
          <w:color w:val="auto"/>
          <w:szCs w:val="21"/>
        </w:rPr>
        <w:t>1.1.2 本合同包的安全目标：</w:t>
      </w:r>
      <w:r>
        <w:rPr>
          <w:rFonts w:ascii="Times New Roman" w:hAnsi="Times New Roman" w:cs="Times New Roman"/>
          <w:color w:val="auto"/>
          <w:szCs w:val="21"/>
          <w:u w:val="single"/>
        </w:rPr>
        <w:t>安全</w:t>
      </w:r>
      <w:r>
        <w:rPr>
          <w:rFonts w:hint="eastAsia" w:ascii="Times New Roman" w:hAnsi="Times New Roman" w:cs="Times New Roman"/>
          <w:color w:val="auto"/>
          <w:szCs w:val="21"/>
          <w:u w:val="single"/>
        </w:rPr>
        <w:t>无</w:t>
      </w:r>
      <w:r>
        <w:rPr>
          <w:rFonts w:ascii="Times New Roman" w:hAnsi="Times New Roman" w:cs="Times New Roman"/>
          <w:color w:val="auto"/>
          <w:szCs w:val="21"/>
          <w:u w:val="single"/>
        </w:rPr>
        <w:t>事故。</w:t>
      </w:r>
      <w:r>
        <w:rPr>
          <w:rFonts w:hint="eastAsia" w:ascii="Times New Roman" w:hAnsi="Times New Roman" w:cs="Times New Roman"/>
          <w:color w:val="auto"/>
          <w:szCs w:val="21"/>
          <w:u w:val="single"/>
          <w:lang w:val="en-US" w:eastAsia="zh-CN"/>
        </w:rPr>
        <w:t xml:space="preserve">                            </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4"/>
      <w:bookmarkEnd w:id="55"/>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见第一章 采购公告第3.1款要求。</w:t>
      </w:r>
    </w:p>
    <w:p>
      <w:pPr>
        <w:spacing w:line="440" w:lineRule="exact"/>
        <w:ind w:firstLine="420"/>
        <w:rPr>
          <w:rFonts w:hint="default" w:ascii="Times New Roman" w:hAnsi="Times New Roman" w:cs="Times New Roman"/>
          <w:color w:val="auto"/>
          <w:szCs w:val="21"/>
          <w:highlight w:val="none"/>
          <w:u w:val="single"/>
          <w:lang w:val="en-US"/>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default"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   /   </w:t>
      </w:r>
      <w:r>
        <w:rPr>
          <w:rFonts w:hint="eastAsia" w:ascii="Times New Roman" w:hAnsi="Times New Roman" w:cs="Times New Roman"/>
          <w:color w:val="auto"/>
          <w:szCs w:val="21"/>
          <w:highlight w:val="none"/>
          <w:u w:val="none"/>
          <w:lang w:val="en-US" w:eastAsia="zh-CN"/>
        </w:rPr>
        <w:t xml:space="preserve"> 。</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43"/>
      <w:bookmarkStart w:id="57" w:name="_Toc14201212"/>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44"/>
      <w:bookmarkStart w:id="59" w:name="_Toc14201213"/>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60" w:name="_Toc14201219"/>
      <w:bookmarkStart w:id="61" w:name="_Toc26656950"/>
      <w:bookmarkStart w:id="62" w:name="_Toc26656946"/>
      <w:bookmarkStart w:id="63" w:name="_Toc14201215"/>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60"/>
      <w:bookmarkEnd w:id="61"/>
      <w:r>
        <w:rPr>
          <w:rFonts w:hint="default"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default"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62"/>
      <w:bookmarkEnd w:id="6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14201216"/>
      <w:bookmarkStart w:id="65" w:name="_Toc26656947"/>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4"/>
      <w:bookmarkEnd w:id="6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default"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6" w:name="_Toc14201218"/>
      <w:bookmarkStart w:id="67" w:name="_Toc26656949"/>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6"/>
      <w:bookmarkEnd w:id="67"/>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val="en-US" w:eastAsia="zh-CN"/>
        </w:rPr>
        <w:t>不允许分包。</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68" w:name="_Toc9067721"/>
      <w:bookmarkStart w:id="69" w:name="_Toc14201220"/>
      <w:bookmarkStart w:id="70" w:name="_Toc26656951"/>
      <w:r>
        <w:rPr>
          <w:rFonts w:hint="default" w:ascii="Times New Roman" w:hAnsi="Times New Roman" w:eastAsia="黑体" w:cs="Times New Roman"/>
          <w:bCs/>
          <w:color w:val="auto"/>
          <w:sz w:val="24"/>
          <w:szCs w:val="32"/>
          <w:highlight w:val="none"/>
        </w:rPr>
        <w:t xml:space="preserve">2. </w:t>
      </w:r>
      <w:bookmarkEnd w:id="68"/>
      <w:bookmarkEnd w:id="69"/>
      <w:bookmarkEnd w:id="70"/>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1" w:name="_Toc14201221"/>
      <w:bookmarkStart w:id="72" w:name="_Toc26656952"/>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1"/>
      <w:bookmarkEnd w:id="7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3" w:name="_Toc14201222"/>
      <w:bookmarkStart w:id="74" w:name="_Toc26656953"/>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3"/>
      <w:bookmarkEnd w:id="74"/>
      <w:r>
        <w:rPr>
          <w:rFonts w:hint="default"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递交响应文件的</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default" w:ascii="Times New Roman" w:hAnsi="Times New Roman" w:cs="Times New Roman"/>
          <w:color w:val="auto"/>
          <w:highlight w:val="none"/>
          <w:lang w:val="en-US" w:eastAsia="zh-CN"/>
        </w:rPr>
        <w:t>通过</w:t>
      </w:r>
      <w:r>
        <w:rPr>
          <w:rFonts w:hint="eastAsia" w:ascii="Times New Roman" w:hAnsi="Times New Roman" w:cs="Times New Roman"/>
          <w:szCs w:val="22"/>
          <w:u w:val="none"/>
          <w:lang w:val="en-US" w:eastAsia="zh-CN"/>
        </w:rPr>
        <w:t>书面方式</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default"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default"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5" w:name="_Toc9067722"/>
      <w:bookmarkStart w:id="76" w:name="_Toc14201225"/>
      <w:bookmarkStart w:id="77" w:name="_Toc26656956"/>
      <w:r>
        <w:rPr>
          <w:rFonts w:hint="default" w:ascii="Times New Roman" w:hAnsi="Times New Roman" w:eastAsia="黑体" w:cs="Times New Roman"/>
          <w:bCs/>
          <w:color w:val="auto"/>
          <w:sz w:val="24"/>
          <w:szCs w:val="32"/>
          <w:highlight w:val="none"/>
        </w:rPr>
        <w:t xml:space="preserve">3. </w:t>
      </w:r>
      <w:bookmarkEnd w:id="75"/>
      <w:bookmarkEnd w:id="76"/>
      <w:bookmarkEnd w:id="77"/>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8" w:name="_Toc14201226"/>
      <w:bookmarkStart w:id="79" w:name="_Toc26656957"/>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78"/>
      <w:bookmarkEnd w:id="7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）法定代表人身份证明及授权委托书；</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）已标价</w:t>
      </w:r>
      <w:r>
        <w:rPr>
          <w:rFonts w:hint="default" w:ascii="Times New Roman" w:hAnsi="Times New Roman" w:cs="Times New Roman"/>
          <w:color w:val="auto"/>
          <w:highlight w:val="none"/>
          <w:lang w:val="en-US" w:eastAsia="zh-CN"/>
        </w:rPr>
        <w:t>的报价清单</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）供应商基本情况；</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）业绩情况</w:t>
      </w:r>
      <w:r>
        <w:rPr>
          <w:rFonts w:hint="eastAsia" w:ascii="Times New Roman" w:hAnsi="Times New Roman" w:cs="Times New Roman"/>
          <w:color w:val="auto"/>
          <w:highlight w:val="none"/>
          <w:lang w:val="en-US" w:eastAsia="zh-CN"/>
        </w:rPr>
        <w:t>表</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）信誉情况；</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lang w:eastAsia="zh-CN"/>
        </w:rPr>
        <w:t>）其他材料。</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0" w:name="_Toc14201227"/>
      <w:bookmarkStart w:id="81" w:name="_Toc26656958"/>
      <w:r>
        <w:rPr>
          <w:rFonts w:hint="default" w:ascii="Times New Roman" w:hAnsi="Times New Roman" w:eastAsia="黑体" w:cs="Times New Roman"/>
          <w:bCs/>
          <w:color w:val="auto"/>
          <w:sz w:val="24"/>
          <w:szCs w:val="32"/>
          <w:highlight w:val="none"/>
        </w:rPr>
        <w:t>3.2 报价</w:t>
      </w:r>
      <w:bookmarkEnd w:id="80"/>
      <w:bookmarkEnd w:id="81"/>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default"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3.2.</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val="en-US" w:eastAsia="zh-CN"/>
        </w:rPr>
        <w:t>采购人设置了固定价的，供应商不得修改任何固定报价，否则其报价将被否决，固定价见第五章“采购需求及清单”。</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default" w:ascii="Times New Roman" w:hAnsi="Times New Roman" w:cs="Times New Roman"/>
          <w:color w:val="auto"/>
          <w:highlight w:val="none"/>
          <w:lang w:val="en-US" w:eastAsia="zh-CN"/>
        </w:rPr>
        <w:t>为</w:t>
      </w:r>
      <w:r>
        <w:rPr>
          <w:rFonts w:hint="eastAsia" w:ascii="Times New Roman" w:hAnsi="Times New Roman" w:cs="Times New Roman"/>
          <w:color w:val="auto"/>
          <w:u w:val="single"/>
          <w:lang w:val="en-US" w:eastAsia="zh-CN"/>
        </w:rPr>
        <w:t>限制</w:t>
      </w:r>
      <w:r>
        <w:rPr>
          <w:rFonts w:hint="eastAsia" w:ascii="Times New Roman" w:hAnsi="Times New Roman" w:cs="Times New Roman"/>
          <w:color w:val="auto"/>
          <w:u w:val="single"/>
        </w:rPr>
        <w:t>单价</w:t>
      </w:r>
      <w:r>
        <w:rPr>
          <w:rFonts w:hint="eastAsia" w:ascii="Times New Roman" w:hAnsi="Times New Roman" w:cs="Times New Roman"/>
          <w:color w:val="auto"/>
          <w:u w:val="single"/>
          <w:lang w:eastAsia="zh-CN"/>
        </w:rPr>
        <w:t>，</w:t>
      </w:r>
      <w:r>
        <w:rPr>
          <w:rFonts w:hint="eastAsia" w:ascii="Times New Roman" w:hAnsi="Times New Roman" w:cs="Times New Roman"/>
          <w:color w:val="auto"/>
          <w:u w:val="single"/>
          <w:lang w:val="en-US" w:eastAsia="zh-CN"/>
        </w:rPr>
        <w:t>比例报价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default" w:ascii="Times New Roman" w:hAnsi="Times New Roman" w:cs="Times New Roman"/>
          <w:color w:val="auto"/>
          <w:highlight w:val="none"/>
          <w:lang w:eastAsia="zh-CN"/>
        </w:rPr>
        <w:t>：</w:t>
      </w:r>
      <w:r>
        <w:rPr>
          <w:rFonts w:ascii="Times New Roman" w:hAnsi="Times New Roman" w:cs="Times New Roman"/>
          <w:color w:val="auto"/>
          <w:u w:val="single"/>
        </w:rPr>
        <w:t>本次报价</w:t>
      </w:r>
      <w:r>
        <w:rPr>
          <w:rFonts w:hint="eastAsia" w:ascii="Times New Roman" w:hAnsi="Times New Roman" w:cs="Times New Roman"/>
          <w:color w:val="auto"/>
          <w:u w:val="single"/>
          <w:lang w:val="en-US" w:eastAsia="zh-CN"/>
        </w:rPr>
        <w:t>按各综合单价进行同</w:t>
      </w:r>
      <w:r>
        <w:rPr>
          <w:rFonts w:ascii="Times New Roman" w:hAnsi="Times New Roman" w:cs="Times New Roman"/>
          <w:color w:val="auto"/>
          <w:u w:val="single"/>
        </w:rPr>
        <w:t>比例报价</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2" w:name="_Toc14201228"/>
      <w:bookmarkStart w:id="83" w:name="_Toc26656959"/>
      <w:r>
        <w:rPr>
          <w:rFonts w:hint="default" w:ascii="Times New Roman" w:hAnsi="Times New Roman" w:eastAsia="黑体" w:cs="Times New Roman"/>
          <w:bCs/>
          <w:color w:val="auto"/>
          <w:sz w:val="24"/>
          <w:szCs w:val="32"/>
          <w:highlight w:val="none"/>
        </w:rPr>
        <w:t>3.3</w:t>
      </w:r>
      <w:bookmarkEnd w:id="82"/>
      <w:bookmarkEnd w:id="83"/>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default" w:ascii="Times New Roman" w:hAnsi="Times New Roman" w:eastAsia="宋体" w:cs="Times New Roman"/>
          <w:color w:val="auto"/>
          <w:szCs w:val="21"/>
          <w:highlight w:val="none"/>
          <w:u w:val="none"/>
          <w:lang w:val="en-US" w:eastAsia="zh-CN"/>
        </w:rPr>
        <w:t>90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4" w:name="_Toc14201230"/>
      <w:bookmarkStart w:id="85" w:name="_Toc26656961"/>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资格审查资料</w:t>
      </w:r>
      <w:bookmarkEnd w:id="84"/>
      <w:bookmarkEnd w:id="85"/>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第六章“响应文件格式”的</w:t>
      </w:r>
      <w:r>
        <w:rPr>
          <w:rFonts w:hint="default" w:ascii="Times New Roman" w:hAnsi="Times New Roman" w:cs="Times New Roman"/>
          <w:color w:val="auto"/>
          <w:highlight w:val="none"/>
        </w:rPr>
        <w:t>规定提供资格审查资料，以证明其满足本章第1.</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w:t>
      </w:r>
      <w:r>
        <w:rPr>
          <w:rFonts w:hint="default" w:ascii="Times New Roman" w:hAnsi="Times New Roman" w:cs="Times New Roman"/>
          <w:color w:val="auto"/>
          <w:highlight w:val="none"/>
          <w:lang w:val="en-US" w:eastAsia="zh-CN"/>
        </w:rPr>
        <w:t>能力、</w:t>
      </w:r>
      <w:r>
        <w:rPr>
          <w:rFonts w:hint="default" w:ascii="Times New Roman" w:hAnsi="Times New Roman" w:cs="Times New Roman"/>
          <w:color w:val="auto"/>
          <w:highlight w:val="none"/>
        </w:rPr>
        <w:t>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6" w:name="_Toc26656963"/>
      <w:bookmarkStart w:id="87" w:name="_Toc14201232"/>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86"/>
      <w:bookmarkEnd w:id="8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有关框架协议执行有效期、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default"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bookmarkStart w:id="88" w:name="_Toc26656964"/>
      <w:bookmarkStart w:id="89" w:name="_Toc14201233"/>
      <w:bookmarkStart w:id="90" w:name="_Toc9067723"/>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u w:val="single"/>
          <w:lang w:val="en-US" w:eastAsia="zh-CN"/>
        </w:rPr>
        <w:t xml:space="preserve"> 一 </w:t>
      </w:r>
      <w:r>
        <w:rPr>
          <w:rFonts w:hint="default" w:ascii="Times New Roman" w:hAnsi="Times New Roman" w:cs="Times New Roman"/>
          <w:color w:val="auto"/>
          <w:highlight w:val="none"/>
        </w:rPr>
        <w:t>份数。正本和副本的封面右上角上应清楚地标记“正本”或“副本”的字样。当副本和正本不一致时，以正本文件为准。</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统一密封在信封封套中。</w:t>
      </w:r>
    </w:p>
    <w:p>
      <w:pPr>
        <w:spacing w:line="440" w:lineRule="exact"/>
        <w:ind w:firstLine="42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（3）电子版U盘：</w:t>
      </w:r>
      <w:r>
        <w:rPr>
          <w:rFonts w:hint="eastAsia" w:ascii="Times New Roman" w:hAnsi="Times New Roman" w:eastAsia="宋体" w:cs="Times New Roman"/>
          <w:color w:val="auto"/>
          <w:highlight w:val="none"/>
          <w:u w:val="none"/>
          <w:lang w:val="en-US" w:eastAsia="zh-CN"/>
        </w:rPr>
        <w:t>U盘内投入</w:t>
      </w:r>
      <w:r>
        <w:rPr>
          <w:rFonts w:hint="eastAsia" w:ascii="Times New Roman" w:hAnsi="Times New Roman" w:eastAsia="宋体" w:cs="Times New Roman"/>
          <w:color w:val="auto"/>
          <w:highlight w:val="none"/>
          <w:lang w:val="en-US" w:eastAsia="zh-CN"/>
        </w:rPr>
        <w:t>本次</w:t>
      </w:r>
      <w:r>
        <w:rPr>
          <w:rFonts w:hint="default" w:ascii="Times New Roman" w:hAnsi="Times New Roman" w:eastAsia="宋体" w:cs="Times New Roman"/>
          <w:color w:val="auto"/>
          <w:highlight w:val="none"/>
        </w:rPr>
        <w:t>响应文件</w:t>
      </w:r>
      <w:r>
        <w:rPr>
          <w:rFonts w:hint="eastAsia" w:ascii="Times New Roman" w:hAnsi="Times New Roman" w:eastAsia="宋体" w:cs="Times New Roman"/>
          <w:color w:val="auto"/>
          <w:highlight w:val="none"/>
          <w:lang w:val="en-US" w:eastAsia="zh-CN"/>
        </w:rPr>
        <w:t>的</w:t>
      </w:r>
      <w:r>
        <w:rPr>
          <w:rFonts w:hint="default" w:ascii="Times New Roman" w:hAnsi="Times New Roman" w:eastAsia="宋体" w:cs="Times New Roman"/>
          <w:color w:val="auto"/>
          <w:highlight w:val="none"/>
        </w:rPr>
        <w:t>盖章扫描件备查</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U盘上贴注</w:t>
      </w:r>
      <w:r>
        <w:rPr>
          <w:rFonts w:hint="eastAsia" w:ascii="Times New Roman" w:hAnsi="Times New Roman" w:eastAsia="宋体" w:cs="Times New Roman"/>
          <w:color w:val="auto"/>
          <w:highlight w:val="none"/>
          <w:lang w:val="en-US" w:eastAsia="zh-CN"/>
        </w:rPr>
        <w:t>格式如下：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657" w:type="dxa"/>
            <w:vAlign w:val="center"/>
          </w:tcPr>
          <w:p>
            <w:pPr>
              <w:pStyle w:val="2"/>
              <w:jc w:val="both"/>
              <w:rPr>
                <w:rFonts w:hint="eastAsia" w:eastAsia="宋体"/>
                <w:u w:val="none"/>
                <w:lang w:val="en-US" w:eastAsia="zh-CN"/>
              </w:rPr>
            </w:pPr>
            <w:r>
              <w:rPr>
                <w:rFonts w:hint="eastAsia"/>
                <w:lang w:val="en-US" w:eastAsia="zh-CN"/>
              </w:rPr>
              <w:t>项目名称：</w:t>
            </w:r>
            <w:r>
              <w:rPr>
                <w:rFonts w:hint="default" w:ascii="Times New Roman" w:hAnsi="Times New Roman" w:eastAsia="宋体" w:cs="Times New Roman"/>
                <w:color w:val="auto"/>
                <w:highlight w:val="none"/>
                <w:u w:val="single"/>
              </w:rPr>
              <w:t>20</w:t>
            </w:r>
            <w:r>
              <w:rPr>
                <w:rFonts w:hint="default" w:ascii="Times New Roman" w:hAnsi="Times New Roman" w:eastAsia="宋体" w:cs="Times New Roman"/>
                <w:color w:val="auto"/>
                <w:highlight w:val="none"/>
                <w:u w:val="single"/>
                <w:lang w:val="en-US" w:eastAsia="zh-CN"/>
              </w:rPr>
              <w:t>22</w:t>
            </w:r>
            <w:r>
              <w:rPr>
                <w:rFonts w:hint="default" w:ascii="Times New Roman" w:hAnsi="Times New Roman" w:eastAsia="宋体" w:cs="Times New Roman"/>
                <w:color w:val="auto"/>
                <w:highlight w:val="none"/>
                <w:u w:val="single"/>
              </w:rPr>
              <w:t>~202</w:t>
            </w:r>
            <w:r>
              <w:rPr>
                <w:rFonts w:hint="default" w:ascii="Times New Roman" w:hAnsi="Times New Roman" w:eastAsia="宋体" w:cs="Times New Roman"/>
                <w:color w:val="auto"/>
                <w:highlight w:val="none"/>
                <w:u w:val="single"/>
                <w:lang w:val="en-US" w:eastAsia="zh-CN"/>
              </w:rPr>
              <w:t>4</w:t>
            </w:r>
            <w:r>
              <w:rPr>
                <w:rFonts w:hint="default" w:ascii="Times New Roman" w:hAnsi="Times New Roman" w:eastAsia="宋体" w:cs="Times New Roman"/>
                <w:color w:val="auto"/>
                <w:highlight w:val="none"/>
                <w:u w:val="single"/>
              </w:rPr>
              <w:t>年度工地试验室试验检测仪器设备检定/校准服务量值溯源机构定点库采购</w:t>
            </w:r>
          </w:p>
          <w:p>
            <w:pPr>
              <w:pStyle w:val="3"/>
              <w:jc w:val="both"/>
              <w:rPr>
                <w:rFonts w:hint="default"/>
                <w:u w:val="none"/>
                <w:lang w:val="en-US" w:eastAsia="zh-CN"/>
              </w:rPr>
            </w:pPr>
            <w:r>
              <w:rPr>
                <w:rFonts w:hint="eastAsia" w:asciiTheme="minorHAnsi" w:hAnsiTheme="minorHAnsi" w:eastAsiaTheme="minorEastAsia" w:cstheme="minorBidi"/>
                <w:b w:val="0"/>
                <w:bCs w:val="0"/>
                <w:kern w:val="2"/>
                <w:sz w:val="21"/>
                <w:szCs w:val="24"/>
                <w:lang w:val="en-US" w:eastAsia="zh-CN" w:bidi="ar-SA"/>
              </w:rPr>
              <w:t>供应商名称：</w:t>
            </w:r>
            <w:r>
              <w:rPr>
                <w:rFonts w:hint="eastAsia" w:asciiTheme="minorHAnsi" w:hAnsiTheme="minorHAnsi" w:cstheme="minorBidi"/>
                <w:b w:val="0"/>
                <w:bCs w:val="0"/>
                <w:kern w:val="2"/>
                <w:sz w:val="21"/>
                <w:szCs w:val="24"/>
                <w:u w:val="single"/>
                <w:lang w:val="en-US" w:eastAsia="zh-CN" w:bidi="ar-SA"/>
              </w:rPr>
              <w:t xml:space="preserve">                             </w:t>
            </w:r>
          </w:p>
        </w:tc>
      </w:tr>
    </w:tbl>
    <w:p>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装订要求：响应文件应</w:t>
      </w:r>
      <w:r>
        <w:rPr>
          <w:rFonts w:hint="eastAsia" w:ascii="Times New Roman" w:hAnsi="Times New Roman" w:eastAsia="宋体" w:cs="Times New Roman"/>
          <w:color w:val="auto"/>
          <w:highlight w:val="none"/>
        </w:rPr>
        <w:t>用A4纸</w:t>
      </w:r>
      <w:r>
        <w:rPr>
          <w:rFonts w:hint="default" w:ascii="Times New Roman" w:hAnsi="Times New Roman" w:eastAsia="宋体" w:cs="Times New Roman"/>
          <w:color w:val="auto"/>
          <w:highlight w:val="none"/>
        </w:rPr>
        <w:t>胶装成册并标注连续页码，不允许活页装订，并逐页加盖公章，</w:t>
      </w:r>
      <w:r>
        <w:rPr>
          <w:rFonts w:hint="eastAsia" w:ascii="Times New Roman" w:hAnsi="Times New Roman" w:eastAsia="宋体" w:cs="Times New Roman"/>
          <w:color w:val="auto"/>
          <w:highlight w:val="none"/>
        </w:rPr>
        <w:t>采购人不承担因此造成的任何后果。</w:t>
      </w:r>
    </w:p>
    <w:p>
      <w:pPr>
        <w:spacing w:line="440" w:lineRule="exact"/>
        <w:ind w:firstLine="42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封套上应载明的信息：信封封套表面应标明供应商名称。封套的封口处加盖</w:t>
      </w:r>
      <w:r>
        <w:rPr>
          <w:rFonts w:hint="eastAsia" w:ascii="Times New Roman" w:hAnsi="Times New Roman" w:eastAsia="宋体" w:cs="Times New Roman"/>
          <w:color w:val="auto"/>
          <w:highlight w:val="none"/>
        </w:rPr>
        <w:t>供应商</w:t>
      </w:r>
      <w:r>
        <w:rPr>
          <w:rFonts w:hint="default" w:ascii="Times New Roman" w:hAnsi="Times New Roman" w:eastAsia="宋体" w:cs="Times New Roman"/>
          <w:color w:val="auto"/>
          <w:highlight w:val="none"/>
        </w:rPr>
        <w:t>单位</w:t>
      </w:r>
      <w:r>
        <w:rPr>
          <w:rFonts w:hint="eastAsia" w:ascii="Times New Roman" w:hAnsi="Times New Roman" w:eastAsia="宋体" w:cs="Times New Roman"/>
          <w:color w:val="auto"/>
          <w:highlight w:val="none"/>
        </w:rPr>
        <w:t>公</w:t>
      </w:r>
      <w:r>
        <w:rPr>
          <w:rFonts w:hint="default" w:ascii="Times New Roman" w:hAnsi="Times New Roman" w:eastAsia="宋体" w:cs="Times New Roman"/>
          <w:color w:val="auto"/>
          <w:highlight w:val="none"/>
        </w:rPr>
        <w:t>章或由法定代表人（单位负责人）或其授权的代理人签字。</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 </w:t>
      </w:r>
      <w:bookmarkEnd w:id="88"/>
      <w:bookmarkEnd w:id="89"/>
      <w:bookmarkEnd w:id="90"/>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1" w:name="_Toc14201234"/>
      <w:bookmarkStart w:id="92" w:name="_Toc26656965"/>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1"/>
      <w:bookmarkEnd w:id="9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default" w:ascii="Times New Roman" w:hAnsi="Times New Roman" w:cs="Times New Roman"/>
          <w:color w:val="auto"/>
          <w:highlight w:val="none"/>
          <w:lang w:val="en-US" w:eastAsia="zh-CN"/>
        </w:rPr>
        <w:t>在一个封套内</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default" w:ascii="Times New Roman" w:hAnsi="Times New Roman" w:eastAsia="黑体" w:cs="Times New Roman"/>
          <w:bCs/>
          <w:snapToGrid w:val="0"/>
          <w:color w:val="auto"/>
          <w:kern w:val="0"/>
          <w:szCs w:val="21"/>
          <w:highlight w:val="none"/>
        </w:rPr>
      </w:pPr>
      <w:r>
        <w:rPr>
          <w:rFonts w:hint="default" w:ascii="Times New Roman" w:hAnsi="Times New Roman" w:eastAsia="黑体" w:cs="Times New Roman"/>
          <w:bCs/>
          <w:snapToGrid w:val="0"/>
          <w:color w:val="auto"/>
          <w:kern w:val="0"/>
          <w:szCs w:val="21"/>
          <w:highlight w:val="none"/>
          <w:lang w:eastAsia="zh-CN"/>
        </w:rPr>
        <w:t>供应商</w:t>
      </w:r>
      <w:r>
        <w:rPr>
          <w:rFonts w:hint="default" w:ascii="Times New Roman" w:hAnsi="Times New Roman" w:eastAsia="黑体" w:cs="Times New Roman"/>
          <w:bCs/>
          <w:snapToGrid w:val="0"/>
          <w:color w:val="auto"/>
          <w:kern w:val="0"/>
          <w:szCs w:val="21"/>
          <w:highlight w:val="none"/>
        </w:rPr>
        <w:t>名称：</w:t>
      </w:r>
      <w:r>
        <w:rPr>
          <w:rFonts w:hint="default" w:ascii="Times New Roman" w:hAnsi="Times New Roman" w:eastAsia="黑体" w:cs="Times New Roman"/>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default" w:ascii="Times New Roman" w:hAnsi="Times New Roman" w:eastAsia="黑体" w:cs="Times New Roman"/>
          <w:bCs/>
          <w:snapToGrid w:val="0"/>
          <w:color w:val="auto"/>
          <w:kern w:val="0"/>
          <w:szCs w:val="21"/>
          <w:highlight w:val="none"/>
          <w:lang w:eastAsia="zh-CN"/>
        </w:rPr>
      </w:pP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(项目</w:t>
      </w:r>
      <w:r>
        <w:rPr>
          <w:rFonts w:hint="default" w:ascii="Times New Roman" w:hAnsi="Times New Roman" w:eastAsia="黑体" w:cs="Times New Roman"/>
          <w:bCs w:val="0"/>
          <w:snapToGrid/>
          <w:color w:val="auto"/>
          <w:kern w:val="2"/>
          <w:szCs w:val="24"/>
          <w:highlight w:val="none"/>
        </w:rPr>
        <w:t>名称</w:t>
      </w:r>
      <w:r>
        <w:rPr>
          <w:rFonts w:hint="default" w:ascii="Times New Roman" w:hAnsi="Times New Roman" w:eastAsia="黑体" w:cs="Times New Roman"/>
          <w:bCs/>
          <w:snapToGrid w:val="0"/>
          <w:color w:val="auto"/>
          <w:kern w:val="0"/>
          <w:szCs w:val="21"/>
          <w:highlight w:val="none"/>
        </w:rPr>
        <w:t>)</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lang w:val="en-US" w:eastAsia="zh-CN"/>
        </w:rPr>
        <w:t>合同包</w:t>
      </w:r>
      <w:r>
        <w:rPr>
          <w:rFonts w:hint="default" w:ascii="Times New Roman" w:hAnsi="Times New Roman" w:eastAsia="黑体" w:cs="Times New Roman"/>
          <w:bCs/>
          <w:snapToGrid w:val="0"/>
          <w:color w:val="auto"/>
          <w:kern w:val="0"/>
          <w:szCs w:val="21"/>
          <w:highlight w:val="none"/>
          <w:lang w:eastAsia="zh-CN"/>
        </w:rPr>
        <w:t>响应文件</w:t>
      </w:r>
    </w:p>
    <w:p>
      <w:pPr>
        <w:spacing w:line="440" w:lineRule="exact"/>
        <w:ind w:firstLine="420"/>
        <w:rPr>
          <w:rFonts w:hint="default" w:ascii="Times New Roman" w:hAnsi="Times New Roman" w:eastAsia="黑体" w:cs="Times New Roman"/>
          <w:color w:val="auto"/>
          <w:highlight w:val="none"/>
        </w:rPr>
      </w:pPr>
      <w:r>
        <w:rPr>
          <w:rFonts w:hint="default" w:ascii="Times New Roman" w:hAnsi="Times New Roman" w:eastAsia="黑体" w:cs="Times New Roman"/>
          <w:bCs/>
          <w:snapToGrid w:val="0"/>
          <w:color w:val="auto"/>
          <w:kern w:val="0"/>
          <w:szCs w:val="21"/>
          <w:highlight w:val="none"/>
        </w:rPr>
        <w:t>在</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年</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月</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日</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时</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分</w:t>
      </w:r>
      <w:r>
        <w:rPr>
          <w:rFonts w:hint="default" w:ascii="Times New Roman" w:hAnsi="Times New Roman" w:eastAsia="黑体" w:cs="Times New Roman"/>
          <w:bCs/>
          <w:snapToGrid w:val="0"/>
          <w:color w:val="auto"/>
          <w:kern w:val="0"/>
          <w:szCs w:val="21"/>
          <w:highlight w:val="none"/>
          <w:lang w:eastAsia="zh-CN"/>
        </w:rPr>
        <w:t>（</w:t>
      </w:r>
      <w:r>
        <w:rPr>
          <w:rFonts w:hint="default" w:ascii="Times New Roman" w:hAnsi="Times New Roman" w:eastAsia="黑体" w:cs="Times New Roman"/>
          <w:bCs/>
          <w:snapToGrid w:val="0"/>
          <w:color w:val="auto"/>
          <w:kern w:val="0"/>
          <w:szCs w:val="21"/>
          <w:highlight w:val="none"/>
          <w:lang w:val="en-US" w:eastAsia="zh-CN"/>
        </w:rPr>
        <w:t>递交响应文件的截止时间</w:t>
      </w:r>
      <w:r>
        <w:rPr>
          <w:rFonts w:hint="default" w:ascii="Times New Roman" w:hAnsi="Times New Roman" w:eastAsia="黑体" w:cs="Times New Roman"/>
          <w:bCs/>
          <w:snapToGrid w:val="0"/>
          <w:color w:val="auto"/>
          <w:kern w:val="0"/>
          <w:szCs w:val="21"/>
          <w:highlight w:val="none"/>
          <w:lang w:eastAsia="zh-CN"/>
        </w:rPr>
        <w:t>）</w:t>
      </w:r>
      <w:r>
        <w:rPr>
          <w:rFonts w:hint="default" w:ascii="Times New Roman" w:hAnsi="Times New Roman" w:eastAsia="黑体" w:cs="Times New Roman"/>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s="Times New Roman"/>
          <w:color w:val="auto"/>
          <w:highlight w:val="none"/>
        </w:rPr>
        <w:t>未按本章第4.1.1项要求密封的</w:t>
      </w:r>
      <w:r>
        <w:rPr>
          <w:rFonts w:hint="default" w:ascii="Times New Roman" w:hAnsi="Times New Roman" w:cs="Times New Roman"/>
          <w:color w:val="auto"/>
          <w:highlight w:val="none"/>
          <w:lang w:eastAsia="zh-CN"/>
        </w:rPr>
        <w:t>响应文件</w:t>
      </w:r>
      <w:r>
        <w:rPr>
          <w:rFonts w:ascii="Times New Roman" w:hAnsi="Times New Roman" w:cs="Times New Roman"/>
          <w:color w:val="auto"/>
          <w:highlight w:val="none"/>
        </w:rPr>
        <w:t>，</w:t>
      </w:r>
      <w:r>
        <w:rPr>
          <w:rFonts w:hint="default" w:ascii="Times New Roman" w:hAnsi="Times New Roman" w:cs="Times New Roman"/>
          <w:color w:val="auto"/>
          <w:highlight w:val="none"/>
          <w:lang w:eastAsia="zh-CN"/>
        </w:rPr>
        <w:t>采购人</w:t>
      </w:r>
      <w:r>
        <w:rPr>
          <w:rFonts w:ascii="Times New Roman" w:hAnsi="Times New Roman" w:cs="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3" w:name="_Toc14201235"/>
      <w:bookmarkStart w:id="94"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3"/>
      <w:bookmarkEnd w:id="9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default" w:ascii="Times New Roman" w:hAnsi="Times New Roman" w:cs="Times New Roman"/>
          <w:color w:val="auto"/>
          <w:highlight w:val="none"/>
          <w:lang w:val="en-US" w:eastAsia="zh-CN"/>
        </w:rPr>
        <w:t>按照第一章“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default" w:ascii="Times New Roman" w:hAnsi="Times New Roman" w:cs="Times New Roman"/>
          <w:color w:val="auto"/>
          <w:kern w:val="2"/>
          <w:sz w:val="21"/>
          <w:szCs w:val="24"/>
          <w:highlight w:val="none"/>
          <w:lang w:val="en-US" w:eastAsia="zh-CN" w:bidi="ar-SA"/>
        </w:rPr>
        <w:t>递交响应文件的</w:t>
      </w:r>
      <w:r>
        <w:rPr>
          <w:rFonts w:hint="eastAsia" w:ascii="Times New Roman" w:hAnsi="Times New Roman" w:cs="Times New Roman"/>
          <w:color w:val="auto"/>
          <w:kern w:val="2"/>
          <w:sz w:val="21"/>
          <w:szCs w:val="24"/>
          <w:highlight w:val="none"/>
          <w:lang w:val="en-US" w:eastAsia="zh-CN" w:bidi="ar-SA"/>
        </w:rPr>
        <w:t>有效</w:t>
      </w:r>
      <w:r>
        <w:rPr>
          <w:rFonts w:hint="default" w:ascii="Times New Roman" w:hAnsi="Times New Roman" w:cs="Times New Roman"/>
          <w:color w:val="auto"/>
          <w:kern w:val="2"/>
          <w:sz w:val="21"/>
          <w:szCs w:val="24"/>
          <w:highlight w:val="none"/>
          <w:lang w:val="en-US" w:eastAsia="zh-CN" w:bidi="ar-SA"/>
        </w:rPr>
        <w:t>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eastAsiaTheme="minorEastAsia"/>
          <w:color w:val="auto"/>
          <w:kern w:val="2"/>
          <w:sz w:val="21"/>
          <w:szCs w:val="24"/>
          <w:highlight w:val="none"/>
          <w:lang w:val="en-US" w:eastAsia="zh-CN" w:bidi="ar-SA"/>
        </w:rPr>
        <w:t>4.2.</w:t>
      </w:r>
      <w:r>
        <w:rPr>
          <w:rFonts w:hint="default"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95" w:name="_Toc9067724"/>
      <w:bookmarkStart w:id="96" w:name="_Toc14201237"/>
      <w:bookmarkStart w:id="97" w:name="_Toc26656968"/>
      <w:r>
        <w:rPr>
          <w:rFonts w:hint="default" w:ascii="Times New Roman" w:hAnsi="Times New Roman" w:eastAsia="黑体" w:cs="Times New Roman"/>
          <w:bCs/>
          <w:color w:val="auto"/>
          <w:sz w:val="24"/>
          <w:szCs w:val="32"/>
          <w:highlight w:val="none"/>
        </w:rPr>
        <w:t xml:space="preserve">5. </w:t>
      </w:r>
      <w:bookmarkEnd w:id="95"/>
      <w:bookmarkEnd w:id="96"/>
      <w:bookmarkEnd w:id="97"/>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8" w:name="_Toc14201238"/>
      <w:bookmarkStart w:id="99" w:name="_Toc26656969"/>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98"/>
      <w:bookmarkEnd w:id="9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default" w:ascii="Times New Roman" w:hAnsi="Times New Roman" w:cs="Times New Roman"/>
          <w:color w:val="auto"/>
          <w:highlight w:val="none"/>
          <w:lang w:val="en-US" w:eastAsia="zh-CN"/>
        </w:rPr>
        <w:t>按照第一章“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0" w:name="_Toc14201239"/>
      <w:bookmarkStart w:id="101" w:name="_Toc26656970"/>
      <w:r>
        <w:rPr>
          <w:rFonts w:hint="default" w:ascii="Times New Roman" w:hAnsi="Times New Roman" w:eastAsia="黑体" w:cs="Times New Roman"/>
          <w:bCs/>
          <w:color w:val="auto"/>
          <w:sz w:val="24"/>
          <w:szCs w:val="32"/>
          <w:highlight w:val="none"/>
        </w:rPr>
        <w:t>5.2</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100"/>
      <w:bookmarkEnd w:id="10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default" w:ascii="Times New Roman" w:hAnsi="Times New Roman" w:cs="Times New Roman"/>
          <w:color w:val="auto"/>
          <w:sz w:val="21"/>
          <w:szCs w:val="22"/>
          <w:highlight w:val="none"/>
          <w:u w:val="none"/>
          <w:lang w:val="en-US" w:eastAsia="zh-CN"/>
        </w:rPr>
        <w:t>框架协议执行有效期</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lang w:val="en-US" w:eastAsia="zh-CN"/>
        </w:rPr>
        <w:t>供应商</w:t>
      </w:r>
      <w:r>
        <w:rPr>
          <w:rFonts w:ascii="Times New Roman" w:hAnsi="Times New Roman" w:cs="Times New Roman"/>
          <w:color w:val="auto"/>
          <w:highlight w:val="none"/>
        </w:rPr>
        <w:t>代表、</w:t>
      </w:r>
      <w:r>
        <w:rPr>
          <w:rFonts w:hint="default" w:ascii="Times New Roman" w:hAnsi="Times New Roman" w:cs="Times New Roman"/>
          <w:color w:val="auto"/>
          <w:highlight w:val="none"/>
          <w:lang w:val="en-US" w:eastAsia="zh-CN"/>
        </w:rPr>
        <w:t>采购</w:t>
      </w:r>
      <w:r>
        <w:rPr>
          <w:rFonts w:ascii="Times New Roman" w:hAnsi="Times New Roman" w:cs="Times New Roman"/>
          <w:color w:val="auto"/>
          <w:highlight w:val="none"/>
        </w:rPr>
        <w:t>人代表等有关人员在</w:t>
      </w:r>
      <w:r>
        <w:rPr>
          <w:rFonts w:hint="default" w:ascii="Times New Roman" w:hAnsi="Times New Roman" w:cs="Times New Roman"/>
          <w:color w:val="auto"/>
          <w:highlight w:val="none"/>
          <w:lang w:val="en-US" w:eastAsia="zh-CN"/>
        </w:rPr>
        <w:t>启封</w:t>
      </w:r>
      <w:r>
        <w:rPr>
          <w:rFonts w:ascii="Times New Roman" w:hAnsi="Times New Roman" w:cs="Times New Roman"/>
          <w:color w:val="auto"/>
          <w:highlight w:val="none"/>
        </w:rPr>
        <w:t>记录上</w:t>
      </w:r>
      <w:r>
        <w:rPr>
          <w:rFonts w:hint="default" w:ascii="Times New Roman" w:hAnsi="Times New Roman" w:cs="Times New Roman"/>
          <w:color w:val="auto"/>
          <w:highlight w:val="none"/>
          <w:lang w:eastAsia="zh-CN"/>
        </w:rPr>
        <w:t>签名</w:t>
      </w:r>
      <w:r>
        <w:rPr>
          <w:rFonts w:ascii="Times New Roman" w:hAnsi="Times New Roman" w:cs="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lang w:val="en-US" w:eastAsia="zh-CN"/>
        </w:rPr>
        <w:t>在启封过程中</w:t>
      </w:r>
      <w:r>
        <w:rPr>
          <w:rFonts w:hint="default" w:ascii="Times New Roman" w:hAnsi="Times New Roman" w:cs="Times New Roman"/>
          <w:color w:val="auto"/>
          <w:highlight w:val="none"/>
        </w:rPr>
        <w:t>有</w:t>
      </w:r>
      <w:r>
        <w:rPr>
          <w:rFonts w:hint="default"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default"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2" w:name="_Toc14201241"/>
      <w:bookmarkStart w:id="103" w:name="_Toc26656972"/>
      <w:bookmarkStart w:id="104" w:name="_Toc9067725"/>
      <w:r>
        <w:rPr>
          <w:rFonts w:hint="default" w:ascii="Times New Roman" w:hAnsi="Times New Roman" w:eastAsia="黑体" w:cs="Times New Roman"/>
          <w:bCs/>
          <w:color w:val="auto"/>
          <w:sz w:val="24"/>
          <w:szCs w:val="32"/>
          <w:highlight w:val="none"/>
        </w:rPr>
        <w:t>6. 评</w:t>
      </w:r>
      <w:bookmarkEnd w:id="102"/>
      <w:bookmarkEnd w:id="103"/>
      <w:bookmarkEnd w:id="104"/>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5" w:name="_Toc14201242"/>
      <w:bookmarkStart w:id="106" w:name="_Toc26656973"/>
      <w:r>
        <w:rPr>
          <w:rFonts w:hint="default" w:ascii="Times New Roman" w:hAnsi="Times New Roman" w:eastAsia="黑体" w:cs="Times New Roman"/>
          <w:bCs/>
          <w:color w:val="auto"/>
          <w:sz w:val="24"/>
          <w:szCs w:val="32"/>
          <w:highlight w:val="none"/>
        </w:rPr>
        <w:t>6.1</w:t>
      </w:r>
      <w:bookmarkEnd w:id="105"/>
      <w:bookmarkEnd w:id="106"/>
      <w:r>
        <w:rPr>
          <w:rFonts w:hint="default"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lang w:val="en-US" w:eastAsia="zh-CN"/>
        </w:rPr>
        <w:t>人数</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7" w:name="_Toc14201244"/>
      <w:bookmarkStart w:id="108" w:name="_Toc26656975"/>
      <w:r>
        <w:rPr>
          <w:rFonts w:hint="default" w:ascii="Times New Roman" w:hAnsi="Times New Roman" w:eastAsia="黑体" w:cs="Times New Roman"/>
          <w:bCs/>
          <w:color w:val="auto"/>
          <w:sz w:val="24"/>
          <w:szCs w:val="32"/>
          <w:highlight w:val="none"/>
        </w:rPr>
        <w:t>6.</w:t>
      </w:r>
      <w:r>
        <w:rPr>
          <w:rFonts w:hint="default"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07"/>
      <w:bookmarkEnd w:id="108"/>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入围</w:t>
      </w:r>
      <w:r>
        <w:rPr>
          <w:rFonts w:hint="default" w:ascii="Times New Roman" w:hAnsi="Times New Roman" w:cs="Times New Roman"/>
          <w:color w:val="auto"/>
          <w:highlight w:val="none"/>
        </w:rPr>
        <w:t>候选人名单。</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入围候选人的数量见第一章“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”第2.7款</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09" w:name="_Toc9067726"/>
      <w:bookmarkStart w:id="110" w:name="_Toc14201245"/>
      <w:bookmarkStart w:id="111" w:name="_Toc26656976"/>
      <w:r>
        <w:rPr>
          <w:rFonts w:hint="default" w:ascii="Times New Roman" w:hAnsi="Times New Roman" w:eastAsia="黑体" w:cs="Times New Roman"/>
          <w:bCs/>
          <w:color w:val="auto"/>
          <w:sz w:val="24"/>
          <w:szCs w:val="32"/>
          <w:highlight w:val="none"/>
        </w:rPr>
        <w:t>7. 合同授予</w:t>
      </w:r>
      <w:bookmarkEnd w:id="109"/>
      <w:bookmarkEnd w:id="110"/>
      <w:bookmarkEnd w:id="111"/>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2" w:name="_Toc26656977"/>
      <w:bookmarkStart w:id="113"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val="en-US" w:eastAsia="zh-CN"/>
        </w:rPr>
        <w:t>入围</w:t>
      </w:r>
      <w:r>
        <w:rPr>
          <w:rFonts w:hint="default" w:ascii="Times New Roman" w:hAnsi="Times New Roman" w:eastAsia="黑体" w:cs="Times New Roman"/>
          <w:bCs/>
          <w:color w:val="auto"/>
          <w:sz w:val="24"/>
          <w:szCs w:val="32"/>
          <w:highlight w:val="none"/>
          <w:lang w:eastAsia="zh-CN"/>
        </w:rPr>
        <w:t>候选人</w:t>
      </w:r>
      <w:r>
        <w:rPr>
          <w:rFonts w:hint="default" w:ascii="Times New Roman" w:hAnsi="Times New Roman" w:eastAsia="黑体" w:cs="Times New Roman"/>
          <w:bCs/>
          <w:color w:val="auto"/>
          <w:sz w:val="24"/>
          <w:szCs w:val="32"/>
          <w:highlight w:val="none"/>
        </w:rPr>
        <w:t>公示</w:t>
      </w:r>
      <w:bookmarkEnd w:id="112"/>
      <w:bookmarkEnd w:id="113"/>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w:t>
      </w:r>
      <w:r>
        <w:rPr>
          <w:rFonts w:hint="eastAsia" w:ascii="Times New Roman" w:hAnsi="Times New Roman" w:cs="Times New Roman"/>
          <w:color w:val="auto"/>
          <w:highlight w:val="none"/>
          <w:lang w:val="en-US" w:eastAsia="zh-CN"/>
        </w:rPr>
        <w:t>为3</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4" w:name="_Toc26656978"/>
      <w:bookmarkStart w:id="115"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14"/>
      <w:bookmarkEnd w:id="115"/>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kern w:val="2"/>
          <w:sz w:val="21"/>
          <w:szCs w:val="24"/>
          <w:highlight w:val="none"/>
          <w:lang w:val="en-US" w:eastAsia="zh-CN" w:bidi="ar-SA"/>
        </w:rPr>
        <w:t>有效</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6" w:name="_Toc26656979"/>
      <w:bookmarkStart w:id="117"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入围候选人</w:t>
      </w:r>
      <w:r>
        <w:rPr>
          <w:rFonts w:hint="default" w:ascii="Times New Roman" w:hAnsi="Times New Roman" w:eastAsia="黑体" w:cs="Times New Roman"/>
          <w:bCs/>
          <w:color w:val="auto"/>
          <w:sz w:val="24"/>
          <w:szCs w:val="32"/>
          <w:highlight w:val="none"/>
        </w:rPr>
        <w:t>履约能力审查</w:t>
      </w:r>
      <w:bookmarkEnd w:id="116"/>
      <w:bookmarkEnd w:id="11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入围通知书</w:t>
      </w:r>
      <w:r>
        <w:rPr>
          <w:rFonts w:hint="default" w:ascii="Times New Roman" w:hAnsi="Times New Roman" w:cs="Times New Roman"/>
          <w:color w:val="auto"/>
          <w:highlight w:val="none"/>
        </w:rPr>
        <w:t>前提请原</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8" w:name="_Toc26656981"/>
      <w:bookmarkStart w:id="119" w:name="_Toc14201250"/>
      <w:r>
        <w:rPr>
          <w:rFonts w:hint="default" w:ascii="Times New Roman" w:hAnsi="Times New Roman" w:eastAsia="黑体" w:cs="Times New Roman"/>
          <w:bCs/>
          <w:color w:val="auto"/>
          <w:sz w:val="24"/>
          <w:szCs w:val="32"/>
          <w:highlight w:val="none"/>
        </w:rPr>
        <w:t>7.</w:t>
      </w:r>
      <w:bookmarkEnd w:id="118"/>
      <w:bookmarkEnd w:id="119"/>
      <w:bookmarkStart w:id="120" w:name="_Toc26656983"/>
      <w:bookmarkStart w:id="121" w:name="_Toc14201252"/>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20"/>
      <w:bookmarkEnd w:id="12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default"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r>
        <w:rPr>
          <w:rFonts w:hint="eastAsia" w:ascii="Times New Roman" w:hAnsi="Times New Roman" w:cs="Times New Roman"/>
          <w:color w:val="auto"/>
          <w:highlight w:val="none"/>
          <w:u w:val="single"/>
          <w:lang w:val="en-US" w:eastAsia="zh-CN"/>
        </w:rPr>
        <w:t>10000元</w:t>
      </w:r>
      <w:r>
        <w:rPr>
          <w:rFonts w:hint="default" w:ascii="Times New Roman" w:hAnsi="Times New Roman" w:cs="Times New Roman"/>
          <w:color w:val="auto"/>
          <w:highlight w:val="none"/>
          <w:lang w:val="en-US" w:eastAsia="zh-CN"/>
        </w:rPr>
        <w:t>，履约保证金的形式为</w:t>
      </w:r>
      <w:r>
        <w:rPr>
          <w:rFonts w:ascii="Times New Roman" w:hAnsi="Times New Roman" w:cs="Times New Roman"/>
          <w:color w:val="auto"/>
          <w:u w:val="single"/>
        </w:rPr>
        <w:t>银行转账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不能按本章第7.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入围</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2" w:name="_Toc26656984"/>
      <w:bookmarkStart w:id="123" w:name="_Toc14201253"/>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2"/>
      <w:bookmarkEnd w:id="123"/>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入围通知书</w:t>
      </w:r>
      <w:r>
        <w:rPr>
          <w:rFonts w:hint="default" w:ascii="Times New Roman" w:hAnsi="Times New Roman" w:cs="Times New Roman"/>
          <w:color w:val="auto"/>
          <w:highlight w:val="none"/>
        </w:rPr>
        <w:t>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w:t>
      </w:r>
      <w:r>
        <w:rPr>
          <w:rFonts w:hint="default" w:ascii="Times New Roman" w:hAnsi="Times New Roman" w:cs="Times New Roman"/>
          <w:color w:val="auto"/>
          <w:highlight w:val="none"/>
          <w:lang w:val="en-US" w:eastAsia="zh-CN"/>
        </w:rPr>
        <w:t>框架协议</w:t>
      </w:r>
      <w:r>
        <w:rPr>
          <w:rFonts w:hint="default" w:ascii="Times New Roman" w:hAnsi="Times New Roman" w:cs="Times New Roman"/>
          <w:color w:val="auto"/>
          <w:highlight w:val="none"/>
        </w:rPr>
        <w:t>合同。</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w:t>
      </w:r>
      <w:r>
        <w:rPr>
          <w:rFonts w:hint="eastAsia" w:ascii="Times New Roman" w:hAnsi="Times New Roman" w:cs="Times New Roman"/>
          <w:color w:val="auto"/>
          <w:highlight w:val="none"/>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24" w:name="_Toc14201257"/>
      <w:bookmarkStart w:id="125" w:name="_Toc9067727"/>
      <w:bookmarkStart w:id="126" w:name="_Toc26656988"/>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24"/>
      <w:bookmarkEnd w:id="125"/>
      <w:bookmarkEnd w:id="12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入围</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Lines="50" w:afterLines="50"/>
        <w:outlineLvl w:val="1"/>
        <w:rPr>
          <w:rFonts w:ascii="Times New Roman" w:hAnsi="Times New Roman" w:eastAsia="黑体" w:cs="Times New Roman"/>
          <w:bCs/>
          <w:color w:val="auto"/>
          <w:sz w:val="24"/>
          <w:szCs w:val="32"/>
        </w:rPr>
      </w:pPr>
      <w:bookmarkStart w:id="127" w:name="_Toc26656993"/>
      <w:bookmarkStart w:id="128" w:name="_Toc14201262"/>
      <w:r>
        <w:rPr>
          <w:rFonts w:hint="eastAsia" w:ascii="Times New Roman" w:hAnsi="Times New Roman" w:eastAsia="黑体" w:cs="Times New Roman"/>
          <w:bCs/>
          <w:color w:val="auto"/>
          <w:sz w:val="24"/>
          <w:szCs w:val="32"/>
        </w:rPr>
        <w:t>9</w:t>
      </w:r>
      <w:r>
        <w:rPr>
          <w:rFonts w:ascii="Times New Roman" w:hAnsi="Times New Roman" w:eastAsia="黑体" w:cs="Times New Roman"/>
          <w:bCs/>
          <w:color w:val="auto"/>
          <w:sz w:val="24"/>
          <w:szCs w:val="32"/>
        </w:rPr>
        <w:t xml:space="preserve"> 投诉</w:t>
      </w:r>
      <w:bookmarkEnd w:id="127"/>
      <w:bookmarkEnd w:id="128"/>
    </w:p>
    <w:p>
      <w:pPr>
        <w:spacing w:line="440" w:lineRule="exact"/>
        <w:ind w:firstLine="420"/>
      </w:pPr>
      <w:r>
        <w:rPr>
          <w:rFonts w:hint="eastAsia" w:ascii="Times New Roman" w:hAnsi="Times New Roman" w:cs="Times New Roman"/>
          <w:color w:val="auto"/>
        </w:rPr>
        <w:t>9</w:t>
      </w:r>
      <w:r>
        <w:rPr>
          <w:rFonts w:ascii="Times New Roman" w:hAnsi="Times New Roman" w:cs="Times New Roman"/>
          <w:color w:val="auto"/>
        </w:rPr>
        <w:t>.1 供应商或其他利害关系人认为询比活动不符合法律法规规定的，可以自知道或应当知道之日起10日内向有关监督部门投诉。投诉应有明确的请求和必要的证明材料。</w:t>
      </w:r>
    </w:p>
    <w:p>
      <w:pPr>
        <w:widowControl/>
        <w:spacing w:line="440" w:lineRule="exact"/>
        <w:ind w:firstLine="420"/>
        <w:jc w:val="left"/>
        <w:rPr>
          <w:rFonts w:ascii="Times New Roman" w:hAnsi="Times New Roman" w:cs="Times New Roman"/>
          <w:color w:val="auto"/>
        </w:rPr>
      </w:pPr>
      <w:r>
        <w:rPr>
          <w:rFonts w:hint="eastAsia" w:ascii="Times New Roman" w:hAnsi="Times New Roman" w:cs="Times New Roman"/>
          <w:color w:val="auto"/>
        </w:rPr>
        <w:t>9</w:t>
      </w:r>
      <w:r>
        <w:rPr>
          <w:rFonts w:ascii="Times New Roman" w:hAnsi="Times New Roman" w:cs="Times New Roman"/>
          <w:color w:val="auto"/>
        </w:rPr>
        <w:t>.2 监督部门</w:t>
      </w:r>
      <w:r>
        <w:rPr>
          <w:rFonts w:hint="eastAsia" w:ascii="Times New Roman" w:hAnsi="Times New Roman" w:cs="Times New Roman"/>
          <w:color w:val="auto"/>
        </w:rPr>
        <w:t>及</w:t>
      </w:r>
      <w:r>
        <w:rPr>
          <w:rFonts w:ascii="Times New Roman" w:hAnsi="Times New Roman" w:cs="Times New Roman"/>
          <w:color w:val="auto"/>
        </w:rPr>
        <w:t>联系方式</w:t>
      </w:r>
      <w:r>
        <w:rPr>
          <w:rFonts w:hint="eastAsia" w:ascii="Times New Roman" w:hAnsi="Times New Roman" w:cs="Times New Roman"/>
          <w:color w:val="auto"/>
        </w:rPr>
        <w:t>：</w:t>
      </w:r>
    </w:p>
    <w:p>
      <w:pPr>
        <w:widowControl/>
        <w:spacing w:line="440" w:lineRule="exact"/>
        <w:ind w:firstLine="420"/>
        <w:jc w:val="left"/>
        <w:rPr>
          <w:rFonts w:ascii="Times New Roman" w:hAnsi="Times New Roman" w:cs="Times New Roman"/>
          <w:color w:val="auto"/>
        </w:rPr>
      </w:pPr>
      <w:r>
        <w:rPr>
          <w:rFonts w:ascii="Times New Roman" w:hAnsi="Times New Roman" w:cs="Times New Roman"/>
          <w:color w:val="auto"/>
        </w:rPr>
        <w:t>（1）部门：</w:t>
      </w:r>
      <w:r>
        <w:rPr>
          <w:rFonts w:ascii="Times New Roman" w:hAnsi="Times New Roman" w:cs="Times New Roman"/>
          <w:color w:val="auto"/>
          <w:u w:val="single"/>
        </w:rPr>
        <w:t>安徽省高速公路试验检测科研中心有限公司党群工作部</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联系方式：</w:t>
      </w:r>
      <w:r>
        <w:rPr>
          <w:rFonts w:ascii="Times New Roman" w:hAnsi="Times New Roman" w:cs="Times New Roman"/>
          <w:color w:val="auto"/>
          <w:u w:val="single"/>
        </w:rPr>
        <w:t xml:space="preserve">0551-63813025 </w:t>
      </w:r>
    </w:p>
    <w:p>
      <w:pPr>
        <w:widowControl/>
        <w:jc w:val="left"/>
        <w:rPr>
          <w:rFonts w:ascii="Times New Roman" w:hAnsi="Times New Roman" w:cs="Times New Roman"/>
          <w:color w:val="auto"/>
        </w:rPr>
      </w:pPr>
      <w:r>
        <w:rPr>
          <w:rFonts w:ascii="Times New Roman" w:hAnsi="Times New Roman" w:cs="Times New Roman"/>
          <w:color w:val="auto"/>
        </w:rPr>
        <w:br w:type="page"/>
      </w: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eastAsia="宋体" w:cs="Times New Roman"/>
          <w:color w:val="auto"/>
          <w:highlight w:val="none"/>
        </w:rPr>
      </w:pPr>
    </w:p>
    <w:p>
      <w:pPr>
        <w:pStyle w:val="2"/>
        <w:rPr>
          <w:rFonts w:hint="default" w:ascii="Times New Roman" w:hAnsi="Times New Roman" w:eastAsia="宋体" w:cs="Times New Roman"/>
          <w:color w:val="auto"/>
          <w:highlight w:val="none"/>
        </w:rPr>
      </w:pPr>
    </w:p>
    <w:p>
      <w:pPr>
        <w:pStyle w:val="3"/>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2"/>
        <w:rPr>
          <w:rFonts w:hint="default" w:ascii="Times New Roman" w:hAnsi="Times New Roman" w:eastAsia="宋体" w:cs="Times New Roman"/>
          <w:color w:val="auto"/>
          <w:highlight w:val="none"/>
        </w:rPr>
      </w:pPr>
    </w:p>
    <w:p>
      <w:pPr>
        <w:pStyle w:val="3"/>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2"/>
        <w:rPr>
          <w:rFonts w:hint="default"/>
        </w:rPr>
      </w:pPr>
    </w:p>
    <w:p>
      <w:pPr>
        <w:pStyle w:val="4"/>
        <w:numPr>
          <w:ilvl w:val="0"/>
          <w:numId w:val="0"/>
        </w:numPr>
        <w:spacing w:before="240" w:after="240"/>
        <w:ind w:leftChars="0"/>
        <w:rPr>
          <w:rFonts w:hint="default" w:ascii="Times New Roman" w:hAnsi="Times New Roman" w:eastAsia="宋体" w:cs="Times New Roman"/>
          <w:color w:val="auto"/>
          <w:highlight w:val="none"/>
        </w:rPr>
      </w:pPr>
      <w:bookmarkStart w:id="129" w:name="_Toc20530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129"/>
    </w:p>
    <w:p>
      <w:pPr>
        <w:rPr>
          <w:rFonts w:hint="default" w:ascii="Times New Roman" w:hAnsi="Times New Roman" w:eastAsia="宋体" w:cs="Times New Roman"/>
          <w:color w:val="auto"/>
          <w:highlight w:val="none"/>
          <w:lang w:val="en-US" w:eastAsia="zh-CN"/>
        </w:rPr>
        <w:sectPr>
          <w:footerReference r:id="rId4"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spacing w:after="240" w:afterLines="100" w:line="420" w:lineRule="exact"/>
        <w:ind w:firstLine="0" w:firstLineChars="0"/>
        <w:jc w:val="center"/>
        <w:rPr>
          <w:rFonts w:hint="default" w:ascii="Times New Roman" w:hAnsi="Times New Roman" w:eastAsia="黑体" w:cs="Times New Roman"/>
          <w:color w:val="0000FF"/>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4"/>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3"/>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688" w:type="dxa"/>
            <w:gridSpan w:val="2"/>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入围候选人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adjustRightInd w:val="0"/>
              <w:snapToGrid w:val="0"/>
              <w:rPr>
                <w:rFonts w:hint="default" w:ascii="Times New Roman" w:hAnsi="Times New Roman" w:cs="Times New Roman" w:eastAsiaTheme="minorEastAsia"/>
                <w:color w:val="auto"/>
                <w:kern w:val="2"/>
                <w:szCs w:val="24"/>
                <w:highlight w:val="none"/>
                <w:lang w:val="en-US" w:eastAsia="zh-CN"/>
              </w:rPr>
            </w:pPr>
            <w:r>
              <w:rPr>
                <w:rFonts w:hint="default" w:ascii="Times New Roman" w:hAnsi="Times New Roman" w:cs="Times New Roman"/>
                <w:color w:val="auto"/>
                <w:highlight w:val="none"/>
                <w:lang w:val="en-US" w:eastAsia="zh-CN"/>
              </w:rPr>
              <w:t>按</w:t>
            </w:r>
            <w:r>
              <w:rPr>
                <w:rFonts w:hint="eastAsia" w:ascii="Times New Roman" w:hAnsi="Times New Roman" w:cs="Times New Roman"/>
                <w:color w:val="auto"/>
                <w:highlight w:val="none"/>
                <w:lang w:val="en-US" w:eastAsia="zh-CN"/>
              </w:rPr>
              <w:t>评审价</w:t>
            </w:r>
            <w:r>
              <w:rPr>
                <w:rFonts w:hint="default" w:ascii="Times New Roman" w:hAnsi="Times New Roman" w:cs="Times New Roman"/>
                <w:color w:val="auto"/>
                <w:highlight w:val="none"/>
                <w:lang w:val="en-US" w:eastAsia="zh-CN"/>
              </w:rPr>
              <w:t>由</w:t>
            </w:r>
            <w:r>
              <w:rPr>
                <w:rFonts w:hint="eastAsia" w:ascii="Times New Roman" w:hAnsi="Times New Roman" w:cs="Times New Roman"/>
                <w:color w:val="auto"/>
                <w:highlight w:val="none"/>
                <w:lang w:val="en-US" w:eastAsia="zh-CN"/>
              </w:rPr>
              <w:t>低</w:t>
            </w:r>
            <w:r>
              <w:rPr>
                <w:rFonts w:hint="default" w:ascii="Times New Roman" w:hAnsi="Times New Roman" w:cs="Times New Roman"/>
                <w:color w:val="auto"/>
                <w:highlight w:val="none"/>
                <w:lang w:val="en-US" w:eastAsia="zh-CN"/>
              </w:rPr>
              <w:t>到</w:t>
            </w:r>
            <w:r>
              <w:rPr>
                <w:rFonts w:hint="eastAsia" w:ascii="Times New Roman" w:hAnsi="Times New Roman" w:cs="Times New Roman"/>
                <w:color w:val="auto"/>
                <w:highlight w:val="none"/>
                <w:lang w:val="en-US" w:eastAsia="zh-CN"/>
              </w:rPr>
              <w:t>高</w:t>
            </w:r>
            <w:r>
              <w:rPr>
                <w:rFonts w:hint="default" w:ascii="Times New Roman" w:hAnsi="Times New Roman" w:cs="Times New Roman"/>
                <w:color w:val="auto"/>
                <w:highlight w:val="none"/>
                <w:lang w:val="en-US" w:eastAsia="zh-CN"/>
              </w:rPr>
              <w:t>的顺序</w:t>
            </w:r>
            <w:r>
              <w:rPr>
                <w:rFonts w:hint="default" w:ascii="Times New Roman" w:hAnsi="Times New Roman" w:cs="Times New Roman"/>
                <w:color w:val="auto"/>
                <w:highlight w:val="none"/>
              </w:rPr>
              <w:t>依次推荐</w:t>
            </w: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lang w:val="en-US" w:eastAsia="zh-CN"/>
              </w:rPr>
              <w:t>当</w:t>
            </w:r>
            <w:r>
              <w:rPr>
                <w:rFonts w:hint="eastAsia" w:ascii="Times New Roman" w:hAnsi="Times New Roman" w:cs="Times New Roman"/>
                <w:color w:val="auto"/>
                <w:highlight w:val="none"/>
                <w:lang w:val="en-US" w:eastAsia="zh-CN"/>
              </w:rPr>
              <w:t>评审价</w:t>
            </w:r>
            <w:r>
              <w:rPr>
                <w:rFonts w:hint="default" w:ascii="Times New Roman" w:hAnsi="Times New Roman" w:cs="Times New Roman"/>
                <w:color w:val="auto"/>
                <w:highlight w:val="none"/>
                <w:lang w:val="en-US" w:eastAsia="zh-CN"/>
              </w:rPr>
              <w:t>相等时，</w:t>
            </w:r>
            <w:r>
              <w:rPr>
                <w:rFonts w:hint="eastAsia" w:ascii="Times New Roman" w:hAnsi="Times New Roman" w:cs="Times New Roman"/>
                <w:color w:val="auto"/>
                <w:kern w:val="0"/>
                <w:szCs w:val="21"/>
                <w:highlight w:val="none"/>
                <w:u w:val="single"/>
                <w:lang w:val="en-US" w:eastAsia="zh-CN"/>
              </w:rPr>
              <w:t>根据供应商提交响应文件的先后顺序确定排名先后。当有效供应商数量为3至5家（含5家），选取排名前2名的供应商；当有效相应供应商数量大于5家时，则选取排名前3名的供应商（若存在前3名中有供应商报价比例相同情况，且大于拟选取的数量，则根据供应商提交报价文件时间的先后顺序，确定排名先后）</w:t>
            </w:r>
            <w:r>
              <w:rPr>
                <w:rFonts w:hint="default" w:ascii="Times New Roman" w:hAnsi="Times New Roman" w:cs="Times New Roman"/>
                <w:color w:val="auto"/>
                <w:kern w:val="0"/>
                <w:szCs w:val="21"/>
                <w:highlight w:val="none"/>
                <w:u w:val="single"/>
                <w:lang w:val="en-US" w:eastAsia="zh-CN"/>
              </w:rPr>
              <w:t>。</w:t>
            </w:r>
            <w:r>
              <w:rPr>
                <w:rFonts w:hint="eastAsia" w:ascii="Times New Roman" w:hAnsi="Times New Roman" w:cs="Times New Roman"/>
                <w:color w:val="auto"/>
                <w:highlight w:val="none"/>
                <w:u w:val="single"/>
                <w:lang w:val="en-US" w:eastAsia="zh-CN"/>
              </w:rPr>
              <w:t>评审小组将与价格较高的入围候选人进行谈判，凡接受最低价作为最终成交价的供应商均作为成交供应商纳入2022~2024年度</w:t>
            </w:r>
            <w:r>
              <w:rPr>
                <w:rFonts w:hint="default" w:ascii="Times New Roman" w:hAnsi="Times New Roman" w:cs="Times New Roman"/>
                <w:color w:val="auto"/>
                <w:highlight w:val="none"/>
                <w:u w:val="single"/>
                <w:lang w:val="en-US" w:eastAsia="zh-CN"/>
              </w:rPr>
              <w:t>工地试验室试验检测仪器设备</w:t>
            </w:r>
            <w:r>
              <w:rPr>
                <w:rFonts w:hint="eastAsia" w:ascii="Times New Roman" w:hAnsi="Times New Roman" w:cs="Times New Roman"/>
                <w:color w:val="auto"/>
                <w:highlight w:val="none"/>
                <w:u w:val="single"/>
                <w:lang w:val="en-US" w:eastAsia="zh-CN"/>
              </w:rPr>
              <w:t>检定/校准服务量值溯源机构定点库。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84"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6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标准</w:t>
            </w: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76"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事业单位法人证书，如有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76"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76"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default"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6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标准</w:t>
            </w: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资质条件、能力、信誉、其他要求</w:t>
            </w:r>
          </w:p>
        </w:tc>
        <w:tc>
          <w:tcPr>
            <w:tcW w:w="5676" w:type="dxa"/>
            <w:tcMar>
              <w:left w:w="7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第1.2.2项</w:t>
            </w:r>
            <w:r>
              <w:rPr>
                <w:rFonts w:hint="default" w:ascii="Times New Roman" w:hAnsi="Times New Roman" w:cs="Times New Roman"/>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84"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6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76"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框架协议执行有效期</w:t>
            </w:r>
          </w:p>
        </w:tc>
        <w:tc>
          <w:tcPr>
            <w:tcW w:w="5676"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76"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76" w:type="dxa"/>
            <w:tcMar>
              <w:left w:w="7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76"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76"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default"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Borders>
              <w:top w:val="single" w:color="auto" w:sz="4" w:space="0"/>
              <w:left w:val="single" w:color="auto" w:sz="4" w:space="0"/>
              <w:right w:val="single" w:color="auto" w:sz="4" w:space="0"/>
            </w:tcBorders>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val="en-US" w:eastAsia="zh-CN"/>
              </w:rPr>
              <w:t>联合体</w:t>
            </w:r>
          </w:p>
        </w:tc>
        <w:tc>
          <w:tcPr>
            <w:tcW w:w="5676" w:type="dxa"/>
            <w:tcBorders>
              <w:top w:val="outset" w:color="auto" w:sz="6" w:space="0"/>
              <w:left w:val="single" w:color="auto" w:sz="4" w:space="0"/>
              <w:right w:val="outset" w:color="auto" w:sz="6" w:space="0"/>
            </w:tcBorders>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Borders>
              <w:top w:val="single" w:color="auto" w:sz="4" w:space="0"/>
              <w:left w:val="single" w:color="auto" w:sz="4" w:space="0"/>
              <w:right w:val="single" w:color="auto" w:sz="4" w:space="0"/>
            </w:tcBorders>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76" w:type="dxa"/>
            <w:tcBorders>
              <w:top w:val="outset" w:color="auto" w:sz="6" w:space="0"/>
              <w:left w:val="single" w:color="auto" w:sz="4" w:space="0"/>
              <w:right w:val="outset" w:color="auto" w:sz="6" w:space="0"/>
            </w:tcBorders>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Borders>
              <w:top w:val="single" w:color="auto" w:sz="4" w:space="0"/>
              <w:left w:val="single" w:color="auto" w:sz="4" w:space="0"/>
              <w:right w:val="single" w:color="auto" w:sz="4" w:space="0"/>
            </w:tcBorders>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76" w:type="dxa"/>
            <w:tcBorders>
              <w:top w:val="outset" w:color="auto" w:sz="6" w:space="0"/>
              <w:left w:val="single" w:color="auto" w:sz="4" w:space="0"/>
              <w:right w:val="outset" w:color="auto" w:sz="6" w:space="0"/>
            </w:tcBorders>
            <w:tcMar>
              <w:lef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（1）报价</w:t>
            </w:r>
            <w:r>
              <w:rPr>
                <w:rFonts w:hint="eastAsia" w:ascii="Times New Roman" w:hAnsi="Times New Roman" w:cs="Times New Roman"/>
                <w:color w:val="000000" w:themeColor="text1"/>
                <w:highlight w:val="none"/>
                <w:lang w:val="en-US" w:eastAsia="zh-CN"/>
                <w14:textFill>
                  <w14:solidFill>
                    <w14:schemeClr w14:val="tx1"/>
                  </w14:solidFill>
                </w14:textFill>
              </w:rPr>
              <w:t>比例</w:t>
            </w:r>
            <w:r>
              <w:rPr>
                <w:rFonts w:hint="default" w:ascii="Times New Roman" w:hAnsi="Times New Roman" w:cs="Times New Roman"/>
                <w:color w:val="000000" w:themeColor="text1"/>
                <w:highlight w:val="none"/>
                <w14:textFill>
                  <w14:solidFill>
                    <w14:schemeClr w14:val="tx1"/>
                  </w14:solidFill>
                </w14:textFill>
              </w:rPr>
              <w:t>未超过</w:t>
            </w:r>
            <w:r>
              <w:rPr>
                <w:rFonts w:hint="default" w:ascii="Times New Roman" w:hAnsi="Times New Roman" w:cs="Times New Roman"/>
                <w:color w:val="000000" w:themeColor="text1"/>
                <w:highlight w:val="none"/>
                <w:lang w:eastAsia="zh-CN"/>
                <w14:textFill>
                  <w14:solidFill>
                    <w14:schemeClr w14:val="tx1"/>
                  </w14:solidFill>
                </w14:textFill>
              </w:rPr>
              <w:t>询比文件</w:t>
            </w:r>
            <w:r>
              <w:rPr>
                <w:rFonts w:hint="default" w:ascii="Times New Roman" w:hAnsi="Times New Roman" w:cs="Times New Roman"/>
                <w:color w:val="000000" w:themeColor="text1"/>
                <w:highlight w:val="none"/>
                <w14:textFill>
                  <w14:solidFill>
                    <w14:schemeClr w14:val="tx1"/>
                  </w14:solidFill>
                </w14:textFill>
              </w:rPr>
              <w:t>设定限价</w:t>
            </w:r>
            <w:r>
              <w:rPr>
                <w:rFonts w:hint="eastAsia" w:ascii="Times New Roman" w:hAnsi="Times New Roman" w:cs="Times New Roman"/>
                <w:color w:val="000000" w:themeColor="text1"/>
                <w:highlight w:val="none"/>
                <w:lang w:val="en-US" w:eastAsia="zh-CN"/>
                <w14:textFill>
                  <w14:solidFill>
                    <w14:schemeClr w14:val="tx1"/>
                  </w14:solidFill>
                </w14:textFill>
              </w:rPr>
              <w:t>的100%</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已标价的报价清单总报价和报价函的报价一致（四舍五入除外）。</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6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0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highlight w:val="none"/>
              </w:rPr>
            </w:pPr>
          </w:p>
        </w:tc>
        <w:tc>
          <w:tcPr>
            <w:tcW w:w="1774"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76" w:type="dxa"/>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pStyle w:val="2"/>
        <w:rPr>
          <w:rFonts w:hint="default"/>
        </w:rPr>
      </w:pPr>
    </w:p>
    <w:tbl>
      <w:tblPr>
        <w:tblStyle w:val="20"/>
        <w:tblW w:w="91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8"/>
        <w:gridCol w:w="1583"/>
        <w:gridCol w:w="1347"/>
        <w:gridCol w:w="5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6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大小写不一致时以大写为准</w:t>
            </w:r>
            <w:r>
              <w:rPr>
                <w:rFonts w:hint="default"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9331" w:type="dxa"/>
            <w:gridSpan w:val="4"/>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需要补充的其他内容：</w:t>
            </w:r>
            <w:r>
              <w:rPr>
                <w:rFonts w:hint="eastAsia" w:ascii="Times New Roman" w:hAnsi="Times New Roman" w:cs="Times New Roman"/>
                <w:color w:val="auto"/>
                <w:szCs w:val="21"/>
                <w:highlight w:val="none"/>
                <w:lang w:val="en-US" w:eastAsia="zh-CN"/>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采用最低价法。</w:t>
      </w:r>
      <w:r>
        <w:rPr>
          <w:rFonts w:hint="default"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default"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rPr>
        <w:t>。如</w:t>
      </w:r>
      <w:r>
        <w:rPr>
          <w:rFonts w:hint="default" w:ascii="Times New Roman" w:hAnsi="Times New Roman" w:cs="Times New Roman"/>
          <w:color w:val="auto"/>
          <w:highlight w:val="none"/>
          <w:lang w:val="en-US" w:eastAsia="zh-CN"/>
        </w:rPr>
        <w:t>评审价</w:t>
      </w:r>
      <w:r>
        <w:rPr>
          <w:rFonts w:hint="default" w:ascii="Times New Roman" w:hAnsi="Times New Roman" w:cs="Times New Roman"/>
          <w:color w:val="auto"/>
          <w:highlight w:val="none"/>
        </w:rPr>
        <w:t>相同的，按照</w:t>
      </w:r>
      <w:r>
        <w:rPr>
          <w:rFonts w:hint="default"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default"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default" w:ascii="Times New Roman" w:hAnsi="Times New Roman" w:cs="Times New Roman"/>
          <w:color w:val="auto"/>
          <w:highlight w:val="none"/>
          <w:lang w:eastAsia="zh-CN"/>
        </w:rPr>
        <w:t>框架协议执行有效期</w:t>
      </w:r>
      <w:r>
        <w:rPr>
          <w:rFonts w:hint="default" w:ascii="Times New Roman" w:hAnsi="Times New Roman" w:cs="Times New Roman"/>
          <w:color w:val="auto"/>
          <w:highlight w:val="none"/>
        </w:rPr>
        <w:t>、质量标准前后不一致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default"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3.1.3</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工程量清单中的报价有其他错误的，评审小组按以下原则对报价进行修正，修正的价格经供应商书面确认后具有约束力。供应商不接受修正价格的，评审小组应否决其报价。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③当单价与数量的乘积与合价（金额）虽然一致，但供应商修改了该子目的工程数量，则其合价按采购人给定的工程数量乘以供应商所报单价予以修正。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4</w:t>
      </w:r>
      <w:r>
        <w:rPr>
          <w:rFonts w:hint="default" w:ascii="Times New Roman" w:hAnsi="Times New Roman" w:cs="Times New Roman"/>
          <w:color w:val="auto"/>
        </w:rPr>
        <w:t xml:space="preserve"> 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default"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对在评审过程中发现供应商存在串通报价、弄虚作假、行贿等违法行为的，评审小组应否决其响应文件。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default"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评审小组完成评审后，应当向采购人提交评审报告。评审报告应当如实记载以下内容：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130" w:name="_Toc218_WPSOffice_Level2"/>
      <w:bookmarkStart w:id="131" w:name="_Toc21524_WPSOffice_Level2"/>
      <w:bookmarkStart w:id="132" w:name="_Toc12245_WPSOffice_Level2"/>
      <w:r>
        <w:rPr>
          <w:rFonts w:hint="default" w:ascii="Times New Roman" w:hAnsi="Times New Roman" w:cs="Times New Roman"/>
          <w:color w:val="auto"/>
          <w:highlight w:val="none"/>
          <w:lang w:val="en-US" w:eastAsia="zh-CN"/>
        </w:rPr>
        <w:t>（一）采购项目基本情况</w:t>
      </w:r>
      <w:bookmarkEnd w:id="130"/>
      <w:bookmarkEnd w:id="131"/>
      <w:bookmarkEnd w:id="132"/>
    </w:p>
    <w:p>
      <w:pPr>
        <w:spacing w:line="440" w:lineRule="exact"/>
        <w:ind w:firstLine="420"/>
        <w:rPr>
          <w:rFonts w:hint="default" w:ascii="Times New Roman" w:hAnsi="Times New Roman" w:cs="Times New Roman"/>
          <w:color w:val="auto"/>
          <w:highlight w:val="none"/>
          <w:lang w:val="en-US" w:eastAsia="zh-CN"/>
        </w:rPr>
      </w:pPr>
      <w:bookmarkStart w:id="133" w:name="_Toc8414_WPSOffice_Level2"/>
      <w:bookmarkStart w:id="134" w:name="_Toc31322_WPSOffice_Level2"/>
      <w:bookmarkStart w:id="135" w:name="_Toc5856_WPSOffice_Level2"/>
      <w:r>
        <w:rPr>
          <w:rFonts w:hint="default" w:ascii="Times New Roman" w:hAnsi="Times New Roman" w:cs="Times New Roman"/>
          <w:color w:val="auto"/>
          <w:highlight w:val="none"/>
          <w:lang w:val="en-US" w:eastAsia="zh-CN"/>
        </w:rPr>
        <w:t>（二）采购过程回顾</w:t>
      </w:r>
      <w:bookmarkEnd w:id="133"/>
      <w:bookmarkEnd w:id="134"/>
      <w:bookmarkEnd w:id="135"/>
    </w:p>
    <w:p>
      <w:pPr>
        <w:spacing w:line="440" w:lineRule="exact"/>
        <w:ind w:firstLine="420"/>
        <w:rPr>
          <w:rFonts w:hint="default" w:ascii="Times New Roman" w:hAnsi="Times New Roman" w:cs="Times New Roman"/>
          <w:color w:val="auto"/>
          <w:highlight w:val="none"/>
          <w:lang w:val="en-US" w:eastAsia="zh-CN"/>
        </w:rPr>
      </w:pPr>
      <w:bookmarkStart w:id="136" w:name="_Toc2932_WPSOffice_Level2"/>
      <w:bookmarkStart w:id="137" w:name="_Toc1346_WPSOffice_Level2"/>
      <w:bookmarkStart w:id="138" w:name="_Toc15620_WPSOffice_Level2"/>
      <w:r>
        <w:rPr>
          <w:rFonts w:hint="default" w:ascii="Times New Roman" w:hAnsi="Times New Roman" w:cs="Times New Roman"/>
          <w:color w:val="auto"/>
          <w:highlight w:val="none"/>
          <w:lang w:val="en-US" w:eastAsia="zh-CN"/>
        </w:rPr>
        <w:t>（三）评审小组成员名单</w:t>
      </w:r>
      <w:bookmarkEnd w:id="136"/>
      <w:bookmarkEnd w:id="137"/>
      <w:bookmarkEnd w:id="138"/>
    </w:p>
    <w:p>
      <w:pPr>
        <w:spacing w:line="440" w:lineRule="exact"/>
        <w:ind w:firstLine="420"/>
        <w:rPr>
          <w:rFonts w:hint="default" w:ascii="Times New Roman" w:hAnsi="Times New Roman" w:cs="Times New Roman"/>
          <w:color w:val="auto"/>
          <w:highlight w:val="none"/>
          <w:lang w:val="en-US" w:eastAsia="zh-CN"/>
        </w:rPr>
      </w:pPr>
      <w:bookmarkStart w:id="139" w:name="_Toc32316_WPSOffice_Level2"/>
      <w:bookmarkStart w:id="140" w:name="_Toc14207_WPSOffice_Level2"/>
      <w:bookmarkStart w:id="141" w:name="_Toc14464_WPSOffice_Level2"/>
      <w:r>
        <w:rPr>
          <w:rFonts w:hint="default" w:ascii="Times New Roman" w:hAnsi="Times New Roman" w:cs="Times New Roman"/>
          <w:color w:val="auto"/>
          <w:highlight w:val="none"/>
          <w:lang w:val="en-US" w:eastAsia="zh-CN"/>
        </w:rPr>
        <w:t>（四）询比评审工作</w:t>
      </w:r>
      <w:bookmarkEnd w:id="139"/>
      <w:bookmarkEnd w:id="140"/>
      <w:bookmarkEnd w:id="141"/>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3、详细评审情况（供应商的评审价评审情况）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5、推荐入围候选供应商</w:t>
      </w:r>
    </w:p>
    <w:p>
      <w:pPr>
        <w:spacing w:line="440" w:lineRule="exact"/>
        <w:ind w:firstLine="420"/>
        <w:rPr>
          <w:rFonts w:hint="default" w:ascii="Times New Roman" w:hAnsi="Times New Roman" w:cs="Times New Roman"/>
          <w:color w:val="auto"/>
          <w:highlight w:val="none"/>
          <w:lang w:val="en-US" w:eastAsia="zh-CN"/>
        </w:rPr>
      </w:pPr>
      <w:bookmarkStart w:id="142" w:name="_Toc13397_WPSOffice_Level2"/>
      <w:bookmarkStart w:id="143" w:name="_Toc3913_WPSOffice_Level2"/>
      <w:bookmarkStart w:id="144" w:name="_Toc5114_WPSOffice_Level2"/>
      <w:r>
        <w:rPr>
          <w:rFonts w:hint="default" w:ascii="Times New Roman" w:hAnsi="Times New Roman" w:cs="Times New Roman"/>
          <w:color w:val="auto"/>
          <w:highlight w:val="none"/>
          <w:lang w:val="en-US" w:eastAsia="zh-CN"/>
        </w:rPr>
        <w:t>（五）需要说明的其他事项</w:t>
      </w:r>
      <w:bookmarkEnd w:id="142"/>
      <w:bookmarkEnd w:id="143"/>
      <w:bookmarkEnd w:id="144"/>
    </w:p>
    <w:p>
      <w:pPr>
        <w:spacing w:line="440" w:lineRule="exact"/>
        <w:ind w:firstLine="420"/>
        <w:rPr>
          <w:rFonts w:hint="default" w:ascii="Times New Roman" w:hAnsi="Times New Roman" w:cs="Times New Roman"/>
          <w:color w:val="auto"/>
          <w:highlight w:val="none"/>
          <w:lang w:val="en-US" w:eastAsia="zh-CN"/>
        </w:rPr>
      </w:pPr>
      <w:bookmarkStart w:id="145" w:name="_Toc3031_WPSOffice_Level2"/>
      <w:bookmarkStart w:id="146" w:name="_Toc8934_WPSOffice_Level2"/>
      <w:bookmarkStart w:id="147" w:name="_Toc23800_WPSOffice_Level2"/>
      <w:r>
        <w:rPr>
          <w:rFonts w:hint="default" w:ascii="Times New Roman" w:hAnsi="Times New Roman" w:cs="Times New Roman"/>
          <w:color w:val="auto"/>
          <w:highlight w:val="none"/>
          <w:lang w:val="en-US" w:eastAsia="zh-CN"/>
        </w:rPr>
        <w:t>（六）评审附表</w:t>
      </w:r>
      <w:bookmarkEnd w:id="145"/>
      <w:bookmarkEnd w:id="146"/>
      <w:bookmarkEnd w:id="147"/>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rPr>
          <w:rFonts w:hint="default" w:ascii="Times New Roman" w:hAnsi="Times New Roman" w:cs="Times New Roman"/>
          <w:color w:val="auto"/>
          <w:highlight w:val="none"/>
        </w:rPr>
      </w:pPr>
    </w:p>
    <w:p>
      <w:pPr>
        <w:widowControl/>
        <w:ind w:firstLine="0" w:firstLineChars="0"/>
        <w:jc w:val="left"/>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4"/>
        <w:numPr>
          <w:ilvl w:val="0"/>
          <w:numId w:val="0"/>
        </w:numPr>
        <w:spacing w:before="240" w:after="240"/>
        <w:ind w:leftChars="0"/>
        <w:rPr>
          <w:rFonts w:hint="default" w:ascii="Times New Roman" w:hAnsi="Times New Roman" w:eastAsia="宋体" w:cs="Times New Roman"/>
          <w:color w:val="auto"/>
          <w:highlight w:val="none"/>
        </w:rPr>
      </w:pPr>
      <w:bookmarkStart w:id="148" w:name="_Toc3069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148"/>
    </w:p>
    <w:p>
      <w:pPr>
        <w:pageBreakBefore w:val="0"/>
        <w:numPr>
          <w:ilvl w:val="0"/>
          <w:numId w:val="0"/>
        </w:numPr>
        <w:kinsoku/>
        <w:wordWrap/>
        <w:overflowPunct/>
        <w:topLinePunct w:val="0"/>
        <w:autoSpaceDE/>
        <w:autoSpaceDN/>
        <w:bidi w:val="0"/>
        <w:spacing w:before="120" w:line="440" w:lineRule="exact"/>
        <w:jc w:val="center"/>
        <w:textAlignment w:val="auto"/>
        <w:rPr>
          <w:rFonts w:hint="default" w:ascii="Times New Roman" w:hAnsi="Times New Roman" w:cs="Times New Roman" w:eastAsiaTheme="minorEastAsia"/>
          <w:color w:val="auto"/>
          <w:sz w:val="22"/>
          <w:szCs w:val="24"/>
          <w:highlight w:val="none"/>
        </w:rPr>
        <w:sectPr>
          <w:footerReference r:id="rId5"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bookmarkStart w:id="149" w:name="_Toc21281"/>
      <w:bookmarkStart w:id="150" w:name="_Toc6271_WPSOffice_Level2"/>
      <w:bookmarkStart w:id="151" w:name="_Toc14663"/>
      <w:bookmarkStart w:id="152" w:name="_Toc179632786"/>
      <w:bookmarkStart w:id="153" w:name="_Toc152042547"/>
      <w:bookmarkStart w:id="154" w:name="_Toc144974827"/>
      <w:bookmarkStart w:id="155" w:name="_Toc152045768"/>
      <w:bookmarkStart w:id="156" w:name="_Toc11316"/>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default"/>
          <w:lang w:val="en-US" w:eastAsia="zh-CN"/>
        </w:rPr>
      </w:pPr>
      <w:r>
        <w:rPr>
          <w:rFonts w:hint="default" w:hAnsi="宋体"/>
          <w:b/>
          <w:color w:val="auto"/>
          <w:sz w:val="36"/>
        </w:rPr>
        <w:t>20</w:t>
      </w:r>
      <w:r>
        <w:rPr>
          <w:rFonts w:hint="default" w:hAnsi="宋体"/>
          <w:b/>
          <w:color w:val="auto"/>
          <w:sz w:val="36"/>
          <w:lang w:val="en-US" w:eastAsia="zh-CN"/>
        </w:rPr>
        <w:t>22</w:t>
      </w:r>
      <w:r>
        <w:rPr>
          <w:rFonts w:hint="default" w:hAnsi="宋体"/>
          <w:b/>
          <w:color w:val="auto"/>
          <w:sz w:val="36"/>
        </w:rPr>
        <w:t>~202</w:t>
      </w:r>
      <w:r>
        <w:rPr>
          <w:rFonts w:hint="default" w:hAnsi="宋体"/>
          <w:b/>
          <w:color w:val="auto"/>
          <w:sz w:val="36"/>
          <w:lang w:val="en-US" w:eastAsia="zh-CN"/>
        </w:rPr>
        <w:t>4</w:t>
      </w:r>
      <w:r>
        <w:rPr>
          <w:rFonts w:hint="default" w:hAnsi="宋体"/>
          <w:b/>
          <w:color w:val="auto"/>
          <w:sz w:val="36"/>
        </w:rPr>
        <w:t>年度工地试验室试验检测仪器设备检定/校准服务量值溯源机构定点库采购</w:t>
      </w:r>
      <w:r>
        <w:rPr>
          <w:rFonts w:hint="eastAsia" w:hAnsi="宋体"/>
          <w:b/>
          <w:color w:val="auto"/>
          <w:sz w:val="36"/>
        </w:rPr>
        <w:t>合同协议书</w:t>
      </w:r>
    </w:p>
    <w:bookmarkEnd w:id="149"/>
    <w:bookmarkEnd w:id="150"/>
    <w:bookmarkEnd w:id="151"/>
    <w:bookmarkEnd w:id="152"/>
    <w:bookmarkEnd w:id="153"/>
    <w:bookmarkEnd w:id="154"/>
    <w:bookmarkEnd w:id="155"/>
    <w:bookmarkEnd w:id="156"/>
    <w:p>
      <w:pPr>
        <w:keepNext w:val="0"/>
        <w:keepLines w:val="0"/>
        <w:pageBreakBefore w:val="0"/>
        <w:kinsoku/>
        <w:wordWrap/>
        <w:overflowPunct/>
        <w:topLinePunct w:val="0"/>
        <w:autoSpaceDE/>
        <w:autoSpaceDN/>
        <w:bidi w:val="0"/>
        <w:adjustRightInd w:val="0"/>
        <w:snapToGrid w:val="0"/>
        <w:spacing w:line="440" w:lineRule="exact"/>
        <w:outlineLvl w:val="9"/>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甲方：</w:t>
      </w:r>
      <w:r>
        <w:rPr>
          <w:rFonts w:hint="eastAsia" w:ascii="Times New Roman" w:hAnsi="Times New Roman" w:eastAsia="宋体" w:cs="Times New Roman"/>
          <w:b/>
          <w:bCs/>
          <w:color w:val="auto"/>
          <w:sz w:val="21"/>
          <w:szCs w:val="21"/>
          <w:highlight w:val="none"/>
          <w:u w:val="single"/>
          <w:lang w:val="en-US" w:eastAsia="zh-CN"/>
        </w:rPr>
        <w:t>安徽省高速公路试验检测科研中心有限公司</w:t>
      </w:r>
    </w:p>
    <w:p>
      <w:pPr>
        <w:keepNext w:val="0"/>
        <w:keepLines w:val="0"/>
        <w:pageBreakBefore w:val="0"/>
        <w:widowControl w:val="0"/>
        <w:kinsoku/>
        <w:wordWrap/>
        <w:overflowPunct/>
        <w:topLinePunct w:val="0"/>
        <w:autoSpaceDE/>
        <w:autoSpaceDN/>
        <w:bidi w:val="0"/>
        <w:adjustRightInd w:val="0"/>
        <w:snapToGrid w:val="0"/>
        <w:spacing w:after="157" w:afterLines="50" w:line="440" w:lineRule="exac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乙方：</w:t>
      </w:r>
      <w:r>
        <w:rPr>
          <w:rFonts w:hint="default" w:ascii="Times New Roman" w:hAnsi="Times New Roman" w:eastAsia="宋体" w:cs="Times New Roman"/>
          <w:b/>
          <w:bCs/>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 xml:space="preserve">                    </w:t>
      </w:r>
      <w:r>
        <w:rPr>
          <w:rFonts w:hint="default" w:ascii="Times New Roman" w:hAnsi="Times New Roman" w:eastAsia="宋体" w:cs="Times New Roman"/>
          <w:b/>
          <w:bCs/>
          <w:color w:val="auto"/>
          <w:sz w:val="21"/>
          <w:szCs w:val="21"/>
          <w:highlight w:val="none"/>
          <w:u w:val="single"/>
          <w:lang w:val="en-US" w:eastAsia="zh-CN"/>
        </w:rPr>
        <w:t xml:space="preserve">     </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根据</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中华人民共和国民法典</w:t>
      </w:r>
      <w:r>
        <w:rPr>
          <w:rFonts w:hint="default" w:ascii="Times New Roman" w:hAnsi="Times New Roman" w:eastAsia="宋体" w:cs="Times New Roman"/>
          <w:color w:val="auto"/>
          <w:sz w:val="21"/>
          <w:szCs w:val="21"/>
          <w:highlight w:val="none"/>
          <w:lang w:eastAsia="zh-CN" w:bidi="ar"/>
        </w:rPr>
        <w:t>》及国家的有关法律、行政法规的规定，遵循平等、自愿、公平和诚实信用的原则</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甲乙双方就</w:t>
      </w:r>
      <w:r>
        <w:rPr>
          <w:rFonts w:hint="eastAsia" w:ascii="Times New Roman" w:hAnsi="Times New Roman" w:eastAsia="宋体" w:cs="Times New Roman"/>
          <w:color w:val="auto"/>
          <w:sz w:val="21"/>
          <w:szCs w:val="21"/>
          <w:highlight w:val="none"/>
          <w:u w:val="single"/>
          <w:lang w:val="en-US" w:eastAsia="zh-CN" w:bidi="ar"/>
        </w:rPr>
        <w:t>2022~2024年度工地试验室试验检测仪器设备检定/校准服务量值溯源机构定点库采购</w:t>
      </w:r>
      <w:r>
        <w:rPr>
          <w:rFonts w:hint="default" w:ascii="Times New Roman" w:hAnsi="Times New Roman" w:eastAsia="宋体" w:cs="Times New Roman"/>
          <w:color w:val="auto"/>
          <w:sz w:val="21"/>
          <w:szCs w:val="21"/>
          <w:highlight w:val="none"/>
          <w:lang w:val="en-US" w:eastAsia="zh-CN" w:bidi="ar"/>
        </w:rPr>
        <w:t>事项协商一致，订立本协议。</w:t>
      </w:r>
      <w:r>
        <w:rPr>
          <w:rFonts w:hint="default" w:ascii="Times New Roman" w:hAnsi="Times New Roman" w:eastAsia="宋体" w:cs="Times New Roman"/>
          <w:color w:val="auto"/>
          <w:sz w:val="21"/>
          <w:szCs w:val="21"/>
          <w:highlight w:val="none"/>
          <w:lang w:bidi="ar"/>
        </w:rPr>
        <w:t>框架协议具体内容如下：</w:t>
      </w:r>
    </w:p>
    <w:p>
      <w:pPr>
        <w:keepNext w:val="0"/>
        <w:keepLines w:val="0"/>
        <w:pageBreakBefore w:val="0"/>
        <w:widowControl w:val="0"/>
        <w:kinsoku/>
        <w:wordWrap/>
        <w:overflowPunct/>
        <w:topLinePunct w:val="0"/>
        <w:autoSpaceDE/>
        <w:autoSpaceDN/>
        <w:bidi w:val="0"/>
        <w:snapToGrid w:val="0"/>
        <w:spacing w:line="440" w:lineRule="exact"/>
        <w:ind w:firstLine="422" w:firstLineChars="200"/>
        <w:outlineLvl w:val="9"/>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一、</w:t>
      </w:r>
      <w:r>
        <w:rPr>
          <w:rFonts w:hint="default" w:ascii="Times New Roman" w:hAnsi="Times New Roman" w:cs="Times New Roman"/>
          <w:b/>
          <w:color w:val="auto"/>
          <w:sz w:val="24"/>
          <w:highlight w:val="none"/>
        </w:rPr>
        <w:t>总则</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val="en-US" w:eastAsia="zh-CN" w:bidi="ar"/>
        </w:rPr>
      </w:pPr>
      <w:r>
        <w:rPr>
          <w:rFonts w:hint="default" w:ascii="Times New Roman" w:hAnsi="Times New Roman" w:eastAsia="宋体" w:cs="Times New Roman"/>
          <w:b w:val="0"/>
          <w:color w:val="auto"/>
          <w:sz w:val="21"/>
          <w:szCs w:val="21"/>
          <w:highlight w:val="none"/>
          <w:lang w:bidi="ar"/>
        </w:rPr>
        <w:t>1、</w:t>
      </w:r>
      <w:r>
        <w:rPr>
          <w:rFonts w:hint="default" w:ascii="Times New Roman" w:hAnsi="Times New Roman" w:eastAsia="宋体" w:cs="Times New Roman"/>
          <w:b w:val="0"/>
          <w:color w:val="auto"/>
          <w:sz w:val="21"/>
          <w:szCs w:val="21"/>
          <w:highlight w:val="none"/>
          <w:lang w:val="en-US" w:eastAsia="zh-CN" w:bidi="ar"/>
        </w:rPr>
        <w:t>经双方确认，乙方为甲方提供的服务包括：</w:t>
      </w:r>
      <w:r>
        <w:rPr>
          <w:rFonts w:hint="eastAsia" w:ascii="Times New Roman" w:hAnsi="Times New Roman" w:eastAsia="宋体" w:cs="Times New Roman"/>
          <w:color w:val="auto"/>
          <w:sz w:val="21"/>
          <w:szCs w:val="21"/>
          <w:highlight w:val="none"/>
          <w:u w:val="single"/>
          <w:lang w:val="en-US" w:eastAsia="zh-CN" w:bidi="ar"/>
        </w:rPr>
        <w:t>2022~2024年度工地试验室试验检测仪器设备检定/校准服务</w:t>
      </w:r>
      <w:r>
        <w:rPr>
          <w:rFonts w:hint="default" w:ascii="Times New Roman" w:hAnsi="Times New Roman" w:eastAsia="宋体" w:cs="Times New Roman"/>
          <w:b w:val="0"/>
          <w:color w:val="auto"/>
          <w:sz w:val="21"/>
          <w:szCs w:val="21"/>
          <w:highlight w:val="none"/>
          <w:lang w:val="en-US" w:eastAsia="zh-CN" w:bidi="ar"/>
        </w:rPr>
        <w:t>；</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2、框架协议执行有效期自</w:t>
      </w:r>
      <w:r>
        <w:rPr>
          <w:rFonts w:hint="eastAsia" w:ascii="Times New Roman" w:hAnsi="Times New Roman" w:cs="Times New Roman"/>
          <w:color w:val="auto"/>
          <w:sz w:val="21"/>
          <w:szCs w:val="22"/>
          <w:highlight w:val="none"/>
          <w:u w:val="single"/>
          <w:lang w:val="en-US" w:eastAsia="zh-CN"/>
        </w:rPr>
        <w:t>合同签订</w:t>
      </w:r>
      <w:r>
        <w:rPr>
          <w:rFonts w:hint="default" w:ascii="Times New Roman" w:hAnsi="Times New Roman" w:cs="Times New Roman"/>
          <w:color w:val="auto"/>
          <w:sz w:val="21"/>
          <w:szCs w:val="22"/>
          <w:highlight w:val="none"/>
          <w:u w:val="single"/>
          <w:lang w:val="en-US" w:eastAsia="zh-CN"/>
        </w:rPr>
        <w:t>后</w:t>
      </w:r>
      <w:r>
        <w:rPr>
          <w:rFonts w:hint="default" w:ascii="Times New Roman" w:hAnsi="Times New Roman" w:eastAsia="宋体" w:cs="Times New Roman"/>
          <w:color w:val="auto"/>
          <w:szCs w:val="21"/>
          <w:highlight w:val="none"/>
          <w:lang w:val="en-US" w:eastAsia="zh-CN" w:bidi="ar"/>
        </w:rPr>
        <w:t>至</w:t>
      </w:r>
      <w:r>
        <w:rPr>
          <w:rFonts w:hint="default" w:ascii="Times New Roman" w:hAnsi="Times New Roman" w:eastAsia="宋体" w:cs="Times New Roman"/>
          <w:color w:val="auto"/>
          <w:szCs w:val="21"/>
          <w:highlight w:val="none"/>
          <w:u w:val="single"/>
          <w:lang w:val="en-US" w:eastAsia="zh-CN" w:bidi="ar"/>
        </w:rPr>
        <w:t>2024年12月31日</w:t>
      </w:r>
      <w:r>
        <w:rPr>
          <w:rFonts w:hint="default" w:ascii="Times New Roman" w:hAnsi="Times New Roman" w:eastAsia="宋体" w:cs="Times New Roman"/>
          <w:color w:val="auto"/>
          <w:szCs w:val="21"/>
          <w:highlight w:val="none"/>
          <w:lang w:val="en-US" w:eastAsia="zh-CN" w:bidi="ar"/>
        </w:rPr>
        <w:t>。</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bidi="ar"/>
        </w:rPr>
      </w:pPr>
      <w:r>
        <w:rPr>
          <w:rFonts w:hint="default" w:ascii="Times New Roman" w:hAnsi="Times New Roman" w:eastAsia="宋体" w:cs="Times New Roman"/>
          <w:b w:val="0"/>
          <w:color w:val="auto"/>
          <w:sz w:val="21"/>
          <w:szCs w:val="21"/>
          <w:highlight w:val="none"/>
          <w:lang w:val="en-US" w:eastAsia="zh-CN" w:bidi="ar"/>
        </w:rPr>
        <w:t>3、</w:t>
      </w:r>
      <w:r>
        <w:rPr>
          <w:rFonts w:hint="default" w:ascii="Times New Roman" w:hAnsi="Times New Roman" w:eastAsia="宋体" w:cs="Times New Roman"/>
          <w:b w:val="0"/>
          <w:color w:val="auto"/>
          <w:sz w:val="21"/>
          <w:szCs w:val="21"/>
          <w:highlight w:val="none"/>
          <w:lang w:bidi="ar"/>
        </w:rPr>
        <w:t>双方同意严格遵守有关法律、法规规定，并保证</w:t>
      </w:r>
      <w:r>
        <w:rPr>
          <w:rFonts w:hint="default" w:ascii="Times New Roman" w:hAnsi="Times New Roman" w:eastAsia="宋体" w:cs="Times New Roman"/>
          <w:b w:val="0"/>
          <w:color w:val="auto"/>
          <w:sz w:val="21"/>
          <w:szCs w:val="21"/>
          <w:highlight w:val="none"/>
          <w:lang w:val="en-US" w:eastAsia="zh-CN" w:bidi="ar"/>
        </w:rPr>
        <w:t>提供的服务质量满足：________</w:t>
      </w:r>
      <w:r>
        <w:rPr>
          <w:rFonts w:hint="default" w:ascii="Times New Roman" w:hAnsi="Times New Roman" w:eastAsia="宋体" w:cs="Times New Roman"/>
          <w:b w:val="0"/>
          <w:color w:val="auto"/>
          <w:sz w:val="21"/>
          <w:szCs w:val="21"/>
          <w:highlight w:val="none"/>
          <w:lang w:bidi="ar"/>
        </w:rPr>
        <w:t>。</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bidi="ar"/>
        </w:rPr>
      </w:pPr>
      <w:r>
        <w:rPr>
          <w:rFonts w:hint="default" w:ascii="Times New Roman" w:hAnsi="Times New Roman" w:eastAsia="宋体" w:cs="Times New Roman"/>
          <w:b w:val="0"/>
          <w:color w:val="auto"/>
          <w:sz w:val="21"/>
          <w:szCs w:val="21"/>
          <w:highlight w:val="none"/>
          <w:lang w:val="en-US" w:eastAsia="zh-CN" w:bidi="ar"/>
        </w:rPr>
        <w:t>4、合同价格（约定）：___________________。</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val="en-US" w:eastAsia="zh-CN" w:bidi="ar"/>
        </w:rPr>
      </w:pPr>
      <w:r>
        <w:rPr>
          <w:rFonts w:hint="default" w:ascii="Times New Roman" w:hAnsi="Times New Roman" w:eastAsia="宋体" w:cs="Times New Roman"/>
          <w:b w:val="0"/>
          <w:color w:val="auto"/>
          <w:sz w:val="21"/>
          <w:szCs w:val="21"/>
          <w:highlight w:val="none"/>
          <w:lang w:val="en-US" w:eastAsia="zh-CN" w:bidi="ar"/>
        </w:rPr>
        <w:t>5、</w:t>
      </w:r>
      <w:r>
        <w:rPr>
          <w:rFonts w:hint="default" w:ascii="Times New Roman" w:hAnsi="Times New Roman" w:eastAsia="宋体" w:cs="Times New Roman"/>
          <w:b w:val="0"/>
          <w:color w:val="auto"/>
          <w:sz w:val="21"/>
          <w:szCs w:val="21"/>
          <w:highlight w:val="none"/>
          <w:lang w:bidi="ar"/>
        </w:rPr>
        <w:t>双方应本着诚实信用的原则认真履行本协议项下的各项义务</w:t>
      </w:r>
      <w:r>
        <w:rPr>
          <w:rFonts w:hint="default" w:ascii="Times New Roman" w:hAnsi="Times New Roman" w:eastAsia="宋体" w:cs="Times New Roman"/>
          <w:b w:val="0"/>
          <w:color w:val="auto"/>
          <w:sz w:val="21"/>
          <w:szCs w:val="21"/>
          <w:highlight w:val="none"/>
          <w:lang w:eastAsia="zh-CN" w:bidi="ar"/>
        </w:rPr>
        <w:t>，</w:t>
      </w:r>
      <w:r>
        <w:rPr>
          <w:rFonts w:hint="default" w:ascii="Times New Roman" w:hAnsi="Times New Roman" w:eastAsia="宋体" w:cs="Times New Roman"/>
          <w:b w:val="0"/>
          <w:color w:val="auto"/>
          <w:sz w:val="21"/>
          <w:szCs w:val="21"/>
          <w:highlight w:val="none"/>
          <w:lang w:val="en-US" w:eastAsia="zh-CN" w:bidi="ar"/>
        </w:rPr>
        <w:t>具体项目以甲方下达的通知为准</w:t>
      </w:r>
      <w:r>
        <w:rPr>
          <w:rFonts w:hint="eastAsia" w:ascii="Times New Roman" w:hAnsi="Times New Roman" w:eastAsia="宋体" w:cs="Times New Roman"/>
          <w:b w:val="0"/>
          <w:color w:val="auto"/>
          <w:sz w:val="21"/>
          <w:szCs w:val="21"/>
          <w:highlight w:val="none"/>
          <w:lang w:val="en-US" w:eastAsia="zh-CN" w:bidi="ar"/>
        </w:rPr>
        <w:t>，甲乙双方根据具体项目签订项目合同。</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val="en-US" w:eastAsia="zh-CN" w:bidi="ar"/>
        </w:rPr>
      </w:pPr>
      <w:r>
        <w:rPr>
          <w:rFonts w:hint="default" w:ascii="Times New Roman" w:hAnsi="Times New Roman" w:eastAsia="宋体" w:cs="Times New Roman"/>
          <w:b w:val="0"/>
          <w:color w:val="auto"/>
          <w:sz w:val="21"/>
          <w:szCs w:val="21"/>
          <w:highlight w:val="none"/>
          <w:lang w:val="en-US" w:eastAsia="zh-CN" w:bidi="ar"/>
        </w:rPr>
        <w:t>6、甲方根据具体项目管理需求，需要将本框架协议合同下的甲方权利义务交由甲方控股或管理的单位时，可由该单位与乙方直接签订项目实施的合同，相关权利义务等合同内容不变。</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cs="Times New Roman" w:eastAsiaTheme="minorEastAsia"/>
          <w:b w:val="0"/>
          <w:color w:val="auto"/>
          <w:sz w:val="21"/>
          <w:szCs w:val="22"/>
          <w:highlight w:val="none"/>
          <w:lang w:bidi="ar"/>
        </w:rPr>
      </w:pPr>
      <w:r>
        <w:rPr>
          <w:rFonts w:hint="default" w:ascii="Times New Roman" w:hAnsi="Times New Roman" w:eastAsia="宋体" w:cs="Times New Roman"/>
          <w:b w:val="0"/>
          <w:color w:val="auto"/>
          <w:sz w:val="21"/>
          <w:szCs w:val="21"/>
          <w:highlight w:val="none"/>
          <w:lang w:val="en-US" w:eastAsia="zh-CN" w:bidi="ar"/>
        </w:rPr>
        <w:t>7、</w:t>
      </w:r>
      <w:r>
        <w:rPr>
          <w:rFonts w:hint="default" w:ascii="Times New Roman" w:hAnsi="Times New Roman" w:cs="Times New Roman"/>
          <w:color w:val="auto"/>
          <w:highlight w:val="none"/>
          <w:lang w:val="en-US" w:eastAsia="zh-CN"/>
        </w:rPr>
        <w:t>履约保证金的</w:t>
      </w:r>
      <w:r>
        <w:rPr>
          <w:rFonts w:hint="eastAsia" w:ascii="Times New Roman" w:hAnsi="Times New Roman" w:cs="Times New Roman"/>
          <w:color w:val="auto"/>
          <w:highlight w:val="none"/>
          <w:lang w:val="en-US" w:eastAsia="zh-CN"/>
        </w:rPr>
        <w:t>金额为</w:t>
      </w:r>
      <w:r>
        <w:rPr>
          <w:rFonts w:hint="eastAsia" w:ascii="Times New Roman" w:hAnsi="Times New Roman" w:cs="Times New Roman"/>
          <w:color w:val="auto"/>
          <w:highlight w:val="none"/>
          <w:u w:val="none"/>
          <w:lang w:val="en-US" w:eastAsia="zh-CN"/>
        </w:rPr>
        <w:t>10000元</w:t>
      </w:r>
      <w:r>
        <w:rPr>
          <w:rFonts w:hint="default" w:ascii="Times New Roman" w:hAnsi="Times New Roman" w:cs="Times New Roman"/>
          <w:color w:val="auto"/>
          <w:highlight w:val="none"/>
          <w:lang w:val="en-US" w:eastAsia="zh-CN"/>
        </w:rPr>
        <w:t>，履约保证金的形式为</w:t>
      </w:r>
      <w:r>
        <w:rPr>
          <w:rFonts w:ascii="Times New Roman" w:hAnsi="Times New Roman" w:cs="Times New Roman"/>
          <w:color w:val="auto"/>
          <w:u w:val="none"/>
        </w:rPr>
        <w:t>银行转账</w:t>
      </w:r>
      <w:r>
        <w:rPr>
          <w:rFonts w:hint="default" w:ascii="Times New Roman" w:hAnsi="Times New Roman" w:eastAsia="宋体" w:cs="Times New Roman"/>
          <w:b w:val="0"/>
          <w:color w:val="auto"/>
          <w:sz w:val="21"/>
          <w:szCs w:val="21"/>
          <w:highlight w:val="none"/>
          <w:lang w:val="en-US" w:eastAsia="zh-CN" w:bidi="ar"/>
        </w:rPr>
        <w:t>。</w:t>
      </w:r>
    </w:p>
    <w:p>
      <w:pPr>
        <w:keepNext w:val="0"/>
        <w:keepLines w:val="0"/>
        <w:pageBreakBefore w:val="0"/>
        <w:widowControl w:val="0"/>
        <w:kinsoku/>
        <w:wordWrap/>
        <w:overflowPunct/>
        <w:topLinePunct w:val="0"/>
        <w:autoSpaceDE/>
        <w:autoSpaceDN/>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157" w:name="_Toc260217325"/>
      <w:bookmarkStart w:id="158" w:name="_Toc417454846"/>
      <w:bookmarkStart w:id="159" w:name="_Toc199574623"/>
      <w:r>
        <w:rPr>
          <w:rFonts w:hint="default" w:ascii="Times New Roman" w:hAnsi="Times New Roman" w:eastAsia="宋体" w:cs="Times New Roman"/>
          <w:b/>
          <w:color w:val="auto"/>
          <w:sz w:val="21"/>
          <w:szCs w:val="21"/>
          <w:highlight w:val="none"/>
          <w:lang w:bidi="ar"/>
        </w:rPr>
        <w:t>二、甲方的权利和义务</w:t>
      </w:r>
      <w:bookmarkEnd w:id="157"/>
      <w:bookmarkEnd w:id="158"/>
      <w:bookmarkEnd w:id="159"/>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1、甲方将依照有关法规、规章的规定，</w:t>
      </w:r>
      <w:r>
        <w:rPr>
          <w:rFonts w:hint="default" w:ascii="Times New Roman" w:hAnsi="Times New Roman" w:eastAsia="宋体" w:cs="Times New Roman"/>
          <w:color w:val="auto"/>
          <w:sz w:val="21"/>
          <w:szCs w:val="21"/>
          <w:highlight w:val="none"/>
          <w:lang w:val="en-US" w:eastAsia="zh-CN" w:bidi="ar"/>
        </w:rPr>
        <w:t>以及</w:t>
      </w:r>
      <w:r>
        <w:rPr>
          <w:rFonts w:hint="default" w:ascii="Times New Roman" w:hAnsi="Times New Roman" w:eastAsia="宋体" w:cs="Times New Roman"/>
          <w:color w:val="auto"/>
          <w:sz w:val="21"/>
          <w:szCs w:val="21"/>
          <w:highlight w:val="none"/>
          <w:lang w:bidi="ar"/>
        </w:rPr>
        <w:t>本协议所约定的条款</w:t>
      </w:r>
      <w:r>
        <w:rPr>
          <w:rFonts w:hint="default" w:ascii="Times New Roman" w:hAnsi="Times New Roman" w:eastAsia="宋体" w:cs="Times New Roman"/>
          <w:color w:val="auto"/>
          <w:sz w:val="21"/>
          <w:szCs w:val="21"/>
          <w:highlight w:val="none"/>
          <w:lang w:val="en-US" w:eastAsia="zh-CN" w:bidi="ar"/>
        </w:rPr>
        <w:t>向乙方</w:t>
      </w:r>
      <w:r>
        <w:rPr>
          <w:rFonts w:hint="default" w:ascii="Times New Roman" w:hAnsi="Times New Roman" w:eastAsia="宋体" w:cs="Times New Roman"/>
          <w:color w:val="auto"/>
          <w:sz w:val="21"/>
          <w:szCs w:val="21"/>
          <w:highlight w:val="none"/>
          <w:lang w:bidi="ar"/>
        </w:rPr>
        <w:t>进行采购、签订合同及支付合同款。</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2</w:t>
      </w:r>
      <w:r>
        <w:rPr>
          <w:rFonts w:hint="default" w:ascii="Times New Roman" w:hAnsi="Times New Roman" w:eastAsia="宋体" w:cs="Times New Roman"/>
          <w:color w:val="auto"/>
          <w:sz w:val="21"/>
          <w:szCs w:val="21"/>
          <w:highlight w:val="none"/>
          <w:lang w:val="en-US" w:eastAsia="zh-CN" w:bidi="ar"/>
        </w:rPr>
        <w:t>、甲方有权对乙方</w:t>
      </w:r>
      <w:r>
        <w:rPr>
          <w:rFonts w:hint="default" w:ascii="Times New Roman" w:hAnsi="Times New Roman" w:eastAsia="宋体" w:cs="Times New Roman"/>
          <w:b w:val="0"/>
          <w:color w:val="auto"/>
          <w:sz w:val="21"/>
          <w:szCs w:val="21"/>
          <w:highlight w:val="none"/>
          <w:lang w:val="en-US" w:eastAsia="zh-CN" w:bidi="ar"/>
        </w:rPr>
        <w:t>提供的服务质量进行管理、监督、检查和验收</w:t>
      </w:r>
      <w:r>
        <w:rPr>
          <w:rFonts w:hint="default" w:ascii="Times New Roman" w:hAnsi="Times New Roman" w:eastAsia="宋体" w:cs="Times New Roman"/>
          <w:color w:val="auto"/>
          <w:sz w:val="21"/>
          <w:szCs w:val="21"/>
          <w:highlight w:val="none"/>
          <w:lang w:eastAsia="zh-CN" w:bidi="ar"/>
        </w:rPr>
        <w:t>，</w:t>
      </w:r>
      <w:r>
        <w:rPr>
          <w:rFonts w:hint="eastAsia" w:ascii="Times New Roman" w:hAnsi="Times New Roman" w:eastAsia="宋体" w:cs="Times New Roman"/>
          <w:color w:val="auto"/>
          <w:sz w:val="21"/>
          <w:szCs w:val="21"/>
          <w:highlight w:val="none"/>
          <w:lang w:val="en-US" w:eastAsia="zh-CN" w:bidi="ar"/>
        </w:rPr>
        <w:t>存在问题的</w:t>
      </w:r>
      <w:r>
        <w:rPr>
          <w:rFonts w:hint="default" w:ascii="Times New Roman" w:hAnsi="Times New Roman" w:eastAsia="宋体" w:cs="Times New Roman"/>
          <w:color w:val="auto"/>
          <w:sz w:val="21"/>
          <w:szCs w:val="21"/>
          <w:highlight w:val="none"/>
          <w:lang w:val="en-US" w:eastAsia="zh-CN" w:bidi="ar"/>
        </w:rPr>
        <w:t>甲方有权要求乙方采取整改措施。</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甲方</w:t>
      </w:r>
      <w:r>
        <w:rPr>
          <w:rFonts w:hint="eastAsia" w:ascii="Times New Roman" w:hAnsi="Times New Roman" w:eastAsia="宋体" w:cs="Times New Roman"/>
          <w:color w:val="auto"/>
          <w:sz w:val="21"/>
          <w:szCs w:val="21"/>
          <w:highlight w:val="none"/>
          <w:lang w:val="en-US" w:eastAsia="zh-CN" w:bidi="ar"/>
        </w:rPr>
        <w:t>有权</w:t>
      </w:r>
      <w:r>
        <w:rPr>
          <w:rFonts w:hint="default" w:ascii="Times New Roman" w:hAnsi="Times New Roman" w:eastAsia="宋体" w:cs="Times New Roman"/>
          <w:color w:val="auto"/>
          <w:sz w:val="21"/>
          <w:szCs w:val="21"/>
          <w:highlight w:val="none"/>
          <w:lang w:val="en-US" w:eastAsia="zh-CN" w:bidi="ar"/>
        </w:rPr>
        <w:t>就乙方的工作制定相关考核细则，乙方在合同期内须接受甲方的考核。对于考核情况</w:t>
      </w:r>
      <w:r>
        <w:rPr>
          <w:rFonts w:hint="eastAsia" w:ascii="Times New Roman" w:hAnsi="Times New Roman" w:eastAsia="宋体" w:cs="Times New Roman"/>
          <w:color w:val="auto"/>
          <w:sz w:val="21"/>
          <w:szCs w:val="21"/>
          <w:highlight w:val="none"/>
          <w:lang w:val="en-US" w:eastAsia="zh-CN" w:bidi="ar"/>
        </w:rPr>
        <w:t>不达标</w:t>
      </w:r>
      <w:r>
        <w:rPr>
          <w:rFonts w:hint="default" w:ascii="Times New Roman" w:hAnsi="Times New Roman" w:eastAsia="宋体" w:cs="Times New Roman"/>
          <w:color w:val="auto"/>
          <w:sz w:val="21"/>
          <w:szCs w:val="21"/>
          <w:highlight w:val="none"/>
          <w:lang w:val="en-US" w:eastAsia="zh-CN" w:bidi="ar"/>
        </w:rPr>
        <w:t>的单位，甲方有权随时终止框架协议。</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4</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甲方应向乙方提供各项目的相关要求和资料，由甲方或甲方委托的第三方机构负责项目有关技术、质量、安全、环保等交底工作</w:t>
      </w:r>
      <w:r>
        <w:rPr>
          <w:rFonts w:hint="eastAsia" w:ascii="Times New Roman" w:hAnsi="Times New Roman" w:eastAsia="宋体" w:cs="Times New Roman"/>
          <w:color w:val="auto"/>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color w:val="auto"/>
          <w:kern w:val="2"/>
          <w:sz w:val="21"/>
          <w:szCs w:val="21"/>
          <w:highlight w:val="none"/>
          <w:lang w:val="en-US" w:eastAsia="zh-CN" w:bidi="ar"/>
        </w:rPr>
      </w:pPr>
      <w:r>
        <w:rPr>
          <w:rFonts w:hint="eastAsia"/>
          <w:lang w:val="en-US" w:eastAsia="zh-CN"/>
        </w:rPr>
        <w:t>5、</w:t>
      </w:r>
      <w:r>
        <w:rPr>
          <w:rFonts w:hint="eastAsia" w:ascii="Times New Roman" w:hAnsi="Times New Roman" w:eastAsia="宋体" w:cs="Times New Roman"/>
          <w:color w:val="auto"/>
          <w:kern w:val="2"/>
          <w:sz w:val="21"/>
          <w:szCs w:val="21"/>
          <w:highlight w:val="none"/>
          <w:lang w:val="en-US" w:eastAsia="zh-CN" w:bidi="ar"/>
        </w:rPr>
        <w:t>甲方有权要求乙方在规定时间内完成试验检测仪器设备检定/校准工作，并获得检定/校准证书</w:t>
      </w:r>
      <w:r>
        <w:rPr>
          <w:rFonts w:hint="default" w:ascii="Times New Roman" w:hAnsi="Times New Roman" w:eastAsia="宋体" w:cs="Times New Roman"/>
          <w:color w:val="auto"/>
          <w:kern w:val="2"/>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6、甲方有权要求乙方按照仪器设备的具体工作量程及检校参数进行设备的检定/校准。</w:t>
      </w:r>
    </w:p>
    <w:p>
      <w:pPr>
        <w:pStyle w:val="2"/>
        <w:keepNext w:val="0"/>
        <w:keepLines w:val="0"/>
        <w:pageBreakBefore w:val="0"/>
        <w:widowControl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7</w:t>
      </w:r>
      <w:r>
        <w:rPr>
          <w:rFonts w:hint="default" w:ascii="Times New Roman" w:hAnsi="Times New Roman" w:eastAsia="宋体" w:cs="Times New Roman"/>
          <w:color w:val="auto"/>
          <w:kern w:val="2"/>
          <w:sz w:val="21"/>
          <w:szCs w:val="21"/>
          <w:highlight w:val="none"/>
          <w:lang w:val="en-US" w:eastAsia="zh-CN" w:bidi="ar"/>
        </w:rPr>
        <w:t>、甲方为乙方完成工作提供必要的协助。</w:t>
      </w:r>
    </w:p>
    <w:p>
      <w:pPr>
        <w:pStyle w:val="2"/>
        <w:keepNext w:val="0"/>
        <w:keepLines w:val="0"/>
        <w:pageBreakBefore w:val="0"/>
        <w:widowControl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8</w:t>
      </w:r>
      <w:r>
        <w:rPr>
          <w:rFonts w:hint="default" w:ascii="Times New Roman" w:hAnsi="Times New Roman" w:eastAsia="宋体" w:cs="Times New Roman"/>
          <w:color w:val="auto"/>
          <w:kern w:val="2"/>
          <w:sz w:val="21"/>
          <w:szCs w:val="21"/>
          <w:highlight w:val="none"/>
          <w:lang w:val="en-US" w:eastAsia="zh-CN" w:bidi="ar"/>
        </w:rPr>
        <w:t>、甲方保证依法履行此协议全部约定义务。</w:t>
      </w:r>
    </w:p>
    <w:p>
      <w:pPr>
        <w:keepNext w:val="0"/>
        <w:keepLines w:val="0"/>
        <w:pageBreakBefore w:val="0"/>
        <w:widowControl w:val="0"/>
        <w:kinsoku/>
        <w:wordWrap/>
        <w:overflowPunct/>
        <w:topLinePunct w:val="0"/>
        <w:autoSpaceDE/>
        <w:autoSpaceDN/>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160" w:name="_Toc417454847"/>
      <w:bookmarkStart w:id="161" w:name="_Toc199574624"/>
      <w:bookmarkStart w:id="162" w:name="_Toc260217326"/>
      <w:r>
        <w:rPr>
          <w:rFonts w:hint="default" w:ascii="Times New Roman" w:hAnsi="Times New Roman" w:eastAsia="宋体" w:cs="Times New Roman"/>
          <w:b/>
          <w:color w:val="auto"/>
          <w:sz w:val="21"/>
          <w:szCs w:val="21"/>
          <w:highlight w:val="none"/>
          <w:lang w:bidi="ar"/>
        </w:rPr>
        <w:t>三、乙方的权利和义务</w:t>
      </w:r>
      <w:bookmarkEnd w:id="160"/>
      <w:bookmarkEnd w:id="161"/>
      <w:bookmarkEnd w:id="162"/>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1、乙方只有在与甲方签订本协议后，才获得</w:t>
      </w:r>
      <w:r>
        <w:rPr>
          <w:rFonts w:hint="default" w:ascii="Times New Roman" w:hAnsi="Times New Roman" w:eastAsia="宋体" w:cs="Times New Roman"/>
          <w:color w:val="auto"/>
          <w:sz w:val="21"/>
          <w:szCs w:val="21"/>
          <w:highlight w:val="none"/>
          <w:lang w:val="en-US" w:eastAsia="zh-CN" w:bidi="ar"/>
        </w:rPr>
        <w:t>本框架协议合同下承接相关工作的</w:t>
      </w:r>
      <w:r>
        <w:rPr>
          <w:rFonts w:hint="default" w:ascii="Times New Roman" w:hAnsi="Times New Roman" w:eastAsia="宋体" w:cs="Times New Roman"/>
          <w:color w:val="auto"/>
          <w:sz w:val="21"/>
          <w:szCs w:val="21"/>
          <w:highlight w:val="none"/>
          <w:lang w:bidi="ar"/>
        </w:rPr>
        <w:t>有效资格。</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2、严格执行国家法律法规，守法经营，按章办事，自觉维护甲方利益。</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3、乙方所</w:t>
      </w:r>
      <w:r>
        <w:rPr>
          <w:rFonts w:hint="default" w:ascii="Times New Roman" w:hAnsi="Times New Roman" w:eastAsia="宋体" w:cs="Times New Roman"/>
          <w:color w:val="auto"/>
          <w:sz w:val="21"/>
          <w:szCs w:val="21"/>
          <w:highlight w:val="none"/>
          <w:lang w:val="en-US" w:eastAsia="zh-CN" w:bidi="ar"/>
        </w:rPr>
        <w:t>提供的</w:t>
      </w:r>
      <w:r>
        <w:rPr>
          <w:rFonts w:hint="default" w:ascii="Times New Roman" w:hAnsi="Times New Roman" w:eastAsia="宋体" w:cs="Times New Roman"/>
          <w:b w:val="0"/>
          <w:color w:val="auto"/>
          <w:sz w:val="21"/>
          <w:szCs w:val="21"/>
          <w:highlight w:val="none"/>
          <w:lang w:val="en-US" w:eastAsia="zh-CN" w:bidi="ar"/>
        </w:rPr>
        <w:t>服务质量满足必须满足相关规范要求及甲方需求</w:t>
      </w:r>
      <w:r>
        <w:rPr>
          <w:rFonts w:hint="default" w:ascii="Times New Roman" w:hAnsi="Times New Roman" w:eastAsia="宋体" w:cs="Times New Roman"/>
          <w:color w:val="auto"/>
          <w:sz w:val="21"/>
          <w:szCs w:val="21"/>
          <w:highlight w:val="none"/>
          <w:lang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4、乙方应保证</w:t>
      </w:r>
      <w:r>
        <w:rPr>
          <w:rFonts w:hint="default" w:ascii="Times New Roman" w:hAnsi="Times New Roman" w:eastAsia="宋体" w:cs="Times New Roman"/>
          <w:color w:val="auto"/>
          <w:sz w:val="21"/>
          <w:szCs w:val="21"/>
          <w:highlight w:val="none"/>
          <w:lang w:val="en-US" w:eastAsia="zh-CN" w:bidi="ar"/>
        </w:rPr>
        <w:t>在接到甲方通知要求后24h内派遣相关工作人员与甲方联系人取得联系，对接具体项目需求，并在甲方要求的时限内提交相应工作方案</w:t>
      </w:r>
      <w:r>
        <w:rPr>
          <w:rFonts w:hint="default" w:ascii="Times New Roman" w:hAnsi="Times New Roman" w:eastAsia="宋体" w:cs="Times New Roman"/>
          <w:color w:val="auto"/>
          <w:sz w:val="21"/>
          <w:szCs w:val="21"/>
          <w:highlight w:val="none"/>
          <w:lang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eastAsia="zh-CN" w:bidi="ar"/>
        </w:rPr>
      </w:pPr>
      <w:r>
        <w:rPr>
          <w:rFonts w:hint="eastAsia"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、乙方应配合甲方或</w:t>
      </w:r>
      <w:r>
        <w:rPr>
          <w:rFonts w:hint="default" w:ascii="Times New Roman" w:hAnsi="Times New Roman" w:eastAsia="宋体" w:cs="Times New Roman"/>
          <w:color w:val="auto"/>
          <w:sz w:val="21"/>
          <w:szCs w:val="21"/>
          <w:highlight w:val="none"/>
          <w:lang w:val="en-US" w:eastAsia="zh-CN" w:bidi="ar"/>
        </w:rPr>
        <w:t>甲方委托的</w:t>
      </w:r>
      <w:r>
        <w:rPr>
          <w:rFonts w:hint="default" w:ascii="Times New Roman" w:hAnsi="Times New Roman" w:eastAsia="宋体" w:cs="Times New Roman"/>
          <w:color w:val="auto"/>
          <w:sz w:val="21"/>
          <w:szCs w:val="21"/>
          <w:highlight w:val="none"/>
          <w:lang w:bidi="ar"/>
        </w:rPr>
        <w:t>第三方机构对</w:t>
      </w:r>
      <w:r>
        <w:rPr>
          <w:rFonts w:hint="default" w:ascii="Times New Roman" w:hAnsi="Times New Roman" w:eastAsia="宋体" w:cs="Times New Roman"/>
          <w:color w:val="auto"/>
          <w:sz w:val="21"/>
          <w:szCs w:val="21"/>
          <w:highlight w:val="none"/>
          <w:lang w:val="en-US" w:eastAsia="zh-CN" w:bidi="ar"/>
        </w:rPr>
        <w:t>乙方提供的</w:t>
      </w:r>
      <w:r>
        <w:rPr>
          <w:rFonts w:hint="default" w:ascii="Times New Roman" w:hAnsi="Times New Roman" w:eastAsia="宋体" w:cs="Times New Roman"/>
          <w:b w:val="0"/>
          <w:color w:val="auto"/>
          <w:sz w:val="21"/>
          <w:szCs w:val="21"/>
          <w:highlight w:val="none"/>
          <w:lang w:val="en-US" w:eastAsia="zh-CN" w:bidi="ar"/>
        </w:rPr>
        <w:t>服务</w:t>
      </w:r>
      <w:r>
        <w:rPr>
          <w:rFonts w:hint="default" w:ascii="Times New Roman" w:hAnsi="Times New Roman" w:eastAsia="宋体" w:cs="Times New Roman"/>
          <w:color w:val="auto"/>
          <w:sz w:val="21"/>
          <w:szCs w:val="21"/>
          <w:highlight w:val="none"/>
          <w:lang w:val="en-US" w:eastAsia="zh-CN" w:bidi="ar"/>
        </w:rPr>
        <w:t>进行检查（检测）。乙方提供的</w:t>
      </w:r>
      <w:r>
        <w:rPr>
          <w:rFonts w:hint="default" w:ascii="Times New Roman" w:hAnsi="Times New Roman" w:eastAsia="宋体" w:cs="Times New Roman"/>
          <w:b w:val="0"/>
          <w:color w:val="auto"/>
          <w:sz w:val="21"/>
          <w:szCs w:val="21"/>
          <w:highlight w:val="none"/>
          <w:lang w:val="en-US" w:eastAsia="zh-CN" w:bidi="ar"/>
        </w:rPr>
        <w:t>服务质量不符合标准的，由乙方承担检查（</w:t>
      </w:r>
      <w:r>
        <w:rPr>
          <w:rFonts w:hint="default" w:ascii="Times New Roman" w:hAnsi="Times New Roman" w:eastAsia="宋体" w:cs="Times New Roman"/>
          <w:color w:val="auto"/>
          <w:sz w:val="21"/>
          <w:szCs w:val="21"/>
          <w:highlight w:val="none"/>
          <w:lang w:bidi="ar"/>
        </w:rPr>
        <w:t>检测</w:t>
      </w:r>
      <w:r>
        <w:rPr>
          <w:rFonts w:hint="default" w:ascii="Times New Roman" w:hAnsi="Times New Roman" w:eastAsia="宋体" w:cs="Times New Roman"/>
          <w:b w:val="0"/>
          <w:color w:val="auto"/>
          <w:sz w:val="21"/>
          <w:szCs w:val="21"/>
          <w:highlight w:val="none"/>
          <w:lang w:val="en-US" w:eastAsia="zh-CN" w:bidi="ar"/>
        </w:rPr>
        <w:t>）</w:t>
      </w:r>
      <w:r>
        <w:rPr>
          <w:rFonts w:hint="default" w:ascii="Times New Roman" w:hAnsi="Times New Roman" w:eastAsia="宋体" w:cs="Times New Roman"/>
          <w:color w:val="auto"/>
          <w:sz w:val="21"/>
          <w:szCs w:val="21"/>
          <w:highlight w:val="none"/>
          <w:lang w:bidi="ar"/>
        </w:rPr>
        <w:t>费用及相关责任</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对甲方造成损失的，还应赔偿相应损失</w:t>
      </w:r>
      <w:r>
        <w:rPr>
          <w:rFonts w:hint="default" w:ascii="Times New Roman" w:hAnsi="Times New Roman" w:eastAsia="宋体" w:cs="Times New Roman"/>
          <w:color w:val="auto"/>
          <w:sz w:val="21"/>
          <w:szCs w:val="21"/>
          <w:highlight w:val="none"/>
          <w:lang w:eastAsia="zh-CN"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6、</w:t>
      </w:r>
      <w:r>
        <w:rPr>
          <w:rFonts w:hint="default" w:ascii="Times New Roman" w:hAnsi="Times New Roman" w:eastAsia="宋体" w:cs="Times New Roman"/>
          <w:color w:val="auto"/>
          <w:sz w:val="21"/>
          <w:szCs w:val="21"/>
          <w:highlight w:val="none"/>
          <w:lang w:val="en-US" w:eastAsia="zh-CN" w:bidi="ar"/>
        </w:rPr>
        <w:t>乙方根据甲方的仪器设备检定/校准需求提供上门检定/校准服务，如需带回实验室检定/校准，由乙方</w:t>
      </w:r>
      <w:r>
        <w:rPr>
          <w:rFonts w:hint="eastAsia" w:ascii="Times New Roman" w:hAnsi="Times New Roman" w:eastAsia="宋体" w:cs="Times New Roman"/>
          <w:color w:val="auto"/>
          <w:sz w:val="21"/>
          <w:szCs w:val="21"/>
          <w:highlight w:val="none"/>
          <w:lang w:val="en-US" w:eastAsia="zh-CN" w:bidi="ar"/>
        </w:rPr>
        <w:t>负责</w:t>
      </w:r>
      <w:r>
        <w:rPr>
          <w:rFonts w:hint="default" w:ascii="Times New Roman" w:hAnsi="Times New Roman" w:eastAsia="宋体" w:cs="Times New Roman"/>
          <w:color w:val="auto"/>
          <w:sz w:val="21"/>
          <w:szCs w:val="21"/>
          <w:highlight w:val="none"/>
          <w:lang w:val="en-US" w:eastAsia="zh-CN" w:bidi="ar"/>
        </w:rPr>
        <w:t>带走检测设备并于检定/校准结束后及时送还所属工地试验室，且双方应做好设备交接手续，乙方对带出检定/校准期间的甲方设备负有妥善保管义务，不得损坏或丢失，否则应当赔偿甲方损失</w:t>
      </w:r>
      <w:r>
        <w:rPr>
          <w:rFonts w:hint="eastAsia" w:ascii="Times New Roman" w:hAnsi="Times New Roman" w:eastAsia="宋体" w:cs="Times New Roman"/>
          <w:color w:val="auto"/>
          <w:sz w:val="21"/>
          <w:szCs w:val="21"/>
          <w:highlight w:val="none"/>
          <w:lang w:val="en-US" w:eastAsia="zh-CN"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7、</w:t>
      </w:r>
      <w:r>
        <w:rPr>
          <w:rFonts w:hint="default" w:ascii="Times New Roman" w:hAnsi="Times New Roman" w:eastAsia="宋体" w:cs="Times New Roman"/>
          <w:color w:val="auto"/>
          <w:sz w:val="21"/>
          <w:szCs w:val="21"/>
          <w:highlight w:val="none"/>
          <w:lang w:val="en-US" w:eastAsia="zh-CN" w:bidi="ar"/>
        </w:rPr>
        <w:t>乙方</w:t>
      </w:r>
      <w:r>
        <w:rPr>
          <w:rFonts w:hint="eastAsia" w:ascii="Times New Roman" w:hAnsi="Times New Roman" w:eastAsia="宋体" w:cs="Times New Roman"/>
          <w:color w:val="auto"/>
          <w:sz w:val="21"/>
          <w:szCs w:val="21"/>
          <w:highlight w:val="none"/>
          <w:lang w:val="en-US" w:eastAsia="zh-CN" w:bidi="ar"/>
        </w:rPr>
        <w:t>对于</w:t>
      </w:r>
      <w:r>
        <w:rPr>
          <w:rFonts w:hint="default" w:ascii="Times New Roman" w:hAnsi="Times New Roman" w:eastAsia="宋体" w:cs="Times New Roman"/>
          <w:color w:val="auto"/>
          <w:sz w:val="21"/>
          <w:szCs w:val="21"/>
          <w:highlight w:val="none"/>
          <w:lang w:val="en-US" w:eastAsia="zh-CN" w:bidi="ar"/>
        </w:rPr>
        <w:t>现场检定/校准、仪器送检的</w:t>
      </w:r>
      <w:r>
        <w:rPr>
          <w:rFonts w:hint="eastAsia" w:ascii="Times New Roman" w:hAnsi="Times New Roman" w:eastAsia="宋体" w:cs="Times New Roman"/>
          <w:color w:val="auto"/>
          <w:sz w:val="21"/>
          <w:szCs w:val="21"/>
          <w:highlight w:val="none"/>
          <w:lang w:val="en-US" w:eastAsia="zh-CN" w:bidi="ar"/>
        </w:rPr>
        <w:t>试验检测仪器设备</w:t>
      </w:r>
      <w:r>
        <w:rPr>
          <w:rFonts w:hint="default" w:ascii="Times New Roman" w:hAnsi="Times New Roman" w:eastAsia="宋体" w:cs="Times New Roman"/>
          <w:color w:val="auto"/>
          <w:sz w:val="21"/>
          <w:szCs w:val="21"/>
          <w:highlight w:val="none"/>
          <w:lang w:val="en-US" w:eastAsia="zh-CN" w:bidi="ar"/>
        </w:rPr>
        <w:t>，原则上在</w:t>
      </w:r>
      <w:r>
        <w:rPr>
          <w:rFonts w:hint="eastAsia" w:ascii="Times New Roman" w:hAnsi="Times New Roman" w:eastAsia="宋体" w:cs="Times New Roman"/>
          <w:color w:val="auto"/>
          <w:sz w:val="21"/>
          <w:szCs w:val="21"/>
          <w:highlight w:val="none"/>
          <w:lang w:val="en-US" w:eastAsia="zh-CN" w:bidi="ar"/>
        </w:rPr>
        <w:t>10</w:t>
      </w:r>
      <w:r>
        <w:rPr>
          <w:rFonts w:hint="default" w:ascii="Times New Roman" w:hAnsi="Times New Roman" w:eastAsia="宋体" w:cs="Times New Roman"/>
          <w:color w:val="auto"/>
          <w:sz w:val="21"/>
          <w:szCs w:val="21"/>
          <w:highlight w:val="none"/>
          <w:lang w:val="en-US" w:eastAsia="zh-CN" w:bidi="ar"/>
        </w:rPr>
        <w:t>个工作日内出具证书，</w:t>
      </w:r>
      <w:r>
        <w:rPr>
          <w:rFonts w:hint="eastAsia" w:ascii="Times New Roman" w:hAnsi="Times New Roman" w:eastAsia="宋体" w:cs="Times New Roman"/>
          <w:color w:val="auto"/>
          <w:sz w:val="21"/>
          <w:szCs w:val="21"/>
          <w:highlight w:val="none"/>
          <w:lang w:val="en-US" w:eastAsia="zh-CN" w:bidi="ar"/>
        </w:rPr>
        <w:t>成交供应商</w:t>
      </w:r>
      <w:r>
        <w:rPr>
          <w:rFonts w:hint="default" w:ascii="Times New Roman" w:hAnsi="Times New Roman" w:eastAsia="宋体" w:cs="Times New Roman"/>
          <w:color w:val="auto"/>
          <w:sz w:val="21"/>
          <w:szCs w:val="21"/>
          <w:highlight w:val="none"/>
          <w:lang w:val="en-US" w:eastAsia="zh-CN" w:bidi="ar"/>
        </w:rPr>
        <w:t>应在约定时间完成检定/校准服务、出具检定/校准证书并送达该批试验检测仪器设备所在工地试验室。</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8、</w:t>
      </w:r>
      <w:r>
        <w:rPr>
          <w:rFonts w:hint="default" w:ascii="Times New Roman" w:hAnsi="Times New Roman" w:eastAsia="宋体" w:cs="Times New Roman"/>
          <w:color w:val="auto"/>
          <w:sz w:val="21"/>
          <w:szCs w:val="21"/>
          <w:highlight w:val="none"/>
          <w:lang w:val="en-US" w:eastAsia="zh-CN" w:bidi="ar"/>
        </w:rPr>
        <w:t>检测设备超过乙方计量能力范围的，经甲方书面同意后由乙方负责代送至有相应资质的检定/校准机构并向甲方提供外协检定/校准机构相应资质供甲方备案</w:t>
      </w:r>
      <w:r>
        <w:rPr>
          <w:rFonts w:hint="default" w:ascii="Times New Roman" w:hAnsi="Times New Roman" w:eastAsia="宋体" w:cs="Times New Roman"/>
          <w:color w:val="auto"/>
          <w:sz w:val="21"/>
          <w:szCs w:val="21"/>
          <w:highlight w:val="none"/>
          <w:lang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9</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乙方不得转让和违规分包合同内容</w:t>
      </w:r>
      <w:r>
        <w:rPr>
          <w:rFonts w:hint="default" w:ascii="Times New Roman" w:hAnsi="Times New Roman" w:eastAsia="宋体" w:cs="Times New Roman"/>
          <w:color w:val="auto"/>
          <w:sz w:val="21"/>
          <w:szCs w:val="21"/>
          <w:highlight w:val="none"/>
          <w:lang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10</w:t>
      </w:r>
      <w:r>
        <w:rPr>
          <w:rFonts w:hint="default" w:ascii="Times New Roman" w:hAnsi="Times New Roman" w:eastAsia="宋体" w:cs="Times New Roman"/>
          <w:color w:val="auto"/>
          <w:sz w:val="21"/>
          <w:szCs w:val="21"/>
          <w:highlight w:val="none"/>
          <w:lang w:bidi="ar"/>
        </w:rPr>
        <w:t>、乙方应对甲方</w:t>
      </w:r>
      <w:r>
        <w:rPr>
          <w:rFonts w:hint="default" w:ascii="Times New Roman" w:hAnsi="Times New Roman" w:eastAsia="宋体" w:cs="Times New Roman"/>
          <w:color w:val="auto"/>
          <w:sz w:val="21"/>
          <w:szCs w:val="21"/>
          <w:highlight w:val="none"/>
          <w:lang w:val="en-US" w:eastAsia="zh-CN" w:bidi="ar"/>
        </w:rPr>
        <w:t>及项目</w:t>
      </w:r>
      <w:r>
        <w:rPr>
          <w:rFonts w:hint="default" w:ascii="Times New Roman" w:hAnsi="Times New Roman" w:eastAsia="宋体" w:cs="Times New Roman"/>
          <w:color w:val="auto"/>
          <w:sz w:val="21"/>
          <w:szCs w:val="21"/>
          <w:highlight w:val="none"/>
          <w:lang w:bidi="ar"/>
        </w:rPr>
        <w:t>的相关信息承担保密义务。</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11</w:t>
      </w:r>
      <w:r>
        <w:rPr>
          <w:rFonts w:hint="default" w:ascii="Times New Roman" w:hAnsi="Times New Roman" w:eastAsia="宋体" w:cs="Times New Roman"/>
          <w:color w:val="auto"/>
          <w:sz w:val="21"/>
          <w:szCs w:val="21"/>
          <w:highlight w:val="none"/>
          <w:lang w:bidi="ar"/>
        </w:rPr>
        <w:t>、乙方不得向甲方或有关工作人员行贿或提供其它不正当利益。</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12</w:t>
      </w:r>
      <w:r>
        <w:rPr>
          <w:rFonts w:hint="default" w:ascii="Times New Roman" w:hAnsi="Times New Roman" w:eastAsia="宋体" w:cs="Times New Roman"/>
          <w:color w:val="auto"/>
          <w:sz w:val="21"/>
          <w:szCs w:val="21"/>
          <w:highlight w:val="none"/>
          <w:lang w:bidi="ar"/>
        </w:rPr>
        <w:t>、乙方承诺：甲方已充分提示，乙方亦已经保证：乙方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因素、原因、责任，任何情况下乙方均应当承担相应的法律责任。</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eastAsia="zh-CN" w:bidi="ar"/>
        </w:rPr>
        <w:t>1</w:t>
      </w: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w:t>
      </w:r>
      <w:r>
        <w:rPr>
          <w:rFonts w:hint="eastAsia" w:ascii="Times New Roman" w:hAnsi="Times New Roman" w:eastAsia="宋体" w:cs="Times New Roman"/>
          <w:color w:val="auto"/>
          <w:sz w:val="21"/>
          <w:szCs w:val="21"/>
          <w:highlight w:val="none"/>
          <w:lang w:val="en-US" w:eastAsia="zh-CN" w:bidi="ar"/>
        </w:rPr>
        <w:t>在甲方取得相关合同授权并对乙方披露后</w:t>
      </w:r>
      <w:r>
        <w:rPr>
          <w:rFonts w:hint="eastAsia"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乙方同意本协议适用于</w:t>
      </w:r>
      <w:r>
        <w:rPr>
          <w:rFonts w:hint="default" w:ascii="Times New Roman" w:hAnsi="Times New Roman" w:eastAsia="宋体" w:cs="Times New Roman"/>
          <w:color w:val="auto"/>
          <w:sz w:val="21"/>
          <w:szCs w:val="21"/>
          <w:highlight w:val="none"/>
          <w:lang w:val="en-US" w:eastAsia="zh-CN" w:bidi="ar"/>
        </w:rPr>
        <w:t>甲方及甲方指定的</w:t>
      </w:r>
      <w:r>
        <w:rPr>
          <w:rFonts w:hint="default" w:ascii="Times New Roman" w:hAnsi="Times New Roman" w:eastAsia="宋体" w:cs="Times New Roman"/>
          <w:color w:val="auto"/>
          <w:szCs w:val="21"/>
          <w:highlight w:val="none"/>
          <w:lang w:bidi="ar"/>
        </w:rPr>
        <w:t>甲方控股或管理的单位</w:t>
      </w:r>
      <w:r>
        <w:rPr>
          <w:rFonts w:hint="default" w:ascii="Times New Roman" w:hAnsi="Times New Roman" w:eastAsia="宋体" w:cs="Times New Roman"/>
          <w:color w:val="auto"/>
          <w:sz w:val="21"/>
          <w:szCs w:val="21"/>
          <w:highlight w:val="none"/>
          <w:lang w:bidi="ar"/>
        </w:rPr>
        <w:t>。</w:t>
      </w:r>
    </w:p>
    <w:p>
      <w:pPr>
        <w:pStyle w:val="2"/>
        <w:rPr>
          <w:rFonts w:hint="default" w:ascii="Times New Roman" w:hAnsi="Times New Roman" w:eastAsia="宋体" w:cs="Times New Roman"/>
          <w:color w:val="auto"/>
          <w:sz w:val="21"/>
          <w:szCs w:val="21"/>
          <w:highlight w:val="none"/>
          <w:lang w:bidi="ar"/>
        </w:rPr>
      </w:pPr>
    </w:p>
    <w:p>
      <w:pPr>
        <w:pStyle w:val="3"/>
        <w:rPr>
          <w:rFonts w:hint="default"/>
        </w:rPr>
      </w:pPr>
    </w:p>
    <w:p>
      <w:pPr>
        <w:keepNext w:val="0"/>
        <w:keepLines w:val="0"/>
        <w:pageBreakBefore w:val="0"/>
        <w:widowControl w:val="0"/>
        <w:kinsoku/>
        <w:wordWrap/>
        <w:overflowPunct/>
        <w:topLinePunct w:val="0"/>
        <w:autoSpaceDE/>
        <w:autoSpaceDN/>
        <w:bidi w:val="0"/>
        <w:snapToGrid w:val="0"/>
        <w:spacing w:line="440" w:lineRule="exact"/>
        <w:ind w:firstLine="422" w:firstLineChars="200"/>
        <w:outlineLvl w:val="9"/>
        <w:rPr>
          <w:rFonts w:hint="default" w:ascii="Times New Roman" w:hAnsi="Times New Roman" w:eastAsia="宋体" w:cs="Times New Roman"/>
          <w:b/>
          <w:color w:val="auto"/>
          <w:sz w:val="21"/>
          <w:szCs w:val="21"/>
          <w:highlight w:val="none"/>
          <w:lang w:bidi="ar"/>
        </w:rPr>
      </w:pPr>
      <w:r>
        <w:rPr>
          <w:rFonts w:hint="eastAsia" w:ascii="Times New Roman" w:hAnsi="Times New Roman" w:eastAsia="宋体" w:cs="Times New Roman"/>
          <w:b/>
          <w:color w:val="auto"/>
          <w:sz w:val="21"/>
          <w:szCs w:val="21"/>
          <w:highlight w:val="none"/>
          <w:lang w:val="en-US" w:eastAsia="zh-CN" w:bidi="ar"/>
        </w:rPr>
        <w:t>四、</w:t>
      </w:r>
      <w:r>
        <w:rPr>
          <w:rFonts w:hint="default" w:ascii="Times New Roman" w:hAnsi="Times New Roman" w:eastAsia="宋体" w:cs="Times New Roman"/>
          <w:b/>
          <w:color w:val="auto"/>
          <w:sz w:val="21"/>
          <w:szCs w:val="21"/>
          <w:highlight w:val="none"/>
          <w:lang w:bidi="ar"/>
        </w:rPr>
        <w:t>项目分配原则</w:t>
      </w:r>
    </w:p>
    <w:p>
      <w:pPr>
        <w:widowControl/>
        <w:spacing w:line="440" w:lineRule="exact"/>
        <w:ind w:firstLine="420"/>
        <w:jc w:val="left"/>
        <w:rPr>
          <w:rFonts w:ascii="Times New Roman" w:hAnsi="Times New Roman" w:cs="Times New Roman"/>
        </w:rPr>
      </w:pPr>
      <w:r>
        <w:rPr>
          <w:rFonts w:ascii="Times New Roman" w:hAnsi="Times New Roman" w:cs="Times New Roman"/>
        </w:rPr>
        <w:t>1、按评审过程中竞标人首轮报价比例由低到高排序的顺序进行分配，即首个</w:t>
      </w:r>
      <w:r>
        <w:rPr>
          <w:rFonts w:hint="eastAsia" w:ascii="Times New Roman" w:hAnsi="Times New Roman" w:cs="Times New Roman"/>
          <w:lang w:val="en-US" w:eastAsia="zh-CN"/>
        </w:rPr>
        <w:t>仪器设备检定/校准服务</w:t>
      </w:r>
      <w:r>
        <w:rPr>
          <w:rFonts w:ascii="Times New Roman" w:hAnsi="Times New Roman" w:cs="Times New Roman"/>
        </w:rPr>
        <w:t>项目由首轮报价比例最低的竞标人提供。剩下项目按顺序轮次分配。</w:t>
      </w:r>
    </w:p>
    <w:p>
      <w:pPr>
        <w:widowControl/>
        <w:spacing w:line="440" w:lineRule="exact"/>
        <w:ind w:firstLine="420"/>
        <w:jc w:val="left"/>
        <w:rPr>
          <w:rFonts w:ascii="Times New Roman" w:hAnsi="Times New Roman" w:cs="Times New Roman"/>
        </w:rPr>
      </w:pPr>
      <w:r>
        <w:rPr>
          <w:rFonts w:ascii="Times New Roman" w:hAnsi="Times New Roman" w:cs="Times New Roman"/>
        </w:rPr>
        <w:t>2、如服务期内乙方服务质量达不到甲方要求，甲方有权取消其</w:t>
      </w:r>
      <w:r>
        <w:rPr>
          <w:rFonts w:hint="eastAsia" w:ascii="Times New Roman" w:hAnsi="Times New Roman" w:cs="Times New Roman"/>
          <w:lang w:val="en-US" w:eastAsia="zh-CN"/>
        </w:rPr>
        <w:t>服务</w:t>
      </w:r>
      <w:r>
        <w:rPr>
          <w:rFonts w:ascii="Times New Roman" w:hAnsi="Times New Roman" w:cs="Times New Roman"/>
        </w:rPr>
        <w:t>资格。</w:t>
      </w:r>
    </w:p>
    <w:p>
      <w:pPr>
        <w:widowControl/>
        <w:spacing w:line="440" w:lineRule="exact"/>
        <w:ind w:firstLine="420"/>
        <w:jc w:val="left"/>
        <w:rPr>
          <w:rFonts w:hint="default"/>
        </w:rPr>
      </w:pPr>
      <w:r>
        <w:rPr>
          <w:rFonts w:ascii="Times New Roman" w:hAnsi="Times New Roman" w:cs="Times New Roman"/>
        </w:rPr>
        <w:t>3、供应商不得无正当理由放弃成交资格，确有特殊原因放弃的，应书面陈述理由，报甲方审批确认。供应商无正当理由放弃成交资格的，甲方有权取消其入库资格。</w:t>
      </w:r>
    </w:p>
    <w:p>
      <w:pPr>
        <w:keepNext w:val="0"/>
        <w:keepLines w:val="0"/>
        <w:pageBreakBefore w:val="0"/>
        <w:widowControl w:val="0"/>
        <w:kinsoku/>
        <w:wordWrap/>
        <w:overflowPunct/>
        <w:topLinePunct w:val="0"/>
        <w:autoSpaceDE/>
        <w:autoSpaceDN/>
        <w:bidi w:val="0"/>
        <w:snapToGrid w:val="0"/>
        <w:spacing w:line="440" w:lineRule="exact"/>
        <w:ind w:firstLine="422" w:firstLineChars="200"/>
        <w:outlineLvl w:val="9"/>
        <w:rPr>
          <w:rFonts w:hint="default" w:ascii="Times New Roman" w:hAnsi="Times New Roman" w:eastAsia="宋体" w:cs="Times New Roman"/>
          <w:b/>
          <w:color w:val="auto"/>
          <w:sz w:val="21"/>
          <w:szCs w:val="21"/>
          <w:highlight w:val="none"/>
        </w:rPr>
      </w:pPr>
      <w:bookmarkStart w:id="163" w:name="_Toc417454848"/>
      <w:r>
        <w:rPr>
          <w:rFonts w:hint="eastAsia" w:ascii="Times New Roman" w:hAnsi="Times New Roman" w:eastAsia="宋体" w:cs="Times New Roman"/>
          <w:b/>
          <w:color w:val="auto"/>
          <w:sz w:val="21"/>
          <w:szCs w:val="21"/>
          <w:highlight w:val="none"/>
          <w:lang w:val="en-US" w:eastAsia="zh-CN" w:bidi="ar"/>
        </w:rPr>
        <w:t>五</w:t>
      </w:r>
      <w:r>
        <w:rPr>
          <w:rFonts w:hint="default" w:ascii="Times New Roman" w:hAnsi="Times New Roman" w:eastAsia="宋体" w:cs="Times New Roman"/>
          <w:b/>
          <w:color w:val="auto"/>
          <w:sz w:val="21"/>
          <w:szCs w:val="21"/>
          <w:highlight w:val="none"/>
          <w:lang w:bidi="ar"/>
        </w:rPr>
        <w:t>、违约责任</w:t>
      </w:r>
      <w:bookmarkEnd w:id="163"/>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bidi="ar"/>
        </w:rPr>
        <w:t>双方都必须严格遵守签订的合同条款、不得违约；任一方违反本合同约定造成另一方损失的，违约方应承担赔偿责任。</w:t>
      </w:r>
      <w:r>
        <w:rPr>
          <w:rFonts w:hint="default" w:ascii="Times New Roman" w:hAnsi="Times New Roman" w:eastAsia="宋体" w:cs="Times New Roman"/>
          <w:color w:val="auto"/>
          <w:szCs w:val="21"/>
          <w:highlight w:val="none"/>
          <w:lang w:val="en-US" w:eastAsia="zh-CN" w:bidi="ar"/>
        </w:rPr>
        <w:t>具体赔偿标准由各项目合同具体约定，违约的情形包括：</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w:t>
      </w:r>
      <w:r>
        <w:rPr>
          <w:rFonts w:hint="eastAsia" w:ascii="Times New Roman" w:hAnsi="Times New Roman" w:eastAsia="宋体" w:cs="Times New Roman"/>
          <w:color w:val="auto"/>
          <w:sz w:val="21"/>
          <w:szCs w:val="21"/>
          <w:highlight w:val="none"/>
          <w:lang w:val="en-US" w:eastAsia="zh-CN" w:bidi="ar"/>
        </w:rPr>
        <w:t>甲方未及时支付合同款；</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2、</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无正当理由拒绝签订</w:t>
      </w:r>
      <w:r>
        <w:rPr>
          <w:rFonts w:hint="default" w:ascii="Times New Roman" w:hAnsi="Times New Roman" w:eastAsia="宋体" w:cs="Times New Roman"/>
          <w:color w:val="auto"/>
          <w:sz w:val="21"/>
          <w:szCs w:val="21"/>
          <w:highlight w:val="none"/>
          <w:lang w:val="en-US" w:eastAsia="zh-CN" w:bidi="ar"/>
        </w:rPr>
        <w:t>项目</w:t>
      </w:r>
      <w:r>
        <w:rPr>
          <w:rFonts w:hint="default" w:ascii="Times New Roman" w:hAnsi="Times New Roman" w:eastAsia="宋体" w:cs="Times New Roman"/>
          <w:color w:val="auto"/>
          <w:sz w:val="21"/>
          <w:szCs w:val="21"/>
          <w:highlight w:val="none"/>
          <w:lang w:bidi="ar"/>
        </w:rPr>
        <w:t>合同以及双方交易达成或签订合同后拒绝履约的；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使用不正当竞争手段，影响</w:t>
      </w:r>
      <w:r>
        <w:rPr>
          <w:rFonts w:hint="default" w:ascii="Times New Roman" w:hAnsi="Times New Roman" w:eastAsia="宋体" w:cs="Times New Roman"/>
          <w:color w:val="auto"/>
          <w:sz w:val="21"/>
          <w:szCs w:val="21"/>
          <w:highlight w:val="none"/>
          <w:lang w:val="en-US" w:eastAsia="zh-CN" w:bidi="ar"/>
        </w:rPr>
        <w:t>甲方</w:t>
      </w:r>
      <w:r>
        <w:rPr>
          <w:rFonts w:hint="default" w:ascii="Times New Roman" w:hAnsi="Times New Roman" w:eastAsia="宋体" w:cs="Times New Roman"/>
          <w:color w:val="auto"/>
          <w:sz w:val="21"/>
          <w:szCs w:val="21"/>
          <w:highlight w:val="none"/>
          <w:lang w:bidi="ar"/>
        </w:rPr>
        <w:t>正常采购活动的；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4</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提供</w:t>
      </w:r>
      <w:r>
        <w:rPr>
          <w:rFonts w:hint="default" w:ascii="Times New Roman" w:hAnsi="Times New Roman" w:eastAsia="宋体" w:cs="Times New Roman"/>
          <w:color w:val="auto"/>
          <w:sz w:val="21"/>
          <w:szCs w:val="21"/>
          <w:highlight w:val="none"/>
          <w:lang w:val="en-US" w:eastAsia="zh-CN" w:bidi="ar"/>
        </w:rPr>
        <w:t>的</w:t>
      </w:r>
      <w:r>
        <w:rPr>
          <w:rFonts w:hint="default" w:ascii="Times New Roman" w:hAnsi="Times New Roman" w:eastAsia="宋体" w:cs="Times New Roman"/>
          <w:b w:val="0"/>
          <w:color w:val="auto"/>
          <w:sz w:val="21"/>
          <w:szCs w:val="21"/>
          <w:highlight w:val="none"/>
          <w:lang w:val="en-US" w:eastAsia="zh-CN" w:bidi="ar"/>
        </w:rPr>
        <w:t>服务</w:t>
      </w:r>
      <w:r>
        <w:rPr>
          <w:rFonts w:hint="default" w:ascii="Times New Roman" w:hAnsi="Times New Roman" w:eastAsia="宋体" w:cs="Times New Roman"/>
          <w:color w:val="auto"/>
          <w:sz w:val="21"/>
          <w:szCs w:val="21"/>
          <w:highlight w:val="none"/>
          <w:lang w:bidi="ar"/>
        </w:rPr>
        <w:t>不符合国家有关规定和</w:t>
      </w:r>
      <w:r>
        <w:rPr>
          <w:rFonts w:hint="default" w:ascii="Times New Roman" w:hAnsi="Times New Roman" w:eastAsia="宋体" w:cs="Times New Roman"/>
          <w:color w:val="auto"/>
          <w:sz w:val="21"/>
          <w:szCs w:val="21"/>
          <w:highlight w:val="none"/>
          <w:lang w:val="en-US" w:eastAsia="zh-CN" w:bidi="ar"/>
        </w:rPr>
        <w:t>响应</w:t>
      </w:r>
      <w:r>
        <w:rPr>
          <w:rFonts w:hint="default" w:ascii="Times New Roman" w:hAnsi="Times New Roman" w:eastAsia="宋体" w:cs="Times New Roman"/>
          <w:color w:val="auto"/>
          <w:sz w:val="21"/>
          <w:szCs w:val="21"/>
          <w:highlight w:val="none"/>
          <w:lang w:bidi="ar"/>
        </w:rPr>
        <w:t>文件承诺、合同约定的标准的；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拒绝接受甲方的监督检查的；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6</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被有关机关责令关闭、撤销登记、吊销营业执照或者被行业主管部门取消行业经营资格的；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7</w:t>
      </w:r>
      <w:r>
        <w:rPr>
          <w:rFonts w:hint="default" w:ascii="Times New Roman" w:hAnsi="Times New Roman" w:eastAsia="宋体" w:cs="Times New Roman"/>
          <w:color w:val="auto"/>
          <w:sz w:val="21"/>
          <w:szCs w:val="21"/>
          <w:highlight w:val="none"/>
          <w:lang w:bidi="ar"/>
        </w:rPr>
        <w:t>、乙方</w:t>
      </w:r>
      <w:r>
        <w:rPr>
          <w:rFonts w:hint="default" w:ascii="Times New Roman" w:hAnsi="Times New Roman" w:eastAsia="宋体" w:cs="Times New Roman"/>
          <w:color w:val="auto"/>
          <w:sz w:val="21"/>
          <w:szCs w:val="21"/>
          <w:highlight w:val="none"/>
          <w:lang w:val="en-US" w:eastAsia="zh-CN" w:bidi="ar"/>
        </w:rPr>
        <w:t>进行</w:t>
      </w:r>
      <w:r>
        <w:rPr>
          <w:rFonts w:hint="default" w:ascii="Times New Roman" w:hAnsi="Times New Roman" w:eastAsia="宋体" w:cs="Times New Roman"/>
          <w:color w:val="auto"/>
          <w:sz w:val="21"/>
          <w:szCs w:val="21"/>
          <w:highlight w:val="none"/>
          <w:lang w:bidi="ar"/>
        </w:rPr>
        <w:t>转包或</w:t>
      </w:r>
      <w:r>
        <w:rPr>
          <w:rFonts w:hint="default" w:ascii="Times New Roman" w:hAnsi="Times New Roman" w:eastAsia="宋体" w:cs="Times New Roman"/>
          <w:color w:val="auto"/>
          <w:sz w:val="21"/>
          <w:szCs w:val="21"/>
          <w:highlight w:val="none"/>
          <w:lang w:val="en-US" w:eastAsia="zh-CN" w:bidi="ar"/>
        </w:rPr>
        <w:t>未经甲方同意进行</w:t>
      </w:r>
      <w:r>
        <w:rPr>
          <w:rFonts w:hint="default" w:ascii="Times New Roman" w:hAnsi="Times New Roman" w:eastAsia="宋体" w:cs="Times New Roman"/>
          <w:color w:val="auto"/>
          <w:sz w:val="21"/>
          <w:szCs w:val="21"/>
          <w:highlight w:val="none"/>
          <w:lang w:bidi="ar"/>
        </w:rPr>
        <w:t>分包的；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8</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为</w:t>
      </w:r>
      <w:r>
        <w:rPr>
          <w:rFonts w:hint="default" w:ascii="Times New Roman" w:hAnsi="Times New Roman" w:eastAsia="宋体" w:cs="Times New Roman"/>
          <w:color w:val="auto"/>
          <w:sz w:val="21"/>
          <w:szCs w:val="21"/>
          <w:highlight w:val="none"/>
          <w:lang w:bidi="ar"/>
        </w:rPr>
        <w:t>甲方相关工作人员提供各种不正当利益的；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9</w:t>
      </w:r>
      <w:r>
        <w:rPr>
          <w:rFonts w:hint="default" w:ascii="Times New Roman" w:hAnsi="Times New Roman" w:eastAsia="宋体" w:cs="Times New Roman"/>
          <w:color w:val="auto"/>
          <w:sz w:val="21"/>
          <w:szCs w:val="21"/>
          <w:highlight w:val="none"/>
          <w:lang w:bidi="ar"/>
        </w:rPr>
        <w:t>、违反法律法规、</w:t>
      </w:r>
      <w:r>
        <w:rPr>
          <w:rFonts w:hint="default" w:ascii="Times New Roman" w:hAnsi="Times New Roman" w:eastAsia="宋体" w:cs="Times New Roman"/>
          <w:color w:val="auto"/>
          <w:sz w:val="21"/>
          <w:szCs w:val="21"/>
          <w:highlight w:val="none"/>
          <w:lang w:val="en-US" w:eastAsia="zh-CN" w:bidi="ar"/>
        </w:rPr>
        <w:t>询比</w:t>
      </w:r>
      <w:r>
        <w:rPr>
          <w:rFonts w:hint="default" w:ascii="Times New Roman" w:hAnsi="Times New Roman" w:eastAsia="宋体" w:cs="Times New Roman"/>
          <w:color w:val="auto"/>
          <w:sz w:val="21"/>
          <w:szCs w:val="21"/>
          <w:highlight w:val="none"/>
          <w:lang w:bidi="ar"/>
        </w:rPr>
        <w:t>文件及协议规定、</w:t>
      </w:r>
      <w:r>
        <w:rPr>
          <w:rFonts w:hint="default" w:ascii="Times New Roman" w:hAnsi="Times New Roman" w:eastAsia="宋体" w:cs="Times New Roman"/>
          <w:color w:val="auto"/>
          <w:sz w:val="21"/>
          <w:szCs w:val="21"/>
          <w:highlight w:val="none"/>
          <w:lang w:val="en-US" w:eastAsia="zh-CN" w:bidi="ar"/>
        </w:rPr>
        <w:t>响应文件</w:t>
      </w:r>
      <w:r>
        <w:rPr>
          <w:rFonts w:hint="default" w:ascii="Times New Roman" w:hAnsi="Times New Roman" w:eastAsia="宋体" w:cs="Times New Roman"/>
          <w:color w:val="auto"/>
          <w:sz w:val="21"/>
          <w:szCs w:val="21"/>
          <w:highlight w:val="none"/>
          <w:lang w:bidi="ar"/>
        </w:rPr>
        <w:t>承诺</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本</w:t>
      </w:r>
      <w:r>
        <w:rPr>
          <w:rFonts w:hint="default" w:ascii="Times New Roman" w:hAnsi="Times New Roman" w:eastAsia="宋体" w:cs="Times New Roman"/>
          <w:color w:val="auto"/>
          <w:sz w:val="21"/>
          <w:szCs w:val="21"/>
          <w:highlight w:val="none"/>
          <w:lang w:bidi="ar"/>
        </w:rPr>
        <w:t>合同</w:t>
      </w:r>
      <w:r>
        <w:rPr>
          <w:rFonts w:hint="default" w:ascii="Times New Roman" w:hAnsi="Times New Roman" w:eastAsia="宋体" w:cs="Times New Roman"/>
          <w:color w:val="auto"/>
          <w:sz w:val="21"/>
          <w:szCs w:val="21"/>
          <w:highlight w:val="none"/>
          <w:lang w:val="en-US" w:eastAsia="zh-CN" w:bidi="ar"/>
        </w:rPr>
        <w:t>及项目具体合同</w:t>
      </w:r>
      <w:r>
        <w:rPr>
          <w:rFonts w:hint="default" w:ascii="Times New Roman" w:hAnsi="Times New Roman" w:eastAsia="宋体" w:cs="Times New Roman"/>
          <w:color w:val="auto"/>
          <w:sz w:val="21"/>
          <w:szCs w:val="21"/>
          <w:highlight w:val="none"/>
          <w:lang w:bidi="ar"/>
        </w:rPr>
        <w:t>约定的其他情形。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六</w:t>
      </w:r>
      <w:r>
        <w:rPr>
          <w:rFonts w:hint="default" w:ascii="Times New Roman" w:hAnsi="Times New Roman" w:eastAsia="宋体" w:cs="Times New Roman"/>
          <w:b/>
          <w:color w:val="auto"/>
          <w:sz w:val="21"/>
          <w:szCs w:val="21"/>
          <w:highlight w:val="none"/>
          <w:lang w:bidi="ar"/>
        </w:rPr>
        <w:t>、不可抗力</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协议一方由于受诸如战争、骚乱、瘟疫、严重火灾、洪水、台风、地震等不可抗力事件的影响而不能执行协议时，履行协议的期限应予以延长，延长的期限应相当于事件所影响的时间。不可抗力事件是指协议双方在缔结协议时所不能预见的，且它的发生及其后果是无法避免和无法克服的事件。</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2、遭受不可抗力一方应在不可抗力事件发生后尽快以书面形式通知对方，并于事件发生后14天内将有关部门出具的证明文件、详细情况报告以及不可抗力对履行协议影响程度的说明用特快专递或挂号信寄给对方。</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4、一旦不可抗力事件的影响持续120天以上，协议双方通过友好协商，在合理的时间内达成进一步履行协议或终止协议的意见。</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七</w:t>
      </w:r>
      <w:r>
        <w:rPr>
          <w:rFonts w:hint="default" w:ascii="Times New Roman" w:hAnsi="Times New Roman" w:eastAsia="宋体" w:cs="Times New Roman"/>
          <w:b/>
          <w:color w:val="auto"/>
          <w:sz w:val="21"/>
          <w:szCs w:val="21"/>
          <w:highlight w:val="none"/>
          <w:lang w:bidi="ar"/>
        </w:rPr>
        <w:t>、保密条款</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1、任何一方对其获知的本协议涉及的所有有形、无形的信息及资料（包括但不限于合同双方的往来书面文字文件、电子邮件及信息、软盘资料等）中另一方的商业秘密或国家秘密负有保密义务。</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除法律、法规或本协议另有规定，或得到本协议另一方的书面许可，任何一方不得向第三方泄露前款规定的商业秘密或国家秘密。保密期限自任何一方获知该商业秘密或国家秘密之日起至本条规定的秘密成为公众信息之日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八</w:t>
      </w:r>
      <w:r>
        <w:rPr>
          <w:rFonts w:hint="default" w:ascii="Times New Roman" w:hAnsi="Times New Roman" w:eastAsia="宋体" w:cs="Times New Roman"/>
          <w:b/>
          <w:color w:val="auto"/>
          <w:sz w:val="21"/>
          <w:szCs w:val="21"/>
          <w:highlight w:val="none"/>
          <w:lang w:bidi="ar"/>
        </w:rPr>
        <w:t>、争议的解决</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在执行本协议中发生的与本协议有关的争端，甲乙双方应通过友好协商解决，</w:t>
      </w:r>
      <w:r>
        <w:rPr>
          <w:rFonts w:hint="default" w:ascii="Times New Roman" w:hAnsi="Times New Roman" w:eastAsia="宋体" w:cs="Times New Roman"/>
          <w:color w:val="auto"/>
          <w:sz w:val="21"/>
          <w:szCs w:val="21"/>
          <w:highlight w:val="none"/>
          <w:lang w:val="en-US" w:eastAsia="zh-CN" w:bidi="ar"/>
        </w:rPr>
        <w:t>协商不成的</w:t>
      </w:r>
      <w:r>
        <w:rPr>
          <w:rFonts w:hint="default" w:ascii="Times New Roman" w:hAnsi="Times New Roman" w:eastAsia="宋体" w:cs="Times New Roman"/>
          <w:color w:val="auto"/>
          <w:sz w:val="21"/>
          <w:szCs w:val="21"/>
          <w:highlight w:val="none"/>
          <w:lang w:bidi="ar"/>
        </w:rPr>
        <w:t>，甲乙双方同意将争议提交有管辖权的人民法院解决。</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九</w:t>
      </w:r>
      <w:r>
        <w:rPr>
          <w:rFonts w:hint="default" w:ascii="Times New Roman" w:hAnsi="Times New Roman" w:eastAsia="宋体" w:cs="Times New Roman"/>
          <w:b/>
          <w:color w:val="auto"/>
          <w:sz w:val="21"/>
          <w:szCs w:val="21"/>
          <w:highlight w:val="none"/>
          <w:lang w:bidi="ar"/>
        </w:rPr>
        <w:t>、协议修改</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1、对于本协议的未尽事宜，需进行修改、补充或完善的，甲乙双方必须就所修改的内容签订补充协议。</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2、补充协议与本协议具有同等法律效力，补充协议与本协议不一致的，以补充协议为准。</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十</w:t>
      </w:r>
      <w:r>
        <w:rPr>
          <w:rFonts w:hint="default" w:ascii="Times New Roman" w:hAnsi="Times New Roman" w:eastAsia="宋体" w:cs="Times New Roman"/>
          <w:b/>
          <w:color w:val="auto"/>
          <w:sz w:val="21"/>
          <w:szCs w:val="21"/>
          <w:highlight w:val="none"/>
          <w:lang w:bidi="ar"/>
        </w:rPr>
        <w:t>、协议生效</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1、除非另有说明，本协议经甲乙双方加盖公章后，即开始生效。</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2、本协议中的附件均为本协议不可分割的部分，与本协议具有同等的法律效力。</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十一</w:t>
      </w:r>
      <w:r>
        <w:rPr>
          <w:rFonts w:hint="default" w:ascii="Times New Roman" w:hAnsi="Times New Roman" w:eastAsia="宋体" w:cs="Times New Roman"/>
          <w:b/>
          <w:color w:val="auto"/>
          <w:sz w:val="21"/>
          <w:szCs w:val="21"/>
          <w:highlight w:val="none"/>
          <w:lang w:bidi="ar"/>
        </w:rPr>
        <w:t>、协议的终止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1、本协议有效期与</w:t>
      </w:r>
      <w:r>
        <w:rPr>
          <w:rFonts w:hint="default" w:ascii="Times New Roman" w:hAnsi="Times New Roman" w:eastAsia="宋体" w:cs="Times New Roman"/>
          <w:color w:val="auto"/>
          <w:sz w:val="21"/>
          <w:szCs w:val="21"/>
          <w:highlight w:val="none"/>
          <w:lang w:val="en-US" w:eastAsia="zh-CN" w:bidi="ar"/>
        </w:rPr>
        <w:t>框架</w:t>
      </w:r>
      <w:r>
        <w:rPr>
          <w:rFonts w:hint="default" w:ascii="Times New Roman" w:hAnsi="Times New Roman" w:eastAsia="宋体" w:cs="Times New Roman"/>
          <w:color w:val="auto"/>
          <w:sz w:val="21"/>
          <w:szCs w:val="21"/>
          <w:highlight w:val="none"/>
          <w:lang w:bidi="ar"/>
        </w:rPr>
        <w:t>协议</w:t>
      </w:r>
      <w:r>
        <w:rPr>
          <w:rFonts w:hint="default" w:ascii="Times New Roman" w:hAnsi="Times New Roman" w:eastAsia="宋体" w:cs="Times New Roman"/>
          <w:color w:val="auto"/>
          <w:sz w:val="21"/>
          <w:szCs w:val="21"/>
          <w:highlight w:val="none"/>
          <w:lang w:val="en-US" w:eastAsia="zh-CN" w:bidi="ar"/>
        </w:rPr>
        <w:t>执行</w:t>
      </w:r>
      <w:r>
        <w:rPr>
          <w:rFonts w:hint="default" w:ascii="Times New Roman" w:hAnsi="Times New Roman" w:eastAsia="宋体" w:cs="Times New Roman"/>
          <w:color w:val="auto"/>
          <w:sz w:val="21"/>
          <w:szCs w:val="21"/>
          <w:highlight w:val="none"/>
          <w:lang w:bidi="ar"/>
        </w:rPr>
        <w:t>有效期一致。除本协议另有约定外，在有效期内任何一方不得擅自终止，否则应负担所造成的一切损失。如一方因故需终止协议，必须提前三个月书面通知另一方，经双方达成一致意见后，方可终止。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2、出现下列情况时本协议自行终止：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（1）本协议正常履行完毕；</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（2）</w:t>
      </w:r>
      <w:r>
        <w:rPr>
          <w:rFonts w:hint="eastAsia" w:ascii="Times New Roman" w:hAnsi="Times New Roman" w:eastAsia="宋体" w:cs="Times New Roman"/>
          <w:color w:val="auto"/>
          <w:sz w:val="21"/>
          <w:szCs w:val="21"/>
          <w:highlight w:val="none"/>
          <w:lang w:val="en-US" w:eastAsia="zh-CN" w:bidi="ar"/>
        </w:rPr>
        <w:t>合同非正常履行情况下，甲乙双方互相免除对方义务</w:t>
      </w:r>
      <w:r>
        <w:rPr>
          <w:rFonts w:hint="default" w:ascii="Times New Roman" w:hAnsi="Times New Roman" w:eastAsia="宋体" w:cs="Times New Roman"/>
          <w:color w:val="auto"/>
          <w:sz w:val="21"/>
          <w:szCs w:val="21"/>
          <w:highlight w:val="none"/>
          <w:lang w:val="en-US" w:eastAsia="zh-CN"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（3）不可抗力导致本协议无法履行或履行不必要时；</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（4）一方不履行协议条款，造成另一方无法执行协议，经催告后在合理期限内仍未履行，责任方赔偿损失后，协议终止。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bidi="ar"/>
        </w:rPr>
        <w:t>3、出现本协议第四条所列</w:t>
      </w:r>
      <w:r>
        <w:rPr>
          <w:rFonts w:hint="eastAsia"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违约情形的，甲方有权解除本协议，对于由此给乙方造成的损失甲方不承担赔偿责任，对于由此给甲方造成的损失，乙方应负赔偿责任</w:t>
      </w:r>
      <w:r>
        <w:rPr>
          <w:rFonts w:hint="default" w:ascii="Times New Roman" w:hAnsi="Times New Roman" w:eastAsia="宋体" w:cs="Times New Roman"/>
          <w:color w:val="auto"/>
          <w:sz w:val="21"/>
          <w:szCs w:val="21"/>
          <w:highlight w:val="none"/>
          <w:lang w:eastAsia="zh-CN" w:bidi="ar"/>
        </w:rPr>
        <w:t>。</w:t>
      </w:r>
    </w:p>
    <w:p>
      <w:pPr>
        <w:pStyle w:val="2"/>
        <w:rPr>
          <w:rFonts w:hint="default"/>
        </w:rPr>
      </w:pPr>
    </w:p>
    <w:p>
      <w:pPr>
        <w:pStyle w:val="2"/>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（本页无正文）</w:t>
      </w:r>
    </w:p>
    <w:p>
      <w:pPr>
        <w:pStyle w:val="3"/>
        <w:rPr>
          <w:rFonts w:hint="default"/>
        </w:rPr>
      </w:pPr>
    </w:p>
    <w:p>
      <w:pPr>
        <w:pStyle w:val="19"/>
        <w:rPr>
          <w:rFonts w:hint="default"/>
          <w:color w:val="auto"/>
          <w:sz w:val="21"/>
          <w:szCs w:val="21"/>
          <w:highlight w:val="none"/>
          <w:lang w:bidi="ar"/>
        </w:rPr>
      </w:pPr>
      <w:r>
        <w:rPr>
          <w:rFonts w:hint="eastAsia"/>
          <w:color w:val="auto"/>
          <w:sz w:val="21"/>
          <w:szCs w:val="21"/>
          <w:highlight w:val="none"/>
          <w:lang w:val="en-US" w:eastAsia="zh-CN" w:bidi="ar"/>
        </w:rPr>
        <w:t>甲方</w:t>
      </w:r>
      <w:r>
        <w:rPr>
          <w:rFonts w:hint="default"/>
          <w:color w:val="auto"/>
          <w:sz w:val="21"/>
          <w:szCs w:val="21"/>
          <w:highlight w:val="none"/>
          <w:lang w:bidi="ar"/>
        </w:rPr>
        <w:t xml:space="preserve">：（公章）         </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  </w:t>
      </w:r>
      <w:r>
        <w:rPr>
          <w:rFonts w:hint="eastAsia"/>
          <w:color w:val="auto"/>
          <w:sz w:val="21"/>
          <w:szCs w:val="21"/>
          <w:highlight w:val="none"/>
          <w:lang w:val="en-US" w:eastAsia="zh-CN" w:bidi="ar"/>
        </w:rPr>
        <w:t xml:space="preserve">   乙方</w:t>
      </w:r>
      <w:r>
        <w:rPr>
          <w:rFonts w:hint="default"/>
          <w:color w:val="auto"/>
          <w:sz w:val="21"/>
          <w:szCs w:val="21"/>
          <w:highlight w:val="none"/>
          <w:lang w:bidi="ar"/>
        </w:rPr>
        <w:t>：（公章）</w:t>
      </w:r>
    </w:p>
    <w:p>
      <w:pPr>
        <w:pStyle w:val="19"/>
        <w:rPr>
          <w:rFonts w:hint="default"/>
          <w:color w:val="auto"/>
          <w:sz w:val="21"/>
          <w:szCs w:val="21"/>
          <w:highlight w:val="none"/>
          <w:lang w:bidi="ar"/>
        </w:rPr>
      </w:pPr>
      <w:r>
        <w:rPr>
          <w:rFonts w:hint="default"/>
          <w:color w:val="auto"/>
          <w:sz w:val="21"/>
          <w:szCs w:val="21"/>
          <w:highlight w:val="none"/>
          <w:lang w:bidi="ar"/>
        </w:rPr>
        <w:t xml:space="preserve">地      址：           </w:t>
      </w:r>
      <w:r>
        <w:rPr>
          <w:rFonts w:hint="eastAsia"/>
          <w:color w:val="auto"/>
          <w:sz w:val="21"/>
          <w:szCs w:val="21"/>
          <w:highlight w:val="none"/>
          <w:lang w:val="en-US" w:eastAsia="zh-CN" w:bidi="ar"/>
        </w:rPr>
        <w:t xml:space="preserve">      </w:t>
      </w:r>
      <w:r>
        <w:rPr>
          <w:rFonts w:hint="default"/>
          <w:color w:val="auto"/>
          <w:sz w:val="21"/>
          <w:szCs w:val="21"/>
          <w:highlight w:val="none"/>
          <w:lang w:bidi="ar"/>
        </w:rPr>
        <w:t>地      址：</w:t>
      </w:r>
    </w:p>
    <w:p>
      <w:pPr>
        <w:pStyle w:val="19"/>
        <w:rPr>
          <w:rFonts w:hint="default"/>
          <w:color w:val="auto"/>
          <w:sz w:val="21"/>
          <w:szCs w:val="21"/>
          <w:highlight w:val="none"/>
          <w:lang w:bidi="ar"/>
        </w:rPr>
      </w:pPr>
      <w:r>
        <w:rPr>
          <w:rFonts w:hint="default"/>
          <w:color w:val="auto"/>
          <w:sz w:val="21"/>
          <w:szCs w:val="21"/>
          <w:highlight w:val="none"/>
          <w:lang w:bidi="ar"/>
        </w:rPr>
        <w:t xml:space="preserve">法定代表人：              </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 </w:t>
      </w:r>
      <w:r>
        <w:rPr>
          <w:rFonts w:hint="eastAsia"/>
          <w:color w:val="auto"/>
          <w:sz w:val="21"/>
          <w:szCs w:val="21"/>
          <w:highlight w:val="none"/>
          <w:lang w:val="en-US" w:eastAsia="zh-CN" w:bidi="ar"/>
        </w:rPr>
        <w:t xml:space="preserve"> </w:t>
      </w:r>
      <w:r>
        <w:rPr>
          <w:rFonts w:hint="default"/>
          <w:color w:val="auto"/>
          <w:sz w:val="21"/>
          <w:szCs w:val="21"/>
          <w:highlight w:val="none"/>
          <w:lang w:bidi="ar"/>
        </w:rPr>
        <w:t>法定代表人：</w:t>
      </w:r>
    </w:p>
    <w:p>
      <w:pPr>
        <w:pStyle w:val="19"/>
        <w:rPr>
          <w:rFonts w:hint="default"/>
          <w:color w:val="auto"/>
          <w:sz w:val="21"/>
          <w:szCs w:val="21"/>
          <w:highlight w:val="none"/>
          <w:lang w:bidi="ar"/>
        </w:rPr>
      </w:pPr>
      <w:r>
        <w:rPr>
          <w:rFonts w:hint="default"/>
          <w:color w:val="auto"/>
          <w:sz w:val="21"/>
          <w:szCs w:val="21"/>
          <w:highlight w:val="none"/>
          <w:lang w:bidi="ar"/>
        </w:rPr>
        <w:t xml:space="preserve">委托代理人：                </w:t>
      </w:r>
      <w:r>
        <w:rPr>
          <w:rFonts w:hint="eastAsia"/>
          <w:color w:val="auto"/>
          <w:sz w:val="21"/>
          <w:szCs w:val="21"/>
          <w:highlight w:val="none"/>
          <w:lang w:val="en-US" w:eastAsia="zh-CN" w:bidi="ar"/>
        </w:rPr>
        <w:t xml:space="preserve"> </w:t>
      </w:r>
      <w:r>
        <w:rPr>
          <w:rFonts w:hint="default"/>
          <w:color w:val="auto"/>
          <w:sz w:val="21"/>
          <w:szCs w:val="21"/>
          <w:highlight w:val="none"/>
          <w:lang w:bidi="ar"/>
        </w:rPr>
        <w:t>委托代理人：</w:t>
      </w:r>
    </w:p>
    <w:p>
      <w:pPr>
        <w:pStyle w:val="19"/>
        <w:rPr>
          <w:rFonts w:hint="default"/>
          <w:color w:val="auto"/>
          <w:sz w:val="21"/>
          <w:szCs w:val="21"/>
          <w:highlight w:val="none"/>
          <w:lang w:bidi="ar"/>
        </w:rPr>
      </w:pPr>
      <w:r>
        <w:rPr>
          <w:rFonts w:hint="default"/>
          <w:color w:val="auto"/>
          <w:sz w:val="21"/>
          <w:szCs w:val="21"/>
          <w:highlight w:val="none"/>
          <w:lang w:bidi="ar"/>
        </w:rPr>
        <w:t xml:space="preserve">电    </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 话：                 电   </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  话：</w:t>
      </w:r>
    </w:p>
    <w:p>
      <w:pPr>
        <w:pStyle w:val="19"/>
        <w:rPr>
          <w:rFonts w:hint="default"/>
          <w:color w:val="auto"/>
          <w:sz w:val="21"/>
          <w:szCs w:val="21"/>
          <w:highlight w:val="none"/>
          <w:lang w:bidi="ar"/>
        </w:rPr>
      </w:pPr>
      <w:r>
        <w:rPr>
          <w:rFonts w:hint="default"/>
          <w:color w:val="auto"/>
          <w:sz w:val="21"/>
          <w:szCs w:val="21"/>
          <w:highlight w:val="none"/>
          <w:lang w:bidi="ar"/>
        </w:rPr>
        <w:t xml:space="preserve">传  </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   真：                 传  </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   真：</w:t>
      </w:r>
    </w:p>
    <w:p>
      <w:pPr>
        <w:pStyle w:val="19"/>
        <w:rPr>
          <w:rFonts w:hint="default"/>
          <w:color w:val="auto"/>
          <w:sz w:val="21"/>
          <w:szCs w:val="21"/>
          <w:highlight w:val="none"/>
          <w:lang w:bidi="ar"/>
        </w:rPr>
      </w:pPr>
      <w:r>
        <w:rPr>
          <w:rFonts w:hint="default"/>
          <w:color w:val="auto"/>
          <w:sz w:val="21"/>
          <w:szCs w:val="21"/>
          <w:highlight w:val="none"/>
          <w:lang w:bidi="ar"/>
        </w:rPr>
        <w:t>开  户</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 行：                 开  户 </w:t>
      </w:r>
      <w:r>
        <w:rPr>
          <w:rFonts w:hint="eastAsia"/>
          <w:color w:val="auto"/>
          <w:sz w:val="21"/>
          <w:szCs w:val="21"/>
          <w:highlight w:val="none"/>
          <w:lang w:val="en-US" w:eastAsia="zh-CN" w:bidi="ar"/>
        </w:rPr>
        <w:t xml:space="preserve"> </w:t>
      </w:r>
      <w:r>
        <w:rPr>
          <w:rFonts w:hint="default"/>
          <w:color w:val="auto"/>
          <w:sz w:val="21"/>
          <w:szCs w:val="21"/>
          <w:highlight w:val="none"/>
          <w:lang w:bidi="ar"/>
        </w:rPr>
        <w:t>行：</w:t>
      </w:r>
    </w:p>
    <w:p>
      <w:pPr>
        <w:pStyle w:val="19"/>
        <w:rPr>
          <w:rFonts w:hint="default"/>
          <w:color w:val="auto"/>
          <w:sz w:val="21"/>
          <w:szCs w:val="21"/>
          <w:highlight w:val="none"/>
          <w:lang w:bidi="ar"/>
        </w:rPr>
      </w:pPr>
      <w:r>
        <w:rPr>
          <w:rFonts w:hint="default"/>
          <w:color w:val="auto"/>
          <w:sz w:val="21"/>
          <w:szCs w:val="21"/>
          <w:highlight w:val="none"/>
          <w:lang w:bidi="ar"/>
        </w:rPr>
        <w:t xml:space="preserve">账    </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 号：                 账    </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 号：</w:t>
      </w:r>
    </w:p>
    <w:p>
      <w:pPr>
        <w:pStyle w:val="19"/>
        <w:rPr>
          <w:rFonts w:hint="default"/>
          <w:color w:val="auto"/>
          <w:sz w:val="21"/>
          <w:szCs w:val="21"/>
          <w:highlight w:val="none"/>
          <w:lang w:bidi="ar"/>
        </w:rPr>
      </w:pPr>
    </w:p>
    <w:p>
      <w:pPr>
        <w:pStyle w:val="19"/>
        <w:rPr>
          <w:rFonts w:hint="eastAsia"/>
          <w:color w:val="auto"/>
          <w:sz w:val="21"/>
          <w:szCs w:val="21"/>
          <w:highlight w:val="none"/>
          <w:lang w:val="en-US" w:eastAsia="zh-CN" w:bidi="ar"/>
        </w:rPr>
      </w:pPr>
      <w:r>
        <w:rPr>
          <w:rFonts w:hint="default"/>
          <w:color w:val="auto"/>
          <w:sz w:val="21"/>
          <w:szCs w:val="21"/>
          <w:highlight w:val="none"/>
          <w:lang w:bidi="ar"/>
        </w:rPr>
        <w:t xml:space="preserve">签订日期：                 </w:t>
      </w:r>
      <w:r>
        <w:rPr>
          <w:rFonts w:hint="eastAsia"/>
          <w:color w:val="auto"/>
          <w:sz w:val="21"/>
          <w:szCs w:val="21"/>
          <w:highlight w:val="none"/>
          <w:lang w:val="en-US" w:eastAsia="zh-CN" w:bidi="ar"/>
        </w:rPr>
        <w:t xml:space="preserve"> </w:t>
      </w:r>
      <w:r>
        <w:rPr>
          <w:rFonts w:hint="default"/>
          <w:color w:val="auto"/>
          <w:sz w:val="21"/>
          <w:szCs w:val="21"/>
          <w:highlight w:val="none"/>
          <w:lang w:bidi="ar"/>
        </w:rPr>
        <w:t xml:space="preserve">签订日期：                 </w:t>
      </w:r>
      <w:r>
        <w:rPr>
          <w:rFonts w:hint="eastAsia"/>
          <w:color w:val="auto"/>
          <w:sz w:val="21"/>
          <w:szCs w:val="21"/>
          <w:highlight w:val="none"/>
          <w:lang w:val="en-US" w:eastAsia="zh-CN" w:bidi="ar"/>
        </w:rPr>
        <w:t xml:space="preserve"> </w:t>
      </w: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19"/>
        <w:rPr>
          <w:rFonts w:hint="eastAsia"/>
          <w:color w:val="auto"/>
          <w:sz w:val="21"/>
          <w:szCs w:val="21"/>
          <w:highlight w:val="none"/>
          <w:lang w:val="en-US" w:eastAsia="zh-CN" w:bidi="ar"/>
        </w:rPr>
      </w:pPr>
    </w:p>
    <w:p>
      <w:pPr>
        <w:pStyle w:val="2"/>
        <w:jc w:val="center"/>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安全生产合同</w:t>
      </w:r>
    </w:p>
    <w:p>
      <w:pPr>
        <w:spacing w:line="440" w:lineRule="exact"/>
        <w:ind w:firstLine="420"/>
        <w:jc w:val="left"/>
        <w:rPr>
          <w:rFonts w:ascii="Times New Roman" w:hAnsi="Times New Roman" w:cs="Times New Roman"/>
        </w:rPr>
      </w:pPr>
      <w:r>
        <w:rPr>
          <w:rFonts w:ascii="Times New Roman" w:hAnsi="Times New Roman" w:cs="Times New Roman"/>
        </w:rPr>
        <w:t>为在合同的实施过程中创造安全、高效的</w:t>
      </w:r>
      <w:r>
        <w:rPr>
          <w:rFonts w:hint="eastAsia" w:ascii="Times New Roman" w:hAnsi="Times New Roman" w:cs="Times New Roman"/>
          <w:color w:val="000000" w:themeColor="text1"/>
          <w:lang w:val="en-US" w:eastAsia="zh-CN"/>
          <w14:textFill>
            <w14:solidFill>
              <w14:schemeClr w14:val="tx1"/>
            </w14:solidFill>
          </w14:textFill>
        </w:rPr>
        <w:t>服务</w:t>
      </w:r>
      <w:r>
        <w:rPr>
          <w:rFonts w:ascii="Times New Roman" w:hAnsi="Times New Roman" w:cs="Times New Roman"/>
        </w:rPr>
        <w:t>环境，切实搞好本项目的安全管理工作，</w:t>
      </w:r>
      <w:r>
        <w:rPr>
          <w:rFonts w:ascii="Times New Roman" w:hAnsi="Times New Roman" w:cs="Times New Roman"/>
          <w:u w:val="single"/>
        </w:rPr>
        <w:t xml:space="preserve"> 安徽省高速公路试验检测科研中心有限公司 </w:t>
      </w:r>
      <w:r>
        <w:rPr>
          <w:rFonts w:ascii="Times New Roman" w:hAnsi="Times New Roman" w:cs="Times New Roman"/>
        </w:rPr>
        <w:t>(以下简称“甲方”)与</w:t>
      </w:r>
      <w:r>
        <w:rPr>
          <w:rFonts w:hint="eastAsia" w:ascii="Times New Roman" w:hAnsi="Times New Roman" w:cs="Times New Roman"/>
          <w:u w:val="single"/>
          <w:lang w:val="en-US" w:eastAsia="zh-CN"/>
        </w:rPr>
        <w:t xml:space="preserve">                </w:t>
      </w:r>
      <w:r>
        <w:rPr>
          <w:rFonts w:ascii="Times New Roman" w:hAnsi="Times New Roman" w:cs="Times New Roman"/>
          <w:u w:val="single"/>
        </w:rPr>
        <w:t xml:space="preserve"> </w:t>
      </w:r>
      <w:r>
        <w:rPr>
          <w:rFonts w:ascii="Times New Roman" w:hAnsi="Times New Roman" w:cs="Times New Roman"/>
        </w:rPr>
        <w:t>以下简称“乙方”)特此签订安全生产合同：</w:t>
      </w:r>
    </w:p>
    <w:p>
      <w:pPr>
        <w:spacing w:line="440" w:lineRule="exact"/>
        <w:ind w:firstLine="420"/>
        <w:jc w:val="left"/>
        <w:outlineLvl w:val="2"/>
        <w:rPr>
          <w:rFonts w:ascii="Times New Roman" w:hAnsi="Times New Roman" w:cs="Times New Roman"/>
        </w:rPr>
      </w:pPr>
      <w:r>
        <w:rPr>
          <w:rFonts w:ascii="Times New Roman" w:hAnsi="Times New Roman" w:cs="Times New Roman"/>
        </w:rPr>
        <w:t>第一条 甲方责任</w:t>
      </w:r>
    </w:p>
    <w:p>
      <w:pPr>
        <w:spacing w:line="440" w:lineRule="exact"/>
        <w:ind w:firstLine="420"/>
        <w:jc w:val="left"/>
        <w:rPr>
          <w:rFonts w:ascii="Times New Roman" w:hAnsi="Times New Roman" w:cs="Times New Roman"/>
        </w:rPr>
      </w:pPr>
      <w:r>
        <w:rPr>
          <w:rFonts w:ascii="Times New Roman" w:hAnsi="Times New Roman" w:cs="Times New Roman"/>
        </w:rPr>
        <w:t>（一）严格遵守国家有关安全生产的法律法规，认真执行技术服务合同中的有关安全要求。</w:t>
      </w:r>
    </w:p>
    <w:p>
      <w:pPr>
        <w:spacing w:line="440" w:lineRule="exact"/>
        <w:ind w:firstLine="420"/>
        <w:jc w:val="left"/>
        <w:rPr>
          <w:rFonts w:ascii="Times New Roman" w:hAnsi="Times New Roman" w:cs="Times New Roman"/>
        </w:rPr>
      </w:pPr>
      <w:r>
        <w:rPr>
          <w:rFonts w:ascii="Times New Roman" w:hAnsi="Times New Roman" w:cs="Times New Roman"/>
        </w:rPr>
        <w:t>（二）按照“安全第一、预防为主、综合治理”的原则对安全生产工作进行监督及管理</w:t>
      </w:r>
      <w:r>
        <w:rPr>
          <w:rFonts w:hint="eastAsia" w:ascii="Times New Roman" w:hAnsi="Times New Roman" w:cs="Times New Roman"/>
          <w:lang w:eastAsia="zh-CN"/>
        </w:rPr>
        <w:t>、做到检定/校准与安全工作同时计划、布置、检查。</w:t>
      </w:r>
    </w:p>
    <w:p>
      <w:pPr>
        <w:spacing w:line="440" w:lineRule="exact"/>
        <w:ind w:firstLine="420"/>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三</w:t>
      </w:r>
      <w:r>
        <w:rPr>
          <w:rFonts w:ascii="Times New Roman" w:hAnsi="Times New Roman" w:cs="Times New Roman"/>
        </w:rPr>
        <w:t>）负责建立健全本项目各项安全生产的管理机构和安全生产管理制度。</w:t>
      </w:r>
    </w:p>
    <w:p>
      <w:pPr>
        <w:spacing w:line="440" w:lineRule="exact"/>
        <w:ind w:firstLine="420"/>
        <w:jc w:val="left"/>
        <w:rPr>
          <w:rFonts w:ascii="Times New Roman" w:hAnsi="Times New Roman" w:cs="Times New Roman"/>
        </w:rPr>
      </w:pPr>
      <w:r>
        <w:rPr>
          <w:rFonts w:ascii="Times New Roman" w:hAnsi="Times New Roman" w:cs="Times New Roman"/>
        </w:rPr>
        <w:t>（四）按照本项目特点，组织制定本</w:t>
      </w:r>
      <w:r>
        <w:rPr>
          <w:rFonts w:hint="eastAsia" w:ascii="Times New Roman" w:hAnsi="Times New Roman" w:cs="Times New Roman"/>
          <w:lang w:val="en-US" w:eastAsia="zh-CN"/>
        </w:rPr>
        <w:t>项目</w:t>
      </w:r>
      <w:r>
        <w:rPr>
          <w:rFonts w:ascii="Times New Roman" w:hAnsi="Times New Roman" w:cs="Times New Roman"/>
        </w:rPr>
        <w:t>实施中的生产安全事故应急救援预案；组织对乙方技术服务现场安全生产检查，监督乙方及时处理发现的各种安全隐患。</w:t>
      </w:r>
    </w:p>
    <w:p>
      <w:pPr>
        <w:spacing w:line="440" w:lineRule="exact"/>
        <w:ind w:firstLine="420"/>
        <w:jc w:val="left"/>
        <w:outlineLvl w:val="2"/>
        <w:rPr>
          <w:rFonts w:ascii="Times New Roman" w:hAnsi="Times New Roman" w:cs="Times New Roman"/>
        </w:rPr>
      </w:pPr>
      <w:r>
        <w:rPr>
          <w:rFonts w:ascii="Times New Roman" w:hAnsi="Times New Roman" w:cs="Times New Roman"/>
        </w:rPr>
        <w:t>第二条 乙方职责</w:t>
      </w:r>
    </w:p>
    <w:p>
      <w:pPr>
        <w:spacing w:line="360" w:lineRule="auto"/>
        <w:ind w:firstLine="420" w:firstLineChars="200"/>
        <w:jc w:val="left"/>
        <w:rPr>
          <w:rFonts w:ascii="Times New Roman" w:hAnsi="Times New Roman" w:cs="Times New Roman"/>
        </w:rPr>
      </w:pPr>
      <w:r>
        <w:rPr>
          <w:rFonts w:ascii="Times New Roman" w:hAnsi="Times New Roman" w:cs="Times New Roman"/>
        </w:rPr>
        <w:t>（一）乙方派驻人员应坚持“安全第一、预防为主、综合治理”原则，严格遵守国家及行业有关安全生产管理的法律法规、规程等规定，认真执行合同中的有关安全要求。</w:t>
      </w:r>
    </w:p>
    <w:p>
      <w:pPr>
        <w:spacing w:line="440" w:lineRule="exact"/>
        <w:ind w:firstLine="420"/>
        <w:jc w:val="left"/>
        <w:rPr>
          <w:rFonts w:ascii="Times New Roman" w:hAnsi="Times New Roman" w:cs="Times New Roman"/>
        </w:rPr>
      </w:pPr>
      <w:r>
        <w:rPr>
          <w:rFonts w:ascii="Times New Roman" w:hAnsi="Times New Roman" w:cs="Times New Roman"/>
        </w:rPr>
        <w:t>（二）乙方应加强派驻人员的安全生产宣传教育工作，增强全员安全生产意识，有组织、有计划地按照甲方要求开展安全生产活动。</w:t>
      </w:r>
    </w:p>
    <w:p>
      <w:pPr>
        <w:spacing w:line="360" w:lineRule="auto"/>
        <w:ind w:firstLine="420" w:firstLineChars="200"/>
        <w:jc w:val="left"/>
        <w:rPr>
          <w:rFonts w:ascii="Times New Roman" w:hAnsi="Times New Roman" w:cs="Times New Roman"/>
        </w:rPr>
      </w:pPr>
      <w:r>
        <w:rPr>
          <w:rFonts w:ascii="Times New Roman" w:hAnsi="Times New Roman" w:cs="Times New Roman"/>
        </w:rPr>
        <w:t>（三）乙方所有派驻人员，必须熟悉和遵守本条款的各项规定，做到生产与安全工作同时计划、布置、检查、总结和评比。</w:t>
      </w:r>
    </w:p>
    <w:p>
      <w:pPr>
        <w:spacing w:line="440" w:lineRule="exact"/>
        <w:ind w:firstLine="420"/>
        <w:jc w:val="left"/>
        <w:rPr>
          <w:rFonts w:ascii="Times New Roman" w:hAnsi="Times New Roman" w:cs="Times New Roman"/>
        </w:rPr>
      </w:pPr>
      <w:r>
        <w:rPr>
          <w:rFonts w:ascii="Times New Roman" w:hAnsi="Times New Roman" w:cs="Times New Roman"/>
        </w:rPr>
        <w:t>（四）乙方应建立健全本项目派驻人员的安全生产管理系统和安全生产责任制。从派往项目实施的现场负责人到驾驶员必须做到纵向到底,一环不漏；横向到边，人人有责。</w:t>
      </w:r>
    </w:p>
    <w:p>
      <w:pPr>
        <w:spacing w:line="440" w:lineRule="exact"/>
        <w:ind w:firstLine="420"/>
        <w:jc w:val="left"/>
        <w:rPr>
          <w:rFonts w:ascii="Times New Roman" w:hAnsi="Times New Roman" w:cs="Times New Roman"/>
        </w:rPr>
      </w:pPr>
      <w:r>
        <w:rPr>
          <w:rFonts w:ascii="Times New Roman" w:hAnsi="Times New Roman" w:cs="Times New Roman"/>
        </w:rPr>
        <w:t>（五）乙方派驻的现场负责人是安全生产的第一责任人。现场设置安全员,负责所有员工的安全和治安保卫工作及预防事故的发生。并采取保护性措施防止事故发生。</w:t>
      </w:r>
    </w:p>
    <w:p>
      <w:pPr>
        <w:spacing w:line="440" w:lineRule="exact"/>
        <w:ind w:firstLine="420"/>
        <w:jc w:val="left"/>
        <w:rPr>
          <w:rFonts w:ascii="Times New Roman" w:hAnsi="Times New Roman" w:cs="Times New Roman"/>
        </w:rPr>
      </w:pPr>
      <w:r>
        <w:rPr>
          <w:rFonts w:ascii="Times New Roman" w:hAnsi="Times New Roman" w:cs="Times New Roman"/>
        </w:rPr>
        <w:t>（六）乙方在任何时候都应采取各种合理的预防措施，防止其员工发生违法、违禁、暴力或妨碍治安的行为。</w:t>
      </w:r>
    </w:p>
    <w:p>
      <w:pPr>
        <w:spacing w:line="440" w:lineRule="exact"/>
        <w:ind w:firstLine="420"/>
        <w:jc w:val="left"/>
        <w:rPr>
          <w:rFonts w:ascii="Times New Roman" w:hAnsi="Times New Roman" w:cs="Times New Roman"/>
        </w:rPr>
      </w:pPr>
      <w:r>
        <w:rPr>
          <w:rFonts w:ascii="Times New Roman" w:hAnsi="Times New Roman" w:cs="Times New Roman"/>
        </w:rPr>
        <w:t>（七）乙方派驻人员须接受安全技术教育和培训，熟知和遵守本工种的各项安全技术操作规程，定期进行安全技术考核，合格者方准上岗操作</w:t>
      </w:r>
      <w:r>
        <w:rPr>
          <w:rFonts w:hint="eastAsia" w:ascii="Times New Roman" w:hAnsi="Times New Roman" w:cs="Times New Roman"/>
          <w:lang w:eastAsia="zh-CN"/>
        </w:rPr>
        <w:t>；</w:t>
      </w:r>
      <w:r>
        <w:rPr>
          <w:rFonts w:hint="eastAsia" w:ascii="Times New Roman" w:hAnsi="Times New Roman" w:cs="Times New Roman"/>
        </w:rPr>
        <w:t>检定/校准现场如出现特种作业无证操作现象时，项目负责人必须承担管理责任。</w:t>
      </w:r>
    </w:p>
    <w:p>
      <w:pPr>
        <w:spacing w:line="440" w:lineRule="exact"/>
        <w:ind w:firstLine="420"/>
        <w:jc w:val="left"/>
        <w:rPr>
          <w:rFonts w:ascii="Times New Roman" w:hAnsi="Times New Roman" w:cs="Times New Roman"/>
        </w:rPr>
      </w:pPr>
      <w:r>
        <w:rPr>
          <w:rFonts w:ascii="Times New Roman" w:hAnsi="Times New Roman" w:cs="Times New Roman"/>
        </w:rPr>
        <w:t>（八）操作人员上岗，必须按规定穿戴防护用品。乙方现场负责人和安全检查员应随时检查劳动防护用品的穿戴情况，不按规定穿戴防护用品的人员不得上岗。</w:t>
      </w:r>
    </w:p>
    <w:p>
      <w:pPr>
        <w:spacing w:line="440" w:lineRule="exact"/>
        <w:ind w:firstLine="420"/>
        <w:jc w:val="left"/>
        <w:rPr>
          <w:rFonts w:ascii="Times New Roman" w:hAnsi="Times New Roman" w:cs="Times New Roman"/>
        </w:rPr>
      </w:pPr>
      <w:r>
        <w:rPr>
          <w:rFonts w:ascii="Times New Roman" w:hAnsi="Times New Roman" w:cs="Times New Roman"/>
        </w:rPr>
        <w:t>（九）乙方配置的所有机具设备和高空作业的设备均应定期检查，并有安全员的签字记录，保证其经常处于完好状态；不合格的机具、设备和劳动保护用品严禁使用。</w:t>
      </w:r>
    </w:p>
    <w:p>
      <w:pPr>
        <w:spacing w:line="440" w:lineRule="exact"/>
        <w:ind w:firstLine="420" w:firstLineChars="200"/>
        <w:jc w:val="left"/>
      </w:pPr>
      <w:r>
        <w:rPr>
          <w:rFonts w:hint="eastAsia" w:ascii="Times New Roman" w:hAnsi="Times New Roman" w:cs="Times New Roman"/>
        </w:rPr>
        <w:t>（</w:t>
      </w:r>
      <w:r>
        <w:rPr>
          <w:rFonts w:hint="eastAsia" w:ascii="Times New Roman" w:hAnsi="Times New Roman" w:cs="Times New Roman"/>
          <w:lang w:val="en-US" w:eastAsia="zh-CN"/>
        </w:rPr>
        <w:t>十</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乙方必须按照本工程项目特点，组织制定本工程实施中的生产安全事故应急救援预案；如果发生事故，应按照《国务院关于特大安全事故行政责任追究的规定》以及其它有关规定，及时上报有关部门，并坚持“三不放过”的原则，严肃处理相关责任人。</w:t>
      </w:r>
    </w:p>
    <w:p>
      <w:pPr>
        <w:spacing w:line="440" w:lineRule="exact"/>
        <w:ind w:firstLine="420" w:firstLineChars="200"/>
        <w:jc w:val="left"/>
        <w:rPr>
          <w:rFonts w:ascii="Times New Roman" w:hAnsi="Times New Roman" w:cs="Times New Roman"/>
        </w:rPr>
      </w:pPr>
      <w:r>
        <w:rPr>
          <w:rFonts w:ascii="Times New Roman" w:hAnsi="Times New Roman" w:cs="Times New Roman"/>
        </w:rPr>
        <w:t>（十一）技术服务中采用新技术、新工艺、新设备、新材料时，必须严格执行甲方制定的相应安全技术措施，施工现场必须具有相关的安全标志牌。</w:t>
      </w:r>
    </w:p>
    <w:p>
      <w:pPr>
        <w:spacing w:line="360" w:lineRule="auto"/>
        <w:ind w:firstLine="420" w:firstLineChars="200"/>
        <w:jc w:val="left"/>
        <w:rPr>
          <w:rFonts w:ascii="Times New Roman" w:hAnsi="Times New Roman" w:cs="Times New Roman"/>
        </w:rPr>
      </w:pPr>
      <w:r>
        <w:rPr>
          <w:rFonts w:ascii="Times New Roman" w:hAnsi="Times New Roman" w:cs="Times New Roman"/>
        </w:rPr>
        <w:t>（十</w:t>
      </w:r>
      <w:r>
        <w:rPr>
          <w:rFonts w:hint="eastAsia" w:ascii="Times New Roman" w:hAnsi="Times New Roman" w:cs="Times New Roman"/>
          <w:lang w:val="en-US" w:eastAsia="zh-CN"/>
        </w:rPr>
        <w:t>二</w:t>
      </w:r>
      <w:r>
        <w:rPr>
          <w:rFonts w:ascii="Times New Roman" w:hAnsi="Times New Roman" w:cs="Times New Roman"/>
        </w:rPr>
        <w:t>）乙方承担项目全部的安全责任，项目实施过程中如发生安全事故，由此造成任何的人身伤亡、罚款、索赔、损失补偿、诉讼费用及其他一切责任均由乙方承担。</w:t>
      </w:r>
    </w:p>
    <w:p>
      <w:pPr>
        <w:spacing w:line="440" w:lineRule="exact"/>
        <w:ind w:firstLine="420"/>
        <w:jc w:val="left"/>
        <w:outlineLvl w:val="2"/>
        <w:rPr>
          <w:rFonts w:ascii="Times New Roman" w:hAnsi="Times New Roman" w:cs="Times New Roman"/>
        </w:rPr>
      </w:pPr>
      <w:r>
        <w:rPr>
          <w:rFonts w:ascii="Times New Roman" w:hAnsi="Times New Roman" w:cs="Times New Roman"/>
        </w:rPr>
        <w:t>第三条 违约责任</w:t>
      </w:r>
    </w:p>
    <w:p>
      <w:pPr>
        <w:spacing w:line="440" w:lineRule="exact"/>
        <w:ind w:firstLine="420"/>
        <w:jc w:val="left"/>
        <w:rPr>
          <w:rFonts w:ascii="Times New Roman" w:hAnsi="Times New Roman" w:cs="Times New Roman"/>
        </w:rPr>
      </w:pPr>
      <w:r>
        <w:rPr>
          <w:rFonts w:ascii="Times New Roman" w:hAnsi="Times New Roman" w:cs="Times New Roman"/>
        </w:rPr>
        <w:t>（一）乙方派驻人员具体实施和完成本合同工程的过程中，应采取足够的安全预防措施，以保证施工安全、公路通行安全、河（航）道通行安全，不干扰司乘人员、群众生产、生活和通行方便。如发生安全事故导致索赔、诉讼以及其他经济损失，应由乙方承担一切责任和费用。</w:t>
      </w:r>
    </w:p>
    <w:p>
      <w:pPr>
        <w:spacing w:line="440" w:lineRule="exact"/>
        <w:ind w:firstLine="420"/>
        <w:jc w:val="left"/>
        <w:rPr>
          <w:rFonts w:ascii="Times New Roman" w:hAnsi="Times New Roman" w:cs="Times New Roman"/>
        </w:rPr>
      </w:pPr>
      <w:r>
        <w:rPr>
          <w:rFonts w:ascii="Times New Roman" w:hAnsi="Times New Roman" w:cs="Times New Roman"/>
        </w:rPr>
        <w:t>（二）如因乙方导致的安全事故对甲方名誉、财产造成损失的，甲方将有权解除合同并依法追究责任。</w:t>
      </w:r>
    </w:p>
    <w:p>
      <w:pPr>
        <w:spacing w:line="440" w:lineRule="exact"/>
        <w:ind w:firstLine="420"/>
        <w:jc w:val="left"/>
        <w:rPr>
          <w:rFonts w:ascii="Times New Roman" w:hAnsi="Times New Roman" w:cs="Times New Roman"/>
        </w:rPr>
      </w:pPr>
      <w:r>
        <w:rPr>
          <w:rFonts w:ascii="Times New Roman" w:hAnsi="Times New Roman" w:cs="Times New Roman"/>
        </w:rPr>
        <w:t>（三）甲方有权在工作开展过程中查验乙方投入本项目人员、设备、车辆各类保险凭证，如因乙方原因出现安全事故，乙方未能及时处理，甲方有权使用乙方工程款优先执行相关合理赔偿，乙方必须服从。</w:t>
      </w:r>
    </w:p>
    <w:p>
      <w:pPr>
        <w:spacing w:line="440" w:lineRule="exact"/>
        <w:ind w:firstLine="420"/>
        <w:jc w:val="left"/>
        <w:rPr>
          <w:rFonts w:ascii="Times New Roman" w:hAnsi="Times New Roman" w:cs="Times New Roman"/>
        </w:rPr>
      </w:pPr>
      <w:r>
        <w:rPr>
          <w:rFonts w:ascii="Times New Roman" w:hAnsi="Times New Roman" w:cs="Times New Roman"/>
        </w:rPr>
        <w:t>（四）甲方在检查过程中发现安全隐患，乙方未能及时整改的或屡改屡犯的，视情节轻重甲方有权对乙方处以人民币5000-50000元罚款。</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 xml:space="preserve">甲方:                              乙方： </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法定代表人                         法定代表人</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 xml:space="preserve">或其委托代理人： 　            　  或其委托代理人：                              </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sectPr>
          <w:pgSz w:w="11906" w:h="16838"/>
          <w:pgMar w:top="1440" w:right="1786" w:bottom="1440" w:left="1300" w:header="851" w:footer="992" w:gutter="0"/>
          <w:cols w:space="720" w:num="1"/>
          <w:docGrid w:type="lines" w:linePitch="312" w:charSpace="0"/>
        </w:sectPr>
      </w:pPr>
      <w:r>
        <w:rPr>
          <w:rFonts w:ascii="Times New Roman" w:hAnsi="Times New Roman" w:cs="Times New Roman"/>
        </w:rPr>
        <w:t xml:space="preserve">签约时间： 　年   月 </w:t>
      </w:r>
      <w:r>
        <w:rPr>
          <w:rFonts w:hint="eastAsia" w:ascii="Times New Roman" w:hAnsi="Times New Roman" w:cs="Times New Roman"/>
          <w:lang w:val="en-US" w:eastAsia="zh-CN"/>
        </w:rPr>
        <w:t xml:space="preserve"> </w:t>
      </w:r>
      <w:r>
        <w:rPr>
          <w:rFonts w:ascii="Times New Roman" w:hAnsi="Times New Roman" w:cs="Times New Roman"/>
        </w:rPr>
        <w:t xml:space="preserve"> 日　         签约时间： 　年   月 </w:t>
      </w:r>
      <w:r>
        <w:rPr>
          <w:rFonts w:hint="eastAsia" w:ascii="Times New Roman" w:hAnsi="Times New Roman" w:cs="Times New Roman"/>
          <w:lang w:val="en-US" w:eastAsia="zh-CN"/>
        </w:rPr>
        <w:t xml:space="preserve">   </w:t>
      </w:r>
      <w:r>
        <w:rPr>
          <w:rFonts w:ascii="Times New Roman" w:hAnsi="Times New Roman" w:cs="Times New Roman"/>
        </w:rPr>
        <w:t>日</w:t>
      </w:r>
    </w:p>
    <w:p>
      <w:pPr>
        <w:spacing w:line="480" w:lineRule="exact"/>
        <w:ind w:left="0" w:leftChars="0" w:firstLine="0" w:firstLineChars="0"/>
        <w:jc w:val="center"/>
        <w:outlineLvl w:val="1"/>
        <w:rPr>
          <w:rFonts w:hint="eastAsia" w:ascii="宋体" w:hAnsi="宋体" w:eastAsia="宋体" w:cs="宋体"/>
          <w:sz w:val="21"/>
          <w:szCs w:val="21"/>
          <w:lang w:val="en-US" w:eastAsia="zh-CN"/>
        </w:rPr>
      </w:pPr>
      <w:r>
        <w:rPr>
          <w:rFonts w:hint="eastAsia" w:ascii="仿宋_GB2312" w:hAnsi="仿宋_GB2312" w:eastAsia="仿宋_GB2312" w:cs="仿宋_GB2312"/>
          <w:b/>
          <w:kern w:val="2"/>
          <w:sz w:val="32"/>
          <w:szCs w:val="32"/>
          <w:lang w:val="en-US" w:eastAsia="zh-CN" w:bidi="ar-SA"/>
        </w:rPr>
        <w:t>廉政合同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为加强在公司工地试验室试验检测仪器设备检定/校准服务中的党风廉政建设，规范、约束采供双方的行为，防止违法违纪和不廉洁问题的发生，维护双方合法利益，经</w:t>
      </w:r>
      <w:r>
        <w:rPr>
          <w:rFonts w:hint="eastAsia" w:ascii="宋体" w:hAnsi="宋体" w:eastAsia="宋体" w:cs="宋体"/>
          <w:color w:val="000000"/>
          <w:kern w:val="2"/>
          <w:sz w:val="21"/>
          <w:szCs w:val="21"/>
          <w:u w:val="single"/>
          <w:lang w:val="en-US" w:eastAsia="zh-CN" w:bidi="ar"/>
        </w:rPr>
        <w:t>安徽省高速公路试验检测科研中心有限公司</w:t>
      </w:r>
      <w:r>
        <w:rPr>
          <w:rFonts w:hint="eastAsia" w:ascii="宋体" w:hAnsi="宋体" w:eastAsia="宋体" w:cs="宋体"/>
          <w:color w:val="000000"/>
          <w:kern w:val="2"/>
          <w:sz w:val="21"/>
          <w:szCs w:val="21"/>
          <w:lang w:val="en-US" w:eastAsia="zh-CN" w:bidi="ar"/>
        </w:rPr>
        <w:t xml:space="preserve">(以下简称“甲方”)与 </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(以下简称“乙方”)同意，特订立如下合同。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一、甲方和乙方双方的权利和义务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(一)严格遵守党的政策规定和国家有关法律法规规定。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 xml:space="preserve">(二)严格执行 </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（项目名称）合同文件，自觉按合同办事。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(三)双方的业务活动坚持公开、公正、诚信、透明的原则(法律认定的商业秘密和合同文件另有规定除外)，不得损害国家和集体利益，不得违反规章制度。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(四)建立健全廉政制度，开展廉政教育，设立廉政告示牌，公布举报电话，监督并认真查处违法违纪行为。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(五)发现对方在业务活动中有违反廉政规定的行为，有及时提醒对方纠正的权利和义务。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(六)发现对方严重违反本合同义务条款的行为，有向其上级有关部门举报、建议给予处理并要求告知处理结果的权利。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二、甲方的义务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（一）甲方及其工作人员不得索要或接受乙方的礼金、有价证券和贵重物品，不得让乙方报销任何应由甲方或甲方工作人员个人支付的费用等。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（二）甲方工作人员不得参加乙方安排的超标准宴请和娱乐活动；不得接受乙方提供的通讯工具、交通工具和高档办公用品等。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（三）甲方及其工作人员不得要求或者接受乙方为其住房装修、婚丧嫁娶活动、配偶子女的工作安排以及出国出境、旅游等提供方便等。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（四）甲方工作人员及其配偶、子女不得从事与甲方项目有关的材料设备供应、工程分包、劳务、服务等经济活动。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（五）甲方及其工作人员不得以任何理由向乙方推荐产品，不得要求乙方购买合同规定外的物资、材料和设备。</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（六）甲方工作人员要秉公办事，不准营私舞弊，不准利用职权从事各种个人有偿中介活动。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三、乙方的义务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(一)乙方不得以任何理由向甲方及其工作人员行贿或馈赠礼金、有价证券、贵重礼品。</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(二)乙方不得以任何名义为甲方及其工作人员报销应由甲方单位或个人支付的任何费用。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(三)乙方不得以任何理由安排甲方工作人员参加超标准宴请及娱乐活动。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(四)乙方不得为甲方单位和个人购置或提供通信工具、交通工具和高档办公用品等。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四、 违约责任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(一)甲方及其工作人员违反本合同第1、2条，按管理权限，依据有关规定给予党纪、政纪或组织处理；涉嫌犯罪的，移交司法机关追究刑事责任；给乙方单位造成经济损失的，应予以赔偿。</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(二)乙方及其工作人员违反本合同第1、3条，按管理权限，依据有关规定给予党纪、政纪或组织处理；给甲方单位造成经济损失的，应予以赔偿。</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六、本合同有效期为甲方和乙方签署之日起至该项目完成后止。</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七、 本合同作为</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（项目名称）合同的附件，与项目主合同具有同等的法律效力，经合同双方签署后立即生效。</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八、本协议书正本二份、副本</w:t>
      </w:r>
      <w:r>
        <w:rPr>
          <w:rFonts w:hint="eastAsia" w:ascii="宋体" w:hAnsi="宋体" w:eastAsia="宋体" w:cs="宋体"/>
          <w:color w:val="000000"/>
          <w:kern w:val="2"/>
          <w:sz w:val="21"/>
          <w:szCs w:val="21"/>
          <w:u w:val="single"/>
          <w:lang w:val="en-US" w:eastAsia="zh-CN" w:bidi="ar"/>
        </w:rPr>
        <w:t xml:space="preserve"> 四 </w:t>
      </w:r>
      <w:r>
        <w:rPr>
          <w:rFonts w:hint="eastAsia" w:ascii="宋体" w:hAnsi="宋体" w:eastAsia="宋体" w:cs="宋体"/>
          <w:color w:val="000000"/>
          <w:kern w:val="2"/>
          <w:sz w:val="21"/>
          <w:szCs w:val="21"/>
          <w:lang w:val="en-US" w:eastAsia="zh-CN" w:bidi="ar"/>
        </w:rPr>
        <w:t>份，合同双方各执正本一份，副本</w:t>
      </w:r>
      <w:r>
        <w:rPr>
          <w:rFonts w:hint="eastAsia" w:ascii="宋体" w:hAnsi="宋体" w:eastAsia="宋体" w:cs="宋体"/>
          <w:color w:val="000000"/>
          <w:kern w:val="2"/>
          <w:sz w:val="21"/>
          <w:szCs w:val="21"/>
          <w:u w:val="single"/>
          <w:lang w:val="en-US" w:eastAsia="zh-CN" w:bidi="ar"/>
        </w:rPr>
        <w:t xml:space="preserve"> 二 </w:t>
      </w:r>
      <w:r>
        <w:rPr>
          <w:rFonts w:hint="eastAsia" w:ascii="宋体" w:hAnsi="宋体" w:eastAsia="宋体" w:cs="宋体"/>
          <w:color w:val="000000"/>
          <w:kern w:val="2"/>
          <w:sz w:val="21"/>
          <w:szCs w:val="21"/>
          <w:lang w:val="en-US" w:eastAsia="zh-CN" w:bidi="ar"/>
        </w:rPr>
        <w:t>份，当正本与副本的内容不一致时，以正本为准。</w:t>
      </w:r>
    </w:p>
    <w:p>
      <w:pPr>
        <w:pStyle w:val="2"/>
        <w:rPr>
          <w:rFonts w:hint="eastAsia" w:ascii="宋体" w:hAnsi="宋体" w:eastAsia="宋体" w:cs="宋体"/>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p>
    <w:p>
      <w:pPr>
        <w:pStyle w:val="2"/>
        <w:rPr>
          <w:rFonts w:hint="eastAsia" w:ascii="宋体" w:hAnsi="宋体" w:eastAsia="宋体" w:cs="宋体"/>
          <w:color w:val="000000"/>
          <w:kern w:val="2"/>
          <w:sz w:val="21"/>
          <w:szCs w:val="21"/>
          <w:lang w:val="en-US" w:eastAsia="zh-CN" w:bidi="ar"/>
        </w:rPr>
      </w:pPr>
    </w:p>
    <w:p>
      <w:pPr>
        <w:pStyle w:val="3"/>
        <w:rPr>
          <w:rFonts w:hint="eastAsia"/>
          <w:lang w:val="en-US" w:eastAsia="zh-CN"/>
        </w:rPr>
      </w:pPr>
    </w:p>
    <w:p>
      <w:pPr>
        <w:keepNext w:val="0"/>
        <w:keepLines w:val="0"/>
        <w:pageBreakBefore w:val="0"/>
        <w:widowControl w:val="0"/>
        <w:suppressLineNumbers w:val="0"/>
        <w:tabs>
          <w:tab w:val="left" w:pos="375"/>
        </w:tabs>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（本页无正文）</w:t>
      </w:r>
    </w:p>
    <w:tbl>
      <w:tblPr>
        <w:tblStyle w:val="20"/>
        <w:tblW w:w="9060" w:type="dxa"/>
        <w:jc w:val="center"/>
        <w:tblLayout w:type="fixed"/>
        <w:tblCellMar>
          <w:top w:w="0" w:type="dxa"/>
          <w:left w:w="108" w:type="dxa"/>
          <w:bottom w:w="0" w:type="dxa"/>
          <w:right w:w="108" w:type="dxa"/>
        </w:tblCellMar>
      </w:tblPr>
      <w:tblGrid>
        <w:gridCol w:w="4388"/>
        <w:gridCol w:w="255"/>
        <w:gridCol w:w="4417"/>
      </w:tblGrid>
      <w:tr>
        <w:tblPrEx>
          <w:tblCellMar>
            <w:top w:w="0" w:type="dxa"/>
            <w:left w:w="108" w:type="dxa"/>
            <w:bottom w:w="0" w:type="dxa"/>
            <w:right w:w="108" w:type="dxa"/>
          </w:tblCellMar>
        </w:tblPrEx>
        <w:trPr>
          <w:trHeight w:val="1304" w:hRule="exact"/>
          <w:jc w:val="center"/>
        </w:trPr>
        <w:tc>
          <w:tcPr>
            <w:tcW w:w="4388" w:type="dxa"/>
            <w:noWrap w:val="0"/>
            <w:vAlign w:val="center"/>
          </w:tcPr>
          <w:p>
            <w:pPr>
              <w:adjustRightInd w:val="0"/>
              <w:snapToGrid w:val="0"/>
              <w:spacing w:line="560" w:lineRule="exact"/>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tc>
        <w:tc>
          <w:tcPr>
            <w:tcW w:w="255" w:type="dxa"/>
            <w:noWrap w:val="0"/>
            <w:vAlign w:val="center"/>
          </w:tcPr>
          <w:p>
            <w:pPr>
              <w:adjustRightInd w:val="0"/>
              <w:snapToGrid w:val="0"/>
              <w:spacing w:line="560" w:lineRule="exact"/>
              <w:rPr>
                <w:rFonts w:hint="eastAsia" w:ascii="宋体" w:hAnsi="宋体" w:eastAsia="宋体" w:cs="宋体"/>
                <w:sz w:val="21"/>
                <w:szCs w:val="21"/>
              </w:rPr>
            </w:pPr>
          </w:p>
        </w:tc>
        <w:tc>
          <w:tcPr>
            <w:tcW w:w="4417" w:type="dxa"/>
            <w:noWrap w:val="0"/>
            <w:vAlign w:val="center"/>
          </w:tcPr>
          <w:p>
            <w:pPr>
              <w:adjustRightInd w:val="0"/>
              <w:snapToGrid w:val="0"/>
              <w:spacing w:line="560" w:lineRule="exact"/>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tc>
      </w:tr>
      <w:tr>
        <w:tblPrEx>
          <w:tblCellMar>
            <w:top w:w="0" w:type="dxa"/>
            <w:left w:w="108" w:type="dxa"/>
            <w:bottom w:w="0" w:type="dxa"/>
            <w:right w:w="108" w:type="dxa"/>
          </w:tblCellMar>
        </w:tblPrEx>
        <w:trPr>
          <w:trHeight w:val="1454" w:hRule="exact"/>
          <w:jc w:val="center"/>
        </w:trPr>
        <w:tc>
          <w:tcPr>
            <w:tcW w:w="4388" w:type="dxa"/>
            <w:noWrap w:val="0"/>
            <w:vAlign w:val="center"/>
          </w:tcPr>
          <w:p>
            <w:pPr>
              <w:adjustRightInd w:val="0"/>
              <w:snapToGrid w:val="0"/>
              <w:spacing w:line="560" w:lineRule="exact"/>
              <w:ind w:left="240" w:hanging="210" w:hangingChars="100"/>
              <w:jc w:val="left"/>
              <w:rPr>
                <w:rFonts w:hint="eastAsia" w:ascii="宋体" w:hAnsi="宋体" w:eastAsia="宋体" w:cs="宋体"/>
                <w:sz w:val="21"/>
                <w:szCs w:val="21"/>
              </w:rPr>
            </w:pPr>
            <w:r>
              <w:rPr>
                <w:rFonts w:hint="eastAsia" w:ascii="宋体" w:hAnsi="宋体" w:eastAsia="宋体" w:cs="宋体"/>
                <w:sz w:val="21"/>
                <w:szCs w:val="21"/>
              </w:rPr>
              <w:t>法定代表人</w:t>
            </w:r>
          </w:p>
          <w:p>
            <w:pPr>
              <w:adjustRightInd w:val="0"/>
              <w:snapToGrid w:val="0"/>
              <w:spacing w:line="560" w:lineRule="exact"/>
              <w:ind w:left="240" w:hanging="210" w:hangingChars="100"/>
              <w:jc w:val="left"/>
              <w:rPr>
                <w:rFonts w:hint="eastAsia" w:ascii="宋体" w:hAnsi="宋体" w:eastAsia="宋体" w:cs="宋体"/>
                <w:sz w:val="21"/>
                <w:szCs w:val="21"/>
              </w:rPr>
            </w:pPr>
            <w:r>
              <w:rPr>
                <w:rFonts w:hint="eastAsia" w:ascii="宋体" w:hAnsi="宋体" w:eastAsia="宋体" w:cs="宋体"/>
                <w:sz w:val="21"/>
                <w:szCs w:val="21"/>
              </w:rPr>
              <w:t>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tc>
        <w:tc>
          <w:tcPr>
            <w:tcW w:w="255" w:type="dxa"/>
            <w:noWrap w:val="0"/>
            <w:vAlign w:val="center"/>
          </w:tcPr>
          <w:p>
            <w:pPr>
              <w:adjustRightInd w:val="0"/>
              <w:snapToGrid w:val="0"/>
              <w:spacing w:line="560" w:lineRule="exact"/>
              <w:jc w:val="left"/>
              <w:rPr>
                <w:rFonts w:hint="eastAsia" w:ascii="宋体" w:hAnsi="宋体" w:eastAsia="宋体" w:cs="宋体"/>
                <w:sz w:val="21"/>
                <w:szCs w:val="21"/>
              </w:rPr>
            </w:pPr>
          </w:p>
        </w:tc>
        <w:tc>
          <w:tcPr>
            <w:tcW w:w="4417" w:type="dxa"/>
            <w:noWrap w:val="0"/>
            <w:vAlign w:val="center"/>
          </w:tcPr>
          <w:p>
            <w:pPr>
              <w:adjustRightInd w:val="0"/>
              <w:snapToGrid w:val="0"/>
              <w:spacing w:line="560" w:lineRule="exact"/>
              <w:jc w:val="left"/>
              <w:rPr>
                <w:rFonts w:hint="eastAsia" w:ascii="宋体" w:hAnsi="宋体" w:eastAsia="宋体" w:cs="宋体"/>
                <w:sz w:val="21"/>
                <w:szCs w:val="21"/>
              </w:rPr>
            </w:pPr>
            <w:r>
              <w:rPr>
                <w:rFonts w:hint="eastAsia" w:ascii="宋体" w:hAnsi="宋体" w:eastAsia="宋体" w:cs="宋体"/>
                <w:sz w:val="21"/>
                <w:szCs w:val="21"/>
              </w:rPr>
              <w:t>法定代表人</w:t>
            </w:r>
          </w:p>
          <w:p>
            <w:pPr>
              <w:adjustRightInd w:val="0"/>
              <w:snapToGrid w:val="0"/>
              <w:spacing w:line="560" w:lineRule="exact"/>
              <w:jc w:val="left"/>
              <w:rPr>
                <w:rFonts w:hint="eastAsia" w:ascii="宋体" w:hAnsi="宋体" w:eastAsia="宋体" w:cs="宋体"/>
                <w:sz w:val="21"/>
                <w:szCs w:val="21"/>
              </w:rPr>
            </w:pPr>
            <w:r>
              <w:rPr>
                <w:rFonts w:hint="eastAsia" w:ascii="宋体" w:hAnsi="宋体" w:eastAsia="宋体" w:cs="宋体"/>
                <w:sz w:val="21"/>
                <w:szCs w:val="21"/>
              </w:rPr>
              <w:t>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tc>
      </w:tr>
      <w:tr>
        <w:tblPrEx>
          <w:tblCellMar>
            <w:top w:w="0" w:type="dxa"/>
            <w:left w:w="108" w:type="dxa"/>
            <w:bottom w:w="0" w:type="dxa"/>
            <w:right w:w="108" w:type="dxa"/>
          </w:tblCellMar>
        </w:tblPrEx>
        <w:trPr>
          <w:trHeight w:val="832" w:hRule="exact"/>
          <w:jc w:val="center"/>
        </w:trPr>
        <w:tc>
          <w:tcPr>
            <w:tcW w:w="4388" w:type="dxa"/>
            <w:noWrap w:val="0"/>
            <w:vAlign w:val="center"/>
          </w:tcPr>
          <w:p>
            <w:pPr>
              <w:adjustRightInd w:val="0"/>
              <w:snapToGrid w:val="0"/>
              <w:spacing w:line="560" w:lineRule="exact"/>
              <w:jc w:val="righ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tc>
        <w:tc>
          <w:tcPr>
            <w:tcW w:w="255" w:type="dxa"/>
            <w:noWrap w:val="0"/>
            <w:vAlign w:val="center"/>
          </w:tcPr>
          <w:p>
            <w:pPr>
              <w:adjustRightInd w:val="0"/>
              <w:snapToGrid w:val="0"/>
              <w:spacing w:line="560" w:lineRule="exact"/>
              <w:rPr>
                <w:rFonts w:hint="eastAsia" w:ascii="宋体" w:hAnsi="宋体" w:eastAsia="宋体" w:cs="宋体"/>
                <w:sz w:val="21"/>
                <w:szCs w:val="21"/>
              </w:rPr>
            </w:pPr>
          </w:p>
        </w:tc>
        <w:tc>
          <w:tcPr>
            <w:tcW w:w="4417" w:type="dxa"/>
            <w:noWrap w:val="0"/>
            <w:vAlign w:val="center"/>
          </w:tcPr>
          <w:p>
            <w:pPr>
              <w:adjustRightInd w:val="0"/>
              <w:snapToGrid w:val="0"/>
              <w:spacing w:line="560" w:lineRule="exact"/>
              <w:jc w:val="righ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tc>
      </w:tr>
    </w:tbl>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2"/>
      </w:pPr>
    </w:p>
    <w:p>
      <w:pPr>
        <w:pStyle w:val="3"/>
      </w:pPr>
    </w:p>
    <w:p/>
    <w:p>
      <w:pPr>
        <w:pStyle w:val="2"/>
      </w:pPr>
    </w:p>
    <w:p>
      <w:pPr>
        <w:rPr>
          <w:rFonts w:hint="default"/>
        </w:rPr>
      </w:pPr>
    </w:p>
    <w:p>
      <w:pPr>
        <w:widowControl/>
        <w:jc w:val="left"/>
        <w:rPr>
          <w:rFonts w:ascii="宋体" w:eastAsia="宋体"/>
          <w:sz w:val="28"/>
          <w:szCs w:val="28"/>
        </w:rPr>
      </w:pPr>
      <w:r>
        <w:rPr>
          <w:rFonts w:hint="eastAsia" w:ascii="宋体" w:eastAsia="宋体"/>
          <w:sz w:val="28"/>
          <w:szCs w:val="28"/>
        </w:rPr>
        <w:t>附件1</w:t>
      </w:r>
    </w:p>
    <w:p>
      <w:pPr>
        <w:widowControl/>
        <w:jc w:val="center"/>
        <w:rPr>
          <w:rFonts w:asciiTheme="minorEastAsia" w:hAnsiTheme="minorEastAsia" w:eastAsiaTheme="minorEastAsia"/>
          <w:b/>
          <w:bCs/>
          <w:sz w:val="44"/>
          <w:szCs w:val="44"/>
        </w:rPr>
      </w:pPr>
      <w:r>
        <w:rPr>
          <w:rFonts w:hint="eastAsia" w:cs="黑体" w:asciiTheme="minorEastAsia" w:hAnsiTheme="minorEastAsia" w:eastAsiaTheme="minorEastAsia"/>
          <w:b/>
          <w:bCs/>
          <w:sz w:val="44"/>
          <w:szCs w:val="44"/>
        </w:rPr>
        <w:t>工程量确认单</w:t>
      </w:r>
    </w:p>
    <w:tbl>
      <w:tblPr>
        <w:tblStyle w:val="2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2976"/>
        <w:gridCol w:w="1962"/>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eastAsiaTheme="minorEastAsia"/>
                <w:kern w:val="0"/>
                <w:sz w:val="21"/>
                <w:szCs w:val="21"/>
              </w:rPr>
            </w:pPr>
            <w:r>
              <w:rPr>
                <w:rFonts w:hAnsiTheme="minorEastAsia" w:eastAsiaTheme="minorEastAsia"/>
                <w:kern w:val="0"/>
                <w:sz w:val="21"/>
                <w:szCs w:val="21"/>
              </w:rPr>
              <w:t>项目名称</w:t>
            </w:r>
          </w:p>
        </w:tc>
        <w:tc>
          <w:tcPr>
            <w:tcW w:w="7270" w:type="dxa"/>
            <w:gridSpan w:val="3"/>
            <w:vAlign w:val="center"/>
          </w:tcPr>
          <w:p>
            <w:pPr>
              <w:widowControl/>
              <w:jc w:val="center"/>
              <w:rPr>
                <w:rFonts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eastAsiaTheme="minorEastAsia"/>
                <w:kern w:val="0"/>
                <w:sz w:val="21"/>
                <w:szCs w:val="21"/>
              </w:rPr>
            </w:pPr>
            <w:r>
              <w:rPr>
                <w:rFonts w:hAnsiTheme="minorEastAsia" w:eastAsiaTheme="minorEastAsia"/>
                <w:kern w:val="0"/>
                <w:sz w:val="21"/>
                <w:szCs w:val="21"/>
              </w:rPr>
              <w:t>工作任务</w:t>
            </w:r>
          </w:p>
        </w:tc>
        <w:tc>
          <w:tcPr>
            <w:tcW w:w="7270" w:type="dxa"/>
            <w:gridSpan w:val="3"/>
            <w:vAlign w:val="center"/>
          </w:tcPr>
          <w:p>
            <w:pPr>
              <w:widowControl/>
              <w:jc w:val="center"/>
              <w:rPr>
                <w:rFonts w:eastAsiaTheme="minorEastAsia"/>
                <w:kern w:val="0"/>
                <w:sz w:val="21"/>
                <w:szCs w:val="21"/>
              </w:rPr>
            </w:pPr>
          </w:p>
          <w:p>
            <w:pPr>
              <w:widowControl/>
              <w:jc w:val="center"/>
              <w:rPr>
                <w:rFonts w:eastAsiaTheme="minorEastAsia"/>
                <w:kern w:val="0"/>
                <w:sz w:val="21"/>
                <w:szCs w:val="21"/>
              </w:rPr>
            </w:pPr>
          </w:p>
          <w:p>
            <w:pPr>
              <w:widowControl/>
              <w:jc w:val="center"/>
              <w:rPr>
                <w:rFonts w:eastAsiaTheme="minorEastAsia"/>
                <w:kern w:val="0"/>
                <w:sz w:val="21"/>
                <w:szCs w:val="21"/>
              </w:rPr>
            </w:pPr>
          </w:p>
          <w:p>
            <w:pPr>
              <w:widowControl/>
              <w:jc w:val="center"/>
              <w:rPr>
                <w:rFonts w:eastAsiaTheme="minorEastAsia"/>
                <w:kern w:val="0"/>
                <w:sz w:val="21"/>
                <w:szCs w:val="21"/>
              </w:rPr>
            </w:pPr>
          </w:p>
          <w:p>
            <w:pPr>
              <w:widowControl/>
              <w:jc w:val="center"/>
              <w:rPr>
                <w:rFonts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eastAsiaTheme="minorEastAsia"/>
                <w:kern w:val="0"/>
                <w:sz w:val="21"/>
                <w:szCs w:val="21"/>
              </w:rPr>
            </w:pPr>
            <w:r>
              <w:rPr>
                <w:rFonts w:hAnsiTheme="minorEastAsia" w:eastAsiaTheme="minorEastAsia"/>
                <w:kern w:val="0"/>
                <w:sz w:val="21"/>
                <w:szCs w:val="21"/>
              </w:rPr>
              <w:t>任务下达人及时间</w:t>
            </w:r>
          </w:p>
        </w:tc>
        <w:tc>
          <w:tcPr>
            <w:tcW w:w="2976" w:type="dxa"/>
            <w:vAlign w:val="center"/>
          </w:tcPr>
          <w:p>
            <w:pPr>
              <w:widowControl/>
              <w:jc w:val="center"/>
              <w:rPr>
                <w:rFonts w:eastAsiaTheme="minorEastAsia"/>
                <w:kern w:val="0"/>
                <w:sz w:val="21"/>
                <w:szCs w:val="21"/>
              </w:rPr>
            </w:pPr>
          </w:p>
        </w:tc>
        <w:tc>
          <w:tcPr>
            <w:tcW w:w="1962" w:type="dxa"/>
            <w:vAlign w:val="center"/>
          </w:tcPr>
          <w:p>
            <w:pPr>
              <w:widowControl/>
              <w:jc w:val="center"/>
              <w:rPr>
                <w:rFonts w:eastAsiaTheme="minorEastAsia"/>
                <w:kern w:val="0"/>
                <w:sz w:val="21"/>
                <w:szCs w:val="21"/>
              </w:rPr>
            </w:pPr>
            <w:r>
              <w:rPr>
                <w:rFonts w:hAnsiTheme="minorEastAsia" w:eastAsiaTheme="minorEastAsia"/>
                <w:kern w:val="0"/>
                <w:sz w:val="21"/>
                <w:szCs w:val="21"/>
              </w:rPr>
              <w:t>任务接收人及时间</w:t>
            </w:r>
          </w:p>
        </w:tc>
        <w:tc>
          <w:tcPr>
            <w:tcW w:w="2332" w:type="dxa"/>
            <w:vAlign w:val="center"/>
          </w:tcPr>
          <w:p>
            <w:pPr>
              <w:widowControl/>
              <w:jc w:val="center"/>
              <w:rPr>
                <w:rFonts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eastAsiaTheme="minorEastAsia"/>
                <w:kern w:val="0"/>
                <w:sz w:val="21"/>
                <w:szCs w:val="21"/>
              </w:rPr>
            </w:pPr>
            <w:r>
              <w:rPr>
                <w:rFonts w:hAnsiTheme="minorEastAsia" w:eastAsiaTheme="minorEastAsia"/>
                <w:kern w:val="0"/>
                <w:sz w:val="21"/>
                <w:szCs w:val="21"/>
              </w:rPr>
              <w:t>任务完成时间</w:t>
            </w:r>
          </w:p>
        </w:tc>
        <w:tc>
          <w:tcPr>
            <w:tcW w:w="7270" w:type="dxa"/>
            <w:gridSpan w:val="3"/>
            <w:vAlign w:val="center"/>
          </w:tcPr>
          <w:p>
            <w:pPr>
              <w:widowControl/>
              <w:jc w:val="center"/>
              <w:rPr>
                <w:rFonts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eastAsiaTheme="minorEastAsia"/>
                <w:kern w:val="0"/>
                <w:sz w:val="21"/>
                <w:szCs w:val="21"/>
              </w:rPr>
            </w:pPr>
            <w:r>
              <w:rPr>
                <w:rFonts w:hAnsiTheme="minorEastAsia" w:eastAsiaTheme="minorEastAsia"/>
                <w:kern w:val="0"/>
                <w:sz w:val="21"/>
                <w:szCs w:val="21"/>
              </w:rPr>
              <w:t>单价</w:t>
            </w:r>
          </w:p>
        </w:tc>
        <w:tc>
          <w:tcPr>
            <w:tcW w:w="7270" w:type="dxa"/>
            <w:gridSpan w:val="3"/>
            <w:vAlign w:val="center"/>
          </w:tcPr>
          <w:p>
            <w:pPr>
              <w:widowControl/>
              <w:jc w:val="center"/>
              <w:rPr>
                <w:rFonts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eastAsiaTheme="minorEastAsia"/>
                <w:kern w:val="0"/>
                <w:sz w:val="21"/>
                <w:szCs w:val="21"/>
              </w:rPr>
            </w:pPr>
            <w:r>
              <w:rPr>
                <w:rFonts w:hAnsiTheme="minorEastAsia" w:eastAsiaTheme="minorEastAsia"/>
                <w:kern w:val="0"/>
                <w:sz w:val="21"/>
                <w:szCs w:val="21"/>
              </w:rPr>
              <w:t>工程量</w:t>
            </w:r>
          </w:p>
        </w:tc>
        <w:tc>
          <w:tcPr>
            <w:tcW w:w="7270" w:type="dxa"/>
            <w:gridSpan w:val="3"/>
            <w:vAlign w:val="center"/>
          </w:tcPr>
          <w:p>
            <w:pPr>
              <w:widowControl/>
              <w:jc w:val="center"/>
              <w:rPr>
                <w:rFonts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eastAsiaTheme="minorEastAsia"/>
                <w:kern w:val="0"/>
                <w:sz w:val="21"/>
                <w:szCs w:val="21"/>
              </w:rPr>
            </w:pPr>
            <w:r>
              <w:rPr>
                <w:rFonts w:hAnsiTheme="minorEastAsia" w:eastAsiaTheme="minorEastAsia"/>
                <w:kern w:val="0"/>
                <w:sz w:val="21"/>
                <w:szCs w:val="21"/>
              </w:rPr>
              <w:t>总费用</w:t>
            </w:r>
          </w:p>
        </w:tc>
        <w:tc>
          <w:tcPr>
            <w:tcW w:w="7270" w:type="dxa"/>
            <w:gridSpan w:val="3"/>
            <w:vAlign w:val="center"/>
          </w:tcPr>
          <w:p>
            <w:pPr>
              <w:widowControl/>
              <w:jc w:val="center"/>
              <w:rPr>
                <w:rFonts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AnsiTheme="minorEastAsia" w:eastAsiaTheme="minorEastAsia"/>
                <w:kern w:val="0"/>
                <w:sz w:val="21"/>
                <w:szCs w:val="21"/>
              </w:rPr>
            </w:pPr>
            <w:r>
              <w:rPr>
                <w:rFonts w:hAnsiTheme="minorEastAsia" w:eastAsiaTheme="minorEastAsia"/>
                <w:kern w:val="0"/>
                <w:sz w:val="21"/>
                <w:szCs w:val="21"/>
              </w:rPr>
              <w:t>服务供应商确认</w:t>
            </w:r>
          </w:p>
          <w:p>
            <w:pPr>
              <w:widowControl/>
              <w:jc w:val="center"/>
              <w:rPr>
                <w:rFonts w:eastAsiaTheme="minorEastAsia"/>
                <w:kern w:val="0"/>
                <w:sz w:val="21"/>
                <w:szCs w:val="21"/>
              </w:rPr>
            </w:pPr>
            <w:r>
              <w:rPr>
                <w:rFonts w:hAnsiTheme="minorEastAsia" w:eastAsiaTheme="minorEastAsia"/>
                <w:kern w:val="0"/>
                <w:sz w:val="21"/>
                <w:szCs w:val="21"/>
              </w:rPr>
              <w:t>（签字、盖章）</w:t>
            </w:r>
          </w:p>
        </w:tc>
        <w:tc>
          <w:tcPr>
            <w:tcW w:w="7270" w:type="dxa"/>
            <w:gridSpan w:val="3"/>
            <w:vAlign w:val="center"/>
          </w:tcPr>
          <w:p>
            <w:pPr>
              <w:widowControl/>
              <w:jc w:val="center"/>
              <w:rPr>
                <w:rFonts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eastAsiaTheme="minorEastAsia"/>
                <w:kern w:val="0"/>
                <w:sz w:val="21"/>
                <w:szCs w:val="21"/>
              </w:rPr>
            </w:pPr>
            <w:r>
              <w:rPr>
                <w:rFonts w:hAnsiTheme="minorEastAsia" w:eastAsiaTheme="minorEastAsia"/>
                <w:kern w:val="0"/>
                <w:sz w:val="21"/>
                <w:szCs w:val="21"/>
              </w:rPr>
              <w:t>项目负责人签字确认</w:t>
            </w:r>
          </w:p>
        </w:tc>
        <w:tc>
          <w:tcPr>
            <w:tcW w:w="7270" w:type="dxa"/>
            <w:gridSpan w:val="3"/>
            <w:vAlign w:val="center"/>
          </w:tcPr>
          <w:p>
            <w:pPr>
              <w:widowControl/>
              <w:jc w:val="center"/>
              <w:rPr>
                <w:rFonts w:eastAsiaTheme="minorEastAsia"/>
                <w:kern w:val="0"/>
                <w:sz w:val="21"/>
                <w:szCs w:val="21"/>
              </w:rPr>
            </w:pPr>
          </w:p>
          <w:p>
            <w:pPr>
              <w:widowControl/>
              <w:jc w:val="center"/>
              <w:rPr>
                <w:rFonts w:eastAsiaTheme="minorEastAsia"/>
                <w:kern w:val="0"/>
                <w:sz w:val="21"/>
                <w:szCs w:val="21"/>
              </w:rPr>
            </w:pPr>
          </w:p>
          <w:p>
            <w:pPr>
              <w:widowControl/>
              <w:jc w:val="center"/>
              <w:rPr>
                <w:rFonts w:eastAsiaTheme="minorEastAsia"/>
                <w:kern w:val="0"/>
                <w:sz w:val="21"/>
                <w:szCs w:val="21"/>
              </w:rPr>
            </w:pPr>
          </w:p>
          <w:p>
            <w:pPr>
              <w:widowControl/>
              <w:jc w:val="center"/>
              <w:rPr>
                <w:rFonts w:eastAsiaTheme="minorEastAsia"/>
                <w:kern w:val="0"/>
                <w:sz w:val="21"/>
                <w:szCs w:val="21"/>
              </w:rPr>
            </w:pPr>
          </w:p>
          <w:p>
            <w:pPr>
              <w:widowControl/>
              <w:jc w:val="center"/>
              <w:rPr>
                <w:rFonts w:eastAsiaTheme="minorEastAsia"/>
                <w:kern w:val="0"/>
                <w:sz w:val="21"/>
                <w:szCs w:val="21"/>
              </w:rPr>
            </w:pPr>
          </w:p>
          <w:p>
            <w:pPr>
              <w:widowControl/>
              <w:jc w:val="center"/>
              <w:rPr>
                <w:rFonts w:eastAsiaTheme="minorEastAsia"/>
                <w:kern w:val="0"/>
                <w:sz w:val="21"/>
                <w:szCs w:val="21"/>
              </w:rPr>
            </w:pPr>
          </w:p>
          <w:p>
            <w:pPr>
              <w:widowControl/>
              <w:jc w:val="center"/>
              <w:rPr>
                <w:rFonts w:eastAsiaTheme="minorEastAsia"/>
                <w:kern w:val="0"/>
                <w:sz w:val="21"/>
                <w:szCs w:val="21"/>
              </w:rPr>
            </w:pPr>
          </w:p>
        </w:tc>
      </w:tr>
    </w:tbl>
    <w:p>
      <w:pPr>
        <w:spacing w:line="460" w:lineRule="exact"/>
        <w:jc w:val="center"/>
        <w:rPr>
          <w:rFonts w:cs="方正小标宋简体" w:asciiTheme="minorEastAsia" w:hAnsiTheme="minorEastAsia" w:eastAsiaTheme="minorEastAsia"/>
        </w:rPr>
      </w:pPr>
    </w:p>
    <w:p>
      <w:pPr>
        <w:rPr>
          <w:rFonts w:asciiTheme="minorEastAsia" w:hAnsiTheme="minorEastAsia" w:eastAsiaTheme="minorEastAsia"/>
          <w:sz w:val="32"/>
          <w:szCs w:val="32"/>
        </w:rPr>
      </w:pPr>
      <w:r>
        <w:rPr>
          <w:rFonts w:asciiTheme="minorEastAsia" w:hAnsiTheme="minorEastAsia" w:eastAsiaTheme="minorEastAsia"/>
          <w:sz w:val="32"/>
          <w:szCs w:val="32"/>
        </w:rPr>
        <w:br w:type="page"/>
      </w:r>
    </w:p>
    <w:p>
      <w:pPr>
        <w:rPr>
          <w:rFonts w:hint="default"/>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pStyle w:val="4"/>
        <w:numPr>
          <w:ilvl w:val="-1"/>
          <w:numId w:val="0"/>
        </w:numPr>
        <w:spacing w:before="240" w:after="240"/>
        <w:ind w:left="402" w:firstLine="0"/>
        <w:rPr>
          <w:rFonts w:hint="default" w:ascii="Times New Roman" w:hAnsi="Times New Roman" w:eastAsia="宋体" w:cs="Times New Roman"/>
          <w:color w:val="auto"/>
          <w:highlight w:val="none"/>
        </w:rPr>
      </w:pPr>
      <w:bookmarkStart w:id="164" w:name="_Toc29093_WPSOffice_Level1"/>
      <w:r>
        <w:rPr>
          <w:rFonts w:hint="default" w:ascii="Times New Roman" w:hAnsi="Times New Roman" w:eastAsia="宋体" w:cs="Times New Roman"/>
          <w:color w:val="auto"/>
          <w:highlight w:val="none"/>
          <w:lang w:val="en-US" w:eastAsia="zh-CN"/>
        </w:rPr>
        <w:t>第五章 采购需求及清单</w:t>
      </w:r>
      <w:bookmarkEnd w:id="164"/>
    </w:p>
    <w:p>
      <w:pPr>
        <w:pStyle w:val="5"/>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630" w:leftChars="0"/>
        <w:textAlignment w:val="auto"/>
        <w:rPr>
          <w:rFonts w:hint="default" w:ascii="Times New Roman" w:hAnsi="Times New Roman" w:cs="Times New Roman"/>
          <w:color w:val="auto"/>
          <w:highlight w:val="none"/>
          <w:lang w:val="en-US" w:eastAsia="zh-CN"/>
        </w:rPr>
      </w:pPr>
      <w:bookmarkStart w:id="165" w:name="_Toc18078_WPSOffice_Level2"/>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bookmarkEnd w:id="165"/>
      <w:r>
        <w:rPr>
          <w:rFonts w:hint="eastAsia" w:ascii="Times New Roman" w:hAnsi="Times New Roman" w:cs="Times New Roman"/>
          <w:color w:val="auto"/>
          <w:highlight w:val="none"/>
          <w:lang w:val="en-US" w:eastAsia="zh-CN"/>
        </w:rPr>
        <w:t>采购需求及</w:t>
      </w:r>
      <w:r>
        <w:rPr>
          <w:rFonts w:hint="default" w:ascii="Times New Roman" w:hAnsi="Times New Roman" w:cs="Times New Roman"/>
          <w:color w:val="auto"/>
          <w:highlight w:val="none"/>
          <w:lang w:val="en-US" w:eastAsia="zh-CN"/>
        </w:rPr>
        <w:t>清单</w:t>
      </w:r>
    </w:p>
    <w:p>
      <w:pPr>
        <w:jc w:val="center"/>
        <w:rPr>
          <w:rFonts w:hint="default"/>
          <w:lang w:val="en-US" w:eastAsia="zh-CN"/>
        </w:rPr>
      </w:pPr>
      <w:r>
        <w:rPr>
          <w:rFonts w:hint="eastAsia" w:ascii="Times New Roman" w:hAnsi="Times New Roman" w:cs="Times New Roman"/>
          <w:color w:val="auto"/>
          <w:highlight w:val="none"/>
          <w:lang w:val="en-US" w:eastAsia="zh-CN"/>
        </w:rPr>
        <w:t>表  采购需求及</w:t>
      </w:r>
      <w:r>
        <w:rPr>
          <w:rFonts w:hint="default" w:ascii="Times New Roman" w:hAnsi="Times New Roman" w:cs="Times New Roman"/>
          <w:color w:val="auto"/>
          <w:highlight w:val="none"/>
          <w:lang w:val="en-US" w:eastAsia="zh-CN"/>
        </w:rPr>
        <w:t>清单</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521"/>
        <w:gridCol w:w="3445"/>
        <w:gridCol w:w="884"/>
        <w:gridCol w:w="884"/>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340"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892"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仪器名称</w:t>
            </w:r>
          </w:p>
        </w:tc>
        <w:tc>
          <w:tcPr>
            <w:tcW w:w="2020"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规格型号</w:t>
            </w:r>
          </w:p>
        </w:tc>
        <w:tc>
          <w:tcPr>
            <w:tcW w:w="518"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数量</w:t>
            </w:r>
          </w:p>
        </w:tc>
        <w:tc>
          <w:tcPr>
            <w:tcW w:w="518"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溯源方式</w:t>
            </w:r>
          </w:p>
        </w:tc>
        <w:tc>
          <w:tcPr>
            <w:tcW w:w="709" w:type="pct"/>
            <w:shd w:val="clear" w:color="auto" w:fill="DEEBF6" w:themeFill="accent1" w:themeFillTint="3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电子台秤</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TCS-150（150kg/50g）</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电子台秤</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JSB30-1 (30kg/1g)</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w:t>
            </w:r>
          </w:p>
        </w:tc>
        <w:tc>
          <w:tcPr>
            <w:tcW w:w="89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电子天平</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JS15-01（15kg/0.1g）</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电子天平</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JY20002 (2000g/0.01g）</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静水天平</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5000g/0.01g</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电子天平</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JA11003  (1100g/0.001g)</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精密分析天平</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BP210S(200g/0.0001g)</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新标准土壤筛</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0.075-60mm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数显式土壤液塑限联合测定仪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LP-100D</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含盛土杯一个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电动重型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击实仪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DZY-Ⅲ</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大、小击实筒</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各1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CBR承载比试验仪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13</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土工自由</w:t>
            </w:r>
          </w:p>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0"/>
                <w:szCs w:val="20"/>
                <w:highlight w:val="none"/>
              </w:rPr>
              <w:t>膨胀率</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量力环</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7.5KN、30kN</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各1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干燥箱</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55</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百分表</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0-10 0.01mm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12</w:t>
            </w:r>
            <w:r>
              <w:rPr>
                <w:rStyle w:val="43"/>
                <w:rFonts w:hint="eastAsia" w:ascii="宋体" w:hAnsi="宋体" w:eastAsia="宋体" w:cs="宋体"/>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路面材料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强度仪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LD127-II</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val="en-US" w:eastAsia="zh-CN"/>
              </w:rPr>
              <w:t>100</w:t>
            </w:r>
            <w:r>
              <w:rPr>
                <w:rFonts w:hint="eastAsia" w:ascii="宋体" w:hAnsi="宋体" w:eastAsia="宋体" w:cs="宋体"/>
                <w:i w:val="0"/>
                <w:color w:val="auto"/>
                <w:kern w:val="0"/>
                <w:sz w:val="20"/>
                <w:szCs w:val="20"/>
                <w:highlight w:val="none"/>
                <w:u w:val="none"/>
                <w:lang w:val="en-US" w:eastAsia="zh-CN" w:bidi="ar"/>
              </w:rPr>
              <w:t>kN量力环或传感器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温湿度表</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xml:space="preserve"> -30℃-50℃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12</w:t>
            </w:r>
            <w:r>
              <w:rPr>
                <w:rStyle w:val="43"/>
                <w:rFonts w:hint="eastAsia" w:ascii="宋体" w:hAnsi="宋体" w:eastAsia="宋体" w:cs="宋体"/>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恒温干燥箱</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101-3</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震击式标准振筛机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ZBSX-92A</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数显洛杉矶磨耗试验机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MH-Ⅲ</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含球（</w:t>
            </w:r>
            <w:r>
              <w:rPr>
                <w:rFonts w:hint="eastAsia" w:ascii="宋体" w:hAnsi="宋体" w:eastAsia="宋体" w:cs="宋体"/>
                <w:i w:val="0"/>
                <w:color w:val="auto"/>
                <w:sz w:val="20"/>
                <w:szCs w:val="20"/>
                <w:highlight w:val="none"/>
                <w:u w:val="none"/>
                <w:lang w:val="en-US" w:eastAsia="zh-CN"/>
              </w:rPr>
              <w:t>12个</w:t>
            </w:r>
            <w:r>
              <w:rPr>
                <w:rFonts w:hint="eastAsia" w:ascii="宋体" w:hAnsi="宋体" w:eastAsia="宋体" w:cs="宋体"/>
                <w:i w:val="0"/>
                <w:color w:val="auto"/>
                <w:sz w:val="20"/>
                <w:szCs w:val="20"/>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标准方孔</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集料筛</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0.075-37.5mm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磁力搅拌机（亚甲蓝）</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YJL-Ⅲ</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砂当量试验仪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YL-2B</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含两个筒和一套冲洗设备、振荡器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规准仪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top"/>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压碎值仪</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国标</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top"/>
          </w:tcPr>
          <w:p>
            <w:pPr>
              <w:jc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含</w:t>
            </w:r>
            <w:r>
              <w:rPr>
                <w:rFonts w:hint="eastAsia" w:eastAsia="宋体" w:cs="Times New Roman"/>
                <w:i w:val="0"/>
                <w:color w:val="000000" w:themeColor="text1"/>
                <w:sz w:val="21"/>
                <w:szCs w:val="21"/>
                <w:highlight w:val="none"/>
                <w:u w:val="none"/>
                <w:lang w:val="en-US" w:eastAsia="zh-CN"/>
                <w14:textFill>
                  <w14:solidFill>
                    <w14:schemeClr w14:val="tx1"/>
                  </w14:solidFill>
                </w14:textFill>
              </w:rPr>
              <w:t>10mm的垫棒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压碎值仪</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行标</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top"/>
          </w:tcPr>
          <w:p>
            <w:pPr>
              <w:jc w:val="center"/>
              <w:rPr>
                <w:rFonts w:hint="eastAsia" w:eastAsia="宋体" w:cs="Times New Roman" w:asciiTheme="minorHAnsi" w:hAnsiTheme="minorHAnsi"/>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含标定筒和捣棒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细集料棱角性试验仪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标准筛</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eastAsia="宋体" w:cs="Times New Roman"/>
                <w:i w:val="0"/>
                <w:color w:val="000000" w:themeColor="text1"/>
                <w:kern w:val="0"/>
                <w:sz w:val="21"/>
                <w:szCs w:val="21"/>
                <w:highlight w:val="none"/>
                <w:u w:val="none"/>
                <w:lang w:val="en-US" w:eastAsia="zh-CN" w:bidi="ar"/>
                <w14:textFill>
                  <w14:solidFill>
                    <w14:schemeClr w14:val="tx1"/>
                  </w14:solidFill>
                </w14:textFill>
              </w:rPr>
              <w:t>0.3mm、0.6mm 、</w:t>
            </w:r>
            <w:r>
              <w:rPr>
                <w:rFonts w:hint="eastAsia" w:ascii="宋体" w:hAnsi="宋体" w:eastAsia="宋体" w:cs="宋体"/>
                <w:color w:val="000000" w:themeColor="text1"/>
                <w:kern w:val="0"/>
                <w:sz w:val="20"/>
                <w:szCs w:val="20"/>
                <w:highlight w:val="none"/>
                <w:lang w:bidi="ar"/>
                <w14:textFill>
                  <w14:solidFill>
                    <w14:schemeClr w14:val="tx1"/>
                  </w14:solidFill>
                </w14:textFill>
              </w:rPr>
              <w:t>0.9mm、1.7mm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各1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负压筛析仪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FYS-150B</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水泥标准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负压筛</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45μm、80μm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各1个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水泥净浆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搅拌机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NJ-160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水泥胶砂搅拌机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JJ-5</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水泥胶砂流动度测定仪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NLD-3型</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color w:val="000000" w:themeColor="text1"/>
                <w:sz w:val="20"/>
                <w:szCs w:val="20"/>
                <w:highlight w:val="none"/>
                <w:u w:val="none"/>
                <w:lang w:eastAsia="zh-CN"/>
                <w14:textFill>
                  <w14:solidFill>
                    <w14:schemeClr w14:val="tx1"/>
                  </w14:solidFill>
                </w14:textFill>
              </w:rPr>
              <w:t>含试模、捣棒等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水泥标准稠度凝结测定仪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sm/m0-70</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含试模、测针一套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数控水泥砼标准养护箱</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HSY-40B</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雷氏夹测定仪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LD-50</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含雷氏夹至少</w:t>
            </w:r>
            <w:r>
              <w:rPr>
                <w:rStyle w:val="44"/>
                <w:rFonts w:hint="eastAsia" w:ascii="宋体" w:hAnsi="宋体" w:eastAsia="宋体" w:cs="宋体"/>
                <w:color w:val="auto"/>
                <w:sz w:val="20"/>
                <w:szCs w:val="20"/>
                <w:highlight w:val="none"/>
                <w:lang w:bidi="ar"/>
              </w:rPr>
              <w:t>5</w:t>
            </w:r>
            <w:r>
              <w:rPr>
                <w:rStyle w:val="43"/>
                <w:rFonts w:hint="eastAsia" w:ascii="宋体" w:hAnsi="宋体" w:eastAsia="宋体" w:cs="宋体"/>
                <w:color w:val="auto"/>
                <w:sz w:val="20"/>
                <w:szCs w:val="20"/>
                <w:highlight w:val="none"/>
                <w:lang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全自动比表面积测定仪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FBT-5</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沸煮箱</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FZ-31</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水泥胶砂试件成型振动台</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ZT-96</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水泥标稠</w:t>
            </w:r>
          </w:p>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量水器</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170ml、225ml</w:t>
            </w:r>
          </w:p>
        </w:tc>
        <w:tc>
          <w:tcPr>
            <w:tcW w:w="518" w:type="pct"/>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各1支</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秒表</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PC396</w:t>
            </w:r>
          </w:p>
        </w:tc>
        <w:tc>
          <w:tcPr>
            <w:tcW w:w="518"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r>
              <w:rPr>
                <w:rStyle w:val="43"/>
                <w:rFonts w:hint="eastAsia" w:ascii="宋体" w:hAnsi="宋体" w:eastAsia="宋体" w:cs="宋体"/>
                <w:color w:val="auto"/>
                <w:sz w:val="20"/>
                <w:szCs w:val="20"/>
                <w:highlight w:val="none"/>
                <w:lang w:bidi="ar"/>
              </w:rPr>
              <w:t>不少于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4"/>
                <w:rFonts w:hint="eastAsia" w:ascii="宋体" w:hAnsi="宋体" w:eastAsia="宋体" w:cs="宋体"/>
                <w:color w:val="auto"/>
                <w:sz w:val="20"/>
                <w:szCs w:val="20"/>
                <w:highlight w:val="none"/>
                <w:lang w:bidi="ar"/>
              </w:rPr>
              <w:t>2</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砝码</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膨胀值测定仪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XN-1</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钢丝间泌水率试验仪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砂浆搅拌机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SJD15</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强制式单卧轴砼搅拌机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SJD60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砼振动台</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ZH DG-80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高速压浆搅</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拌机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DGJ-150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砼贯入阻力仪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SGO-1200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top"/>
          </w:tcPr>
          <w:p>
            <w:pPr>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含测针一套、三个带盖试样筒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砼含气量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GQC-1</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top"/>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抗渗试验仪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HP-4.0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top"/>
          </w:tcPr>
          <w:p>
            <w:pPr>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含套模</w:t>
            </w:r>
            <w:r>
              <w:rPr>
                <w:rFonts w:hint="eastAsia" w:ascii="宋体" w:hAnsi="宋体" w:eastAsia="宋体" w:cs="宋体"/>
                <w:i w:val="0"/>
                <w:color w:val="auto"/>
                <w:sz w:val="20"/>
                <w:szCs w:val="20"/>
                <w:highlight w:val="none"/>
                <w:u w:val="none"/>
                <w:lang w:val="en-US" w:eastAsia="zh-CN"/>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砂浆稠度仪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SC-145</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坍落度桶</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含捣棒、标尺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泌水率桶</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混凝土抗折夹具</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砂浆抗压夹具</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70.7X70.7mm</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维勃稠度仪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HVC-1</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千分表</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0-1</w:t>
            </w:r>
            <w:r>
              <w:rPr>
                <w:rFonts w:hint="eastAsia" w:ascii="Times New Roman" w:hAnsi="Times New Roman" w:eastAsia="宋体" w:cs="Times New Roman"/>
                <w:i w:val="0"/>
                <w:color w:val="000000"/>
                <w:kern w:val="0"/>
                <w:sz w:val="21"/>
                <w:szCs w:val="21"/>
                <w:highlight w:val="none"/>
                <w:u w:val="none"/>
                <w:lang w:val="en-US" w:eastAsia="zh-CN" w:bidi="ar"/>
              </w:rPr>
              <w:t>）mm;</w:t>
            </w:r>
            <w:r>
              <w:rPr>
                <w:rFonts w:hint="default" w:ascii="Times New Roman" w:hAnsi="Times New Roman" w:eastAsia="宋体" w:cs="Times New Roman"/>
                <w:i w:val="0"/>
                <w:color w:val="000000"/>
                <w:kern w:val="0"/>
                <w:sz w:val="21"/>
                <w:szCs w:val="21"/>
                <w:highlight w:val="none"/>
                <w:u w:val="none"/>
                <w:lang w:val="en-US" w:eastAsia="zh-CN" w:bidi="ar"/>
              </w:rPr>
              <w:t xml:space="preserve"> 0.0</w:t>
            </w:r>
            <w:r>
              <w:rPr>
                <w:rFonts w:hint="eastAsia" w:ascii="Times New Roman" w:hAnsi="Times New Roman" w:eastAsia="宋体" w:cs="Times New Roman"/>
                <w:i w:val="0"/>
                <w:color w:val="000000"/>
                <w:kern w:val="0"/>
                <w:sz w:val="21"/>
                <w:szCs w:val="21"/>
                <w:highlight w:val="none"/>
                <w:u w:val="none"/>
                <w:lang w:val="en-US" w:eastAsia="zh-CN" w:bidi="ar"/>
              </w:rPr>
              <w:t>0</w:t>
            </w:r>
            <w:r>
              <w:rPr>
                <w:rFonts w:hint="default" w:ascii="Times New Roman" w:hAnsi="Times New Roman" w:eastAsia="宋体" w:cs="Times New Roman"/>
                <w:i w:val="0"/>
                <w:color w:val="000000"/>
                <w:kern w:val="0"/>
                <w:sz w:val="21"/>
                <w:szCs w:val="21"/>
                <w:highlight w:val="none"/>
                <w:u w:val="none"/>
                <w:lang w:val="en-US" w:eastAsia="zh-CN" w:bidi="ar"/>
              </w:rPr>
              <w:t>1mm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1</w:t>
            </w:r>
            <w:r>
              <w:rPr>
                <w:rStyle w:val="39"/>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2</w:t>
            </w:r>
            <w:r>
              <w:rPr>
                <w:rStyle w:val="43"/>
                <w:rFonts w:hint="eastAsia" w:ascii="宋体" w:hAnsi="宋体" w:eastAsia="宋体" w:cs="宋体"/>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2000kN压力机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DYE-2000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100t万能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WE-1000B</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30t万能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WES-300B</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63</w:t>
            </w:r>
          </w:p>
        </w:tc>
        <w:tc>
          <w:tcPr>
            <w:tcW w:w="892" w:type="pct"/>
            <w:vAlign w:val="center"/>
          </w:tcPr>
          <w:p>
            <w:pPr>
              <w:keepNext w:val="0"/>
              <w:keepLines w:val="0"/>
              <w:widowControl/>
              <w:suppressLineNumbers w:val="0"/>
              <w:jc w:val="center"/>
              <w:textAlignment w:val="center"/>
              <w:rPr>
                <w:rStyle w:val="39"/>
                <w:rFonts w:hint="eastAsia" w:ascii="宋体" w:hAnsi="宋体" w:eastAsia="宋体" w:cs="宋体"/>
                <w:color w:val="auto"/>
                <w:sz w:val="20"/>
                <w:szCs w:val="20"/>
                <w:highlight w:val="none"/>
                <w:lang w:val="en-US" w:eastAsia="zh-CN" w:bidi="ar"/>
              </w:rPr>
            </w:pPr>
            <w:r>
              <w:rPr>
                <w:rFonts w:hint="eastAsia" w:ascii="宋体" w:hAnsi="宋体" w:eastAsia="宋体" w:cs="宋体"/>
                <w:i w:val="0"/>
                <w:color w:val="auto"/>
                <w:kern w:val="0"/>
                <w:sz w:val="20"/>
                <w:szCs w:val="20"/>
                <w:highlight w:val="none"/>
                <w:u w:val="none"/>
                <w:lang w:val="en-US" w:eastAsia="zh-CN" w:bidi="ar"/>
              </w:rPr>
              <w:t>10t</w:t>
            </w:r>
            <w:r>
              <w:rPr>
                <w:rStyle w:val="39"/>
                <w:rFonts w:hint="eastAsia" w:ascii="宋体" w:hAnsi="宋体" w:eastAsia="宋体" w:cs="宋体"/>
                <w:color w:val="auto"/>
                <w:sz w:val="20"/>
                <w:szCs w:val="20"/>
                <w:highlight w:val="none"/>
                <w:lang w:val="en-US" w:eastAsia="zh-CN" w:bidi="ar"/>
              </w:rPr>
              <w:t>万能</w:t>
            </w:r>
          </w:p>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Style w:val="39"/>
                <w:rFonts w:hint="eastAsia" w:ascii="宋体" w:hAnsi="宋体" w:eastAsia="宋体" w:cs="宋体"/>
                <w:color w:val="auto"/>
                <w:sz w:val="20"/>
                <w:szCs w:val="20"/>
                <w:highlight w:val="none"/>
                <w:lang w:val="en-US" w:eastAsia="zh-CN" w:bidi="ar"/>
              </w:rPr>
              <w:t>试验机</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WES-100B</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水泥抗折抗压一体机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DYE-300S</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含抗压、抗折夹具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钢筋打点机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高温电阻炉</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SX4-10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酸度计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PSH-25</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bidi="ar"/>
              </w:rPr>
              <w:t>含复合电极不少于</w:t>
            </w:r>
            <w:r>
              <w:rPr>
                <w:rFonts w:hint="eastAsia" w:ascii="宋体" w:hAnsi="宋体" w:eastAsia="宋体" w:cs="宋体"/>
                <w:color w:val="auto"/>
                <w:kern w:val="0"/>
                <w:sz w:val="20"/>
                <w:szCs w:val="20"/>
                <w:highlight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智能恒温恒湿控制器</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HWS-SW50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拉拔仪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ML-20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回弹仪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ZC3-A</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标准钢砧</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GZⅡ</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碳化深度测定仪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（0-8）mm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钢筋保护层厚度测定仪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GTJ-RBL</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74</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混凝土结构钢筋保护层厚度检测校准装置</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sz w:val="20"/>
                <w:szCs w:val="20"/>
                <w:highlight w:val="none"/>
                <w:u w:val="none"/>
                <w:lang w:val="en-US" w:eastAsia="zh-CN"/>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裂缝宽度</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监测仪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KON-KF</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公路工程质量检测尺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2米</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公路工程质量检测尺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3米</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泥浆比重计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NB-1</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泥浆粘度计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NC-1006</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含砂量计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NA-1</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摆式磨擦仪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BM-Ⅱ</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便携式红外测温仪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AR550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路面构造深度仪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PS-1</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路面渗水量测定仪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HDSS-Ⅱ</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连续式平整度测定仪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LXBP-5</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灌砂桶</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φ150mm、φ200mm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各1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贝克曼梁</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弯沉仪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5.4m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轻型触探仪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重型触探仪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游标卡尺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0-300mm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游标卡尺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0-200mm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92</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游标卡尺</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0-500mm</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检定</w:t>
            </w:r>
          </w:p>
        </w:tc>
        <w:tc>
          <w:tcPr>
            <w:tcW w:w="70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60cm钢尺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94</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Style w:val="39"/>
                <w:rFonts w:hint="eastAsia" w:ascii="宋体" w:hAnsi="宋体" w:eastAsia="宋体" w:cs="宋体"/>
                <w:color w:val="auto"/>
                <w:sz w:val="20"/>
                <w:szCs w:val="20"/>
                <w:highlight w:val="none"/>
                <w:lang w:val="en-US" w:eastAsia="zh-CN" w:bidi="ar"/>
              </w:rPr>
              <w:t>钢直尺</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100</w:t>
            </w:r>
            <w:r>
              <w:rPr>
                <w:rStyle w:val="39"/>
                <w:rFonts w:hint="eastAsia" w:ascii="宋体" w:hAnsi="宋体" w:eastAsia="宋体" w:cs="宋体"/>
                <w:color w:val="auto"/>
                <w:sz w:val="20"/>
                <w:szCs w:val="20"/>
                <w:highlight w:val="none"/>
                <w:lang w:val="en-US" w:eastAsia="zh-CN"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95</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Style w:val="39"/>
                <w:rFonts w:hint="eastAsia" w:ascii="宋体" w:hAnsi="宋体" w:eastAsia="宋体" w:cs="宋体"/>
                <w:color w:val="auto"/>
                <w:sz w:val="20"/>
                <w:szCs w:val="20"/>
                <w:highlight w:val="none"/>
                <w:lang w:val="en-US" w:eastAsia="zh-CN" w:bidi="ar"/>
              </w:rPr>
              <w:t>钢直尺</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30</w:t>
            </w:r>
            <w:r>
              <w:rPr>
                <w:rStyle w:val="39"/>
                <w:rFonts w:hint="eastAsia" w:ascii="宋体" w:hAnsi="宋体" w:eastAsia="宋体" w:cs="宋体"/>
                <w:color w:val="auto"/>
                <w:sz w:val="20"/>
                <w:szCs w:val="20"/>
                <w:highlight w:val="none"/>
                <w:lang w:val="en-US" w:eastAsia="zh-CN"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96</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Style w:val="39"/>
                <w:rFonts w:hint="eastAsia" w:ascii="宋体" w:hAnsi="宋体" w:eastAsia="宋体" w:cs="宋体"/>
                <w:color w:val="auto"/>
                <w:sz w:val="20"/>
                <w:szCs w:val="20"/>
                <w:highlight w:val="none"/>
                <w:lang w:val="en-US" w:eastAsia="zh-CN" w:bidi="ar"/>
              </w:rPr>
              <w:t>坡度尺</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5米卷尺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钢卷尺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50m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游标万能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角度尺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0-320度</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水银温度计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至少包含：</w:t>
            </w:r>
            <w:r>
              <w:rPr>
                <w:rStyle w:val="44"/>
                <w:rFonts w:hint="eastAsia" w:ascii="宋体" w:hAnsi="宋体" w:eastAsia="宋体" w:cs="宋体"/>
                <w:color w:val="auto"/>
                <w:sz w:val="20"/>
                <w:szCs w:val="20"/>
                <w:highlight w:val="none"/>
                <w:lang w:bidi="ar"/>
              </w:rPr>
              <w:t>50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0.1</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3</w:t>
            </w:r>
            <w:r>
              <w:rPr>
                <w:rStyle w:val="43"/>
                <w:rFonts w:hint="eastAsia" w:ascii="宋体" w:hAnsi="宋体" w:eastAsia="宋体" w:cs="宋体"/>
                <w:color w:val="auto"/>
                <w:sz w:val="20"/>
                <w:szCs w:val="20"/>
                <w:highlight w:val="none"/>
                <w:lang w:bidi="ar"/>
              </w:rPr>
              <w:t>支；</w:t>
            </w:r>
            <w:r>
              <w:rPr>
                <w:rStyle w:val="44"/>
                <w:rFonts w:hint="eastAsia" w:ascii="宋体" w:hAnsi="宋体" w:eastAsia="宋体" w:cs="宋体"/>
                <w:color w:val="auto"/>
                <w:sz w:val="20"/>
                <w:szCs w:val="20"/>
                <w:highlight w:val="none"/>
                <w:lang w:bidi="ar"/>
              </w:rPr>
              <w:t>100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1</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Fonts w:hint="eastAsia" w:ascii="宋体" w:hAnsi="宋体" w:eastAsia="宋体" w:cs="宋体"/>
                <w:i w:val="0"/>
                <w:color w:val="FF0000"/>
                <w:kern w:val="0"/>
                <w:sz w:val="21"/>
                <w:szCs w:val="21"/>
                <w:highlight w:val="none"/>
                <w:u w:val="none"/>
                <w:lang w:val="en-US" w:eastAsia="zh-CN" w:bidi="ar"/>
              </w:rPr>
              <w:t>5</w:t>
            </w:r>
            <w:r>
              <w:rPr>
                <w:rStyle w:val="43"/>
                <w:rFonts w:hint="eastAsia" w:ascii="宋体" w:hAnsi="宋体" w:eastAsia="宋体" w:cs="宋体"/>
                <w:color w:val="auto"/>
                <w:sz w:val="20"/>
                <w:szCs w:val="20"/>
                <w:highlight w:val="none"/>
                <w:lang w:bidi="ar"/>
              </w:rPr>
              <w:t>支；</w:t>
            </w:r>
            <w:r>
              <w:rPr>
                <w:rStyle w:val="44"/>
                <w:rFonts w:hint="eastAsia" w:ascii="宋体" w:hAnsi="宋体" w:eastAsia="宋体" w:cs="宋体"/>
                <w:color w:val="auto"/>
                <w:sz w:val="20"/>
                <w:szCs w:val="20"/>
                <w:highlight w:val="none"/>
                <w:lang w:bidi="ar"/>
              </w:rPr>
              <w:t>200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2</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5</w:t>
            </w:r>
            <w:r>
              <w:rPr>
                <w:rStyle w:val="43"/>
                <w:rFonts w:hint="eastAsia" w:ascii="宋体" w:hAnsi="宋体" w:eastAsia="宋体" w:cs="宋体"/>
                <w:color w:val="auto"/>
                <w:sz w:val="20"/>
                <w:szCs w:val="20"/>
                <w:highlight w:val="none"/>
                <w:lang w:bidi="ar"/>
              </w:rPr>
              <w:t>支；</w:t>
            </w:r>
            <w:r>
              <w:rPr>
                <w:rStyle w:val="44"/>
                <w:rFonts w:hint="eastAsia" w:ascii="宋体" w:hAnsi="宋体" w:eastAsia="宋体" w:cs="宋体"/>
                <w:color w:val="auto"/>
                <w:sz w:val="20"/>
                <w:szCs w:val="20"/>
                <w:highlight w:val="none"/>
                <w:lang w:bidi="ar"/>
              </w:rPr>
              <w:t>300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2</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5</w:t>
            </w:r>
            <w:r>
              <w:rPr>
                <w:rStyle w:val="43"/>
                <w:rFonts w:hint="eastAsia" w:ascii="宋体" w:hAnsi="宋体" w:eastAsia="宋体" w:cs="宋体"/>
                <w:color w:val="auto"/>
                <w:sz w:val="20"/>
                <w:szCs w:val="20"/>
                <w:highlight w:val="none"/>
                <w:lang w:bidi="ar"/>
              </w:rPr>
              <w:t>支；</w:t>
            </w:r>
            <w:r>
              <w:rPr>
                <w:rStyle w:val="44"/>
                <w:rFonts w:hint="eastAsia" w:ascii="宋体" w:hAnsi="宋体" w:eastAsia="宋体" w:cs="宋体"/>
                <w:color w:val="auto"/>
                <w:sz w:val="20"/>
                <w:szCs w:val="20"/>
                <w:highlight w:val="none"/>
                <w:lang w:bidi="ar"/>
              </w:rPr>
              <w:t>500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2</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1</w:t>
            </w:r>
            <w:r>
              <w:rPr>
                <w:rStyle w:val="43"/>
                <w:rFonts w:hint="eastAsia" w:ascii="宋体" w:hAnsi="宋体" w:eastAsia="宋体" w:cs="宋体"/>
                <w:color w:val="auto"/>
                <w:sz w:val="20"/>
                <w:szCs w:val="20"/>
                <w:highlight w:val="none"/>
                <w:lang w:bidi="ar"/>
              </w:rPr>
              <w:t>支，工作用玻璃液体温度计</w:t>
            </w:r>
            <w:r>
              <w:rPr>
                <w:rStyle w:val="44"/>
                <w:rFonts w:hint="eastAsia" w:ascii="宋体" w:hAnsi="宋体" w:eastAsia="宋体" w:cs="宋体"/>
                <w:color w:val="auto"/>
                <w:sz w:val="20"/>
                <w:szCs w:val="20"/>
                <w:highlight w:val="none"/>
                <w:lang w:bidi="ar"/>
              </w:rPr>
              <w:t>1</w:t>
            </w:r>
            <w:r>
              <w:rPr>
                <w:rStyle w:val="43"/>
                <w:rFonts w:hint="eastAsia" w:ascii="宋体" w:hAnsi="宋体" w:eastAsia="宋体" w:cs="宋体"/>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塞尺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片状塞尺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刀口角尺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千分尺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干燥箱</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HG30/14</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沥青恩格拉粘度计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WNE-1C</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含接样瓶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石油产品</w:t>
            </w:r>
            <w:r>
              <w:rPr>
                <w:rFonts w:hint="eastAsia" w:ascii="宋体" w:hAnsi="宋体" w:eastAsia="宋体" w:cs="宋体"/>
                <w:color w:val="auto"/>
                <w:kern w:val="0"/>
                <w:sz w:val="20"/>
                <w:szCs w:val="20"/>
                <w:highlight w:val="none"/>
                <w:lang w:val="en-US" w:eastAsia="zh-CN" w:bidi="ar"/>
              </w:rPr>
              <w:t>运动</w:t>
            </w:r>
            <w:r>
              <w:rPr>
                <w:rFonts w:hint="eastAsia" w:ascii="宋体" w:hAnsi="宋体" w:eastAsia="宋体" w:cs="宋体"/>
                <w:color w:val="auto"/>
                <w:kern w:val="0"/>
                <w:sz w:val="20"/>
                <w:szCs w:val="20"/>
                <w:highlight w:val="none"/>
                <w:lang w:bidi="ar"/>
              </w:rPr>
              <w:t xml:space="preserve">粘度测定器  </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SYD-265E</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108</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沥青动力粘度试验仪</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SYD-0620B-1</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电脑数控软化点仪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SYD-2808F</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top"/>
          </w:tcPr>
          <w:p>
            <w:pPr>
              <w:jc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含环球配件不少于</w:t>
            </w:r>
            <w:r>
              <w:rPr>
                <w:rFonts w:hint="eastAsia" w:eastAsia="宋体" w:cs="Times New Roman"/>
                <w:i w:val="0"/>
                <w:color w:val="000000" w:themeColor="text1"/>
                <w:sz w:val="21"/>
                <w:szCs w:val="21"/>
                <w:highlight w:val="none"/>
                <w:u w:val="none"/>
                <w:lang w:val="en-US" w:eastAsia="zh-CN"/>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沥青针入度测定仪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SZR-6</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top"/>
          </w:tcPr>
          <w:p>
            <w:pPr>
              <w:jc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val="en-US" w:eastAsia="zh-CN"/>
                <w14:textFill>
                  <w14:solidFill>
                    <w14:schemeClr w14:val="tx1"/>
                  </w14:solidFill>
                </w14:textFill>
              </w:rPr>
              <w:t>含试样皿两个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低温沥青</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延度仪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LYY-7A</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沥青旋转薄膜烘箱</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XH-85</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含盛样瓶</w:t>
            </w:r>
            <w:r>
              <w:rPr>
                <w:rFonts w:hint="eastAsia" w:ascii="宋体" w:hAnsi="宋体" w:eastAsia="宋体" w:cs="宋体"/>
                <w:color w:val="000000" w:themeColor="text1"/>
                <w:sz w:val="20"/>
                <w:szCs w:val="20"/>
                <w:highlight w:val="none"/>
                <w:lang w:val="en-US" w:eastAsia="zh-CN"/>
                <w14:textFill>
                  <w14:solidFill>
                    <w14:schemeClr w14:val="tx1"/>
                  </w14:solidFill>
                </w14:textFill>
              </w:rPr>
              <w:t>8支、盘4个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布氏旋转</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粘度计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NDJ-1C</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含转子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克利夫兰开口闪点试验器</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SLD-3536</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含盛样皿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电子恒温水箱</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CF-C</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116</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低温恒温水浴</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HWY-1</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低温试验箱</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DW-25</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离子电荷仪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DH48S</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沥青混合料拌和机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SLHB-Ⅱ</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自动马歇尔试件击实仪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MJ-IZ</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数显恒温水浴</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CF-B</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最大理论</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密度仪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HCM-2012</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电动重型击实仪</w:t>
            </w:r>
          </w:p>
        </w:tc>
        <w:tc>
          <w:tcPr>
            <w:tcW w:w="2020"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标准全自动马歇尔稳定度仪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DF</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车辙试验成型仪（轮碾成型机）</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SSXCX-1</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干燥箱</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500*600*700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车辙试验仪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SSXCZ-6</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燃烧法沥青含量分析仪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HYRS-6</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129</w:t>
            </w:r>
          </w:p>
        </w:tc>
        <w:tc>
          <w:tcPr>
            <w:tcW w:w="892"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沥青抽提仪</w:t>
            </w:r>
          </w:p>
        </w:tc>
        <w:tc>
          <w:tcPr>
            <w:tcW w:w="2020"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DLC-3</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玻璃器皿</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lang w:eastAsia="zh-CN"/>
              </w:rPr>
            </w:pPr>
            <w:r>
              <w:rPr>
                <w:rStyle w:val="43"/>
                <w:rFonts w:hint="eastAsia" w:ascii="宋体" w:hAnsi="宋体" w:eastAsia="宋体" w:cs="宋体"/>
                <w:color w:val="auto"/>
                <w:sz w:val="20"/>
                <w:szCs w:val="20"/>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超声波钻孔孔壁检测仪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DM-604</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基桩动测仪/低应变仪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RS-(W）P</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金属超声</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探伤仪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便携式磁粉探伤仪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扭力扳手</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逆反射标线测量仪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FB-94</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标线测厚仪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ZMM5000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涂层测厚仪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TT220</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附着力检测仪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(液压型)</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激光测距仪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GLM 250VF</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砼抗折试模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150mm*150mm* 550mm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砼弹性模量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150mm*150mm*300mm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砼抗压试模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150mm*150mm*150mm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24</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144</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砂浆试模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70.7mm*70.7mm*70.7mm/3个/联</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145</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抗渗试模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175*185*150mm</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146</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水泥胶砂试模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40mm*40mm*160mm/3个/联</w:t>
            </w:r>
          </w:p>
        </w:tc>
        <w:tc>
          <w:tcPr>
            <w:tcW w:w="51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8</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147</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无侧限试模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φ150*230mm</w:t>
            </w:r>
          </w:p>
        </w:tc>
        <w:tc>
          <w:tcPr>
            <w:tcW w:w="5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13</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148</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沥青混合料标准马歇尔试模</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φ101.6*87mm</w:t>
            </w:r>
          </w:p>
        </w:tc>
        <w:tc>
          <w:tcPr>
            <w:tcW w:w="5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8</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149</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环刀</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φ70*52mm /</w:t>
            </w:r>
            <w:r>
              <w:rPr>
                <w:rFonts w:hint="eastAsia" w:ascii="宋体" w:hAnsi="宋体" w:eastAsia="宋体" w:cs="宋体"/>
                <w:color w:val="auto"/>
                <w:kern w:val="0"/>
                <w:sz w:val="20"/>
                <w:szCs w:val="20"/>
                <w:highlight w:val="none"/>
                <w:lang w:eastAsia="zh-CN" w:bidi="ar"/>
              </w:rPr>
              <w:t>或其他型号</w:t>
            </w:r>
          </w:p>
        </w:tc>
        <w:tc>
          <w:tcPr>
            <w:tcW w:w="5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150</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容积升</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1-30L</w:t>
            </w:r>
          </w:p>
        </w:tc>
        <w:tc>
          <w:tcPr>
            <w:tcW w:w="51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151</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表面振动</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压实仪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BZYS-4212</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rPr>
              <w:t>1台</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152</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沥青砼劈裂</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夹具</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rPr>
              <w:t>1套</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153</w:t>
            </w:r>
          </w:p>
        </w:tc>
        <w:tc>
          <w:tcPr>
            <w:tcW w:w="89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旋转压实仪</w:t>
            </w:r>
          </w:p>
        </w:tc>
        <w:tc>
          <w:tcPr>
            <w:tcW w:w="2020"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76-B0252ICI</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rPr>
              <w:t>1台</w:t>
            </w:r>
          </w:p>
        </w:tc>
        <w:tc>
          <w:tcPr>
            <w:tcW w:w="51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70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砼轴心抗压强度试模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（150*150*300）mm</w:t>
            </w:r>
          </w:p>
        </w:tc>
        <w:tc>
          <w:tcPr>
            <w:tcW w:w="518" w:type="pct"/>
            <w:noWrap/>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noWrap/>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不少于6</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89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压浆剂抗压塑料三联</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试模</w:t>
            </w:r>
          </w:p>
        </w:tc>
        <w:tc>
          <w:tcPr>
            <w:tcW w:w="2020"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40mm*40mm*160mm/</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r>
              <w:rPr>
                <w:rStyle w:val="39"/>
                <w:color w:val="auto"/>
                <w:highlight w:val="none"/>
                <w:lang w:val="en-US" w:eastAsia="zh-CN" w:bidi="ar"/>
              </w:rPr>
              <w:t>个</w:t>
            </w:r>
            <w:r>
              <w:rPr>
                <w:rFonts w:hint="default" w:ascii="Times New Roman" w:hAnsi="Times New Roman" w:eastAsia="宋体" w:cs="Times New Roman"/>
                <w:i w:val="0"/>
                <w:color w:val="auto"/>
                <w:kern w:val="0"/>
                <w:sz w:val="21"/>
                <w:szCs w:val="21"/>
                <w:highlight w:val="none"/>
                <w:u w:val="none"/>
                <w:lang w:val="en-US" w:eastAsia="zh-CN" w:bidi="ar"/>
              </w:rPr>
              <w:t>/</w:t>
            </w:r>
            <w:r>
              <w:rPr>
                <w:rStyle w:val="39"/>
                <w:color w:val="auto"/>
                <w:highlight w:val="none"/>
                <w:lang w:val="en-US" w:eastAsia="zh-CN" w:bidi="ar"/>
              </w:rPr>
              <w:t>联</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不少于8</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89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水泥软练</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试模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（40*40*160）mm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不少于8</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无侧限试模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（150*150）mm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不少于13</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CBR试模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（150*150）mm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w:t>
            </w:r>
            <w:r>
              <w:rPr>
                <w:rFonts w:hint="eastAsia" w:eastAsia="宋体" w:cs="Times New Roman"/>
                <w:i w:val="0"/>
                <w:color w:val="auto"/>
                <w:kern w:val="0"/>
                <w:sz w:val="21"/>
                <w:szCs w:val="21"/>
                <w:highlight w:val="none"/>
                <w:u w:val="none"/>
                <w:lang w:val="en-US" w:eastAsia="zh-CN" w:bidi="ar"/>
              </w:rPr>
              <w:t>9</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车辙试模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300mm*300mm*50mm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不少于</w:t>
            </w:r>
            <w:r>
              <w:rPr>
                <w:rFonts w:hint="eastAsia" w:eastAsia="宋体"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车辙试模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（300*300*80）mm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不少于</w:t>
            </w:r>
            <w:r>
              <w:rPr>
                <w:rFonts w:hint="eastAsia" w:eastAsia="宋体"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车辙试模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（300*300*</w:t>
            </w:r>
            <w:r>
              <w:rPr>
                <w:rFonts w:hint="eastAsia" w:eastAsia="宋体" w:cs="Times New Roman"/>
                <w:i w:val="0"/>
                <w:color w:val="auto"/>
                <w:kern w:val="0"/>
                <w:sz w:val="21"/>
                <w:szCs w:val="21"/>
                <w:highlight w:val="none"/>
                <w:u w:val="none"/>
                <w:lang w:val="en-US" w:eastAsia="zh-CN" w:bidi="ar"/>
              </w:rPr>
              <w:t>10</w:t>
            </w:r>
            <w:r>
              <w:rPr>
                <w:rFonts w:hint="default" w:ascii="Times New Roman" w:hAnsi="Times New Roman" w:eastAsia="宋体" w:cs="Times New Roman"/>
                <w:i w:val="0"/>
                <w:color w:val="auto"/>
                <w:kern w:val="0"/>
                <w:sz w:val="21"/>
                <w:szCs w:val="21"/>
                <w:highlight w:val="none"/>
                <w:u w:val="none"/>
                <w:lang w:val="en-US" w:eastAsia="zh-CN" w:bidi="ar"/>
              </w:rPr>
              <w:t>0）mm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不少于</w:t>
            </w:r>
            <w:r>
              <w:rPr>
                <w:rFonts w:hint="eastAsia" w:eastAsia="宋体"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89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饱和面干</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试模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喷射试模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（450*350*120）mm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不少于6</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水泥浆常压泌水率筒</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（Φ50×500）mm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eastAsia="宋体" w:cs="Times New Roman"/>
                <w:i w:val="0"/>
                <w:color w:val="auto"/>
                <w:sz w:val="21"/>
                <w:szCs w:val="21"/>
                <w:highlight w:val="none"/>
                <w:u w:val="none"/>
                <w:lang w:val="en-US" w:eastAsia="zh-CN"/>
              </w:rPr>
              <w:t>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压力泌水率试验仪</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（压力表）</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YMS-1</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砂浆分层度测定仪</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eastAsia="宋体" w:cs="Times New Roman"/>
                <w:i w:val="0"/>
                <w:color w:val="auto"/>
                <w:sz w:val="21"/>
                <w:szCs w:val="21"/>
                <w:highlight w:val="none"/>
                <w:u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混凝土弹性模量测定仪</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TM-Ⅱ</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含表架和2只千分表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钢筋保护层测定仪</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标准块</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SG-101</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水平尺</w:t>
            </w:r>
          </w:p>
        </w:tc>
        <w:tc>
          <w:tcPr>
            <w:tcW w:w="2020" w:type="pct"/>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18"/>
                <w:szCs w:val="18"/>
                <w:highlight w:val="none"/>
                <w:u w:val="none"/>
                <w:lang w:val="en-US" w:eastAsia="zh-CN" w:bidi="ar-SA"/>
              </w:rPr>
            </w:pPr>
            <w:r>
              <w:rPr>
                <w:rFonts w:hint="eastAsia" w:ascii="微软雅黑" w:hAnsi="微软雅黑" w:eastAsia="微软雅黑" w:cs="微软雅黑"/>
                <w:i w:val="0"/>
                <w:iCs w:val="0"/>
                <w:color w:val="auto"/>
                <w:kern w:val="0"/>
                <w:sz w:val="18"/>
                <w:szCs w:val="18"/>
                <w:highlight w:val="none"/>
                <w:u w:val="none"/>
                <w:lang w:val="en-US" w:eastAsia="zh-CN" w:bidi="ar"/>
              </w:rPr>
              <w:t>GWP-39A</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热电偶</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温度计</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（-50～300）℃</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细集料堆积密度漏斗</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粗集料堆积密度漏斗</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集料坚固性试验仪</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JGY一3</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标准沥青测试针</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校准</w:t>
            </w:r>
          </w:p>
        </w:tc>
        <w:tc>
          <w:tcPr>
            <w:tcW w:w="709" w:type="pct"/>
            <w:vAlign w:val="top"/>
          </w:tcPr>
          <w:p>
            <w:pPr>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eastAsia="zh-CN"/>
              </w:rPr>
              <w:t>不少于</w:t>
            </w:r>
            <w:r>
              <w:rPr>
                <w:rFonts w:hint="eastAsia" w:ascii="宋体" w:hAnsi="宋体" w:eastAsia="宋体" w:cs="宋体"/>
                <w:i w:val="0"/>
                <w:color w:val="auto"/>
                <w:sz w:val="21"/>
                <w:szCs w:val="21"/>
                <w:highlight w:val="none"/>
                <w:u w:val="none"/>
                <w:lang w:val="en-US" w:eastAsia="zh-CN"/>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延度铜模</w:t>
            </w:r>
          </w:p>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（八字模）</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不少于6个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延度铜模</w:t>
            </w:r>
          </w:p>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（一字模）</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不少于6个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真空减压毛细管</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常用型号</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校准</w:t>
            </w:r>
          </w:p>
        </w:tc>
        <w:tc>
          <w:tcPr>
            <w:tcW w:w="709" w:type="pct"/>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计量单位上海院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沥青储存稳定性仪</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r>
              <w:rPr>
                <w:rStyle w:val="39"/>
                <w:rFonts w:hint="eastAsia" w:ascii="宋体" w:hAnsi="宋体" w:eastAsia="宋体" w:cs="宋体"/>
                <w:color w:val="auto"/>
                <w:sz w:val="21"/>
                <w:szCs w:val="21"/>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校准</w:t>
            </w:r>
          </w:p>
        </w:tc>
        <w:tc>
          <w:tcPr>
            <w:tcW w:w="709" w:type="pct"/>
            <w:vAlign w:val="top"/>
          </w:tcPr>
          <w:p>
            <w:pPr>
              <w:jc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eastAsia="zh-CN"/>
              </w:rPr>
              <w:t>含</w:t>
            </w:r>
            <w:r>
              <w:rPr>
                <w:rFonts w:hint="eastAsia" w:ascii="宋体" w:hAnsi="宋体" w:eastAsia="宋体" w:cs="宋体"/>
                <w:i w:val="0"/>
                <w:color w:val="auto"/>
                <w:sz w:val="21"/>
                <w:szCs w:val="21"/>
                <w:highlight w:val="none"/>
                <w:u w:val="none"/>
                <w:lang w:val="en-US" w:eastAsia="zh-CN"/>
              </w:rPr>
              <w:t>2个存储稳定性管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沥青混合料劈裂试验测试系统</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LHPL-5</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r>
              <w:rPr>
                <w:rStyle w:val="39"/>
                <w:rFonts w:hint="eastAsia" w:ascii="宋体" w:hAnsi="宋体" w:eastAsia="宋体" w:cs="宋体"/>
                <w:color w:val="auto"/>
                <w:sz w:val="21"/>
                <w:szCs w:val="21"/>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校准</w:t>
            </w:r>
          </w:p>
        </w:tc>
        <w:tc>
          <w:tcPr>
            <w:tcW w:w="709" w:type="pct"/>
            <w:vAlign w:val="top"/>
          </w:tcPr>
          <w:p>
            <w:pPr>
              <w:jc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eastAsia="zh-CN"/>
              </w:rPr>
              <w:t>含劈裂夹具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沥青混合料渗水系数</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测定仪</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HHDS-Ⅱ</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89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马氏锥</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多功能快速直读测钙仪</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SG-6</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自密实混凝土坍落扩展度板</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1000*1000mm</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多功能坡度</w:t>
            </w:r>
          </w:p>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测量仪</w:t>
            </w:r>
          </w:p>
        </w:tc>
        <w:tc>
          <w:tcPr>
            <w:tcW w:w="2020" w:type="pct"/>
            <w:vAlign w:val="center"/>
          </w:tcPr>
          <w:p>
            <w:pPr>
              <w:keepNext w:val="0"/>
              <w:keepLines w:val="0"/>
              <w:widowControl/>
              <w:suppressLineNumbers w:val="0"/>
              <w:jc w:val="center"/>
              <w:textAlignment w:val="center"/>
              <w:rPr>
                <w:rFonts w:hint="eastAsia" w:ascii="Arial" w:hAnsi="Arial" w:eastAsia="宋体" w:cs="Arial"/>
                <w:i w:val="0"/>
                <w:iCs w:val="0"/>
                <w:color w:val="auto"/>
                <w:kern w:val="2"/>
                <w:sz w:val="20"/>
                <w:szCs w:val="20"/>
                <w:highlight w:val="none"/>
                <w:u w:val="none"/>
                <w:lang w:val="en-US" w:eastAsia="zh-CN" w:bidi="ar-SA"/>
              </w:rPr>
            </w:pPr>
            <w:r>
              <w:rPr>
                <w:rFonts w:hint="default" w:ascii="Arial" w:hAnsi="Arial" w:eastAsia="宋体" w:cs="Arial"/>
                <w:i w:val="0"/>
                <w:iCs w:val="0"/>
                <w:color w:val="auto"/>
                <w:kern w:val="0"/>
                <w:sz w:val="20"/>
                <w:szCs w:val="20"/>
                <w:highlight w:val="none"/>
                <w:u w:val="none"/>
                <w:lang w:val="en-US" w:eastAsia="zh-CN" w:bidi="ar"/>
              </w:rPr>
              <w:t>JZC-B2</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砂浆充盈度仪</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XN40*50*2</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箱式电阻炉</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SX4-10</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高速制浆机</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SYJ-10</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砂浆凝结时间测定仪</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89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正反向弯曲装置</w:t>
            </w:r>
          </w:p>
        </w:tc>
        <w:tc>
          <w:tcPr>
            <w:tcW w:w="2020"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bCs w:val="0"/>
                <w:i w:val="0"/>
                <w:color w:val="auto"/>
                <w:sz w:val="21"/>
                <w:szCs w:val="21"/>
                <w:highlight w:val="none"/>
                <w:u w:val="none"/>
                <w:lang w:val="en-US" w:eastAsia="zh-CN"/>
              </w:rPr>
              <w:t>数显</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集料</w:t>
            </w:r>
          </w:p>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软弱颗粒</w:t>
            </w:r>
          </w:p>
        </w:tc>
        <w:tc>
          <w:tcPr>
            <w:tcW w:w="2020"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CH-0320B</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1</w:t>
            </w:r>
            <w:r>
              <w:rPr>
                <w:rStyle w:val="39"/>
                <w:highlight w:val="none"/>
                <w:lang w:val="en-US" w:eastAsia="zh-CN" w:bidi="ar"/>
              </w:rPr>
              <w:t>台</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892"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波美比重计</w:t>
            </w:r>
          </w:p>
        </w:tc>
        <w:tc>
          <w:tcPr>
            <w:tcW w:w="2020"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1支</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冷弯冲头</w:t>
            </w:r>
          </w:p>
        </w:tc>
        <w:tc>
          <w:tcPr>
            <w:tcW w:w="2020"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各种规格</w:t>
            </w:r>
          </w:p>
        </w:tc>
        <w:tc>
          <w:tcPr>
            <w:tcW w:w="518"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裁刀</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哑铃型、直角型等</w:t>
            </w:r>
          </w:p>
        </w:tc>
        <w:tc>
          <w:tcPr>
            <w:tcW w:w="518"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百格刀</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QFH-A</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动弹模量测定仪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DT-20</w:t>
            </w:r>
          </w:p>
        </w:tc>
        <w:tc>
          <w:tcPr>
            <w:tcW w:w="518"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1</w:t>
            </w:r>
            <w:r>
              <w:rPr>
                <w:rStyle w:val="39"/>
                <w:highlight w:val="none"/>
                <w:lang w:val="en-US" w:eastAsia="zh-CN" w:bidi="ar"/>
              </w:rPr>
              <w:t>台</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邵氏硬度计</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D型或A型</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加热伸缩测定仪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QSX-15</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混凝土收缩膨胀率仪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HSP-540</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空盒气压表</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DYM3</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1个</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砂浆保水性试模</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（100*25）mm</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水泥压蒸釜</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土工布有效孔径测定仪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YT030G</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粗粒土垂直渗透测定仪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DYL-1</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全自动</w:t>
            </w:r>
          </w:p>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三轴仪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TSZ-2</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比长仪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冷弯试验机</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DYZ-200ZN-DFZ</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混凝土压力泌水率</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SY-2</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金属波纹管抗渗漏试验装置</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沥青黏韧性试验装置</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SYD-0624</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火焰光度计</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FB6400</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塑料波纹管拉拔力试验仪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WXBLB-10</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真空负压试验机</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SXF-150</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应变控制式直剪仪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ZJ</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kern w:val="2"/>
                <w:sz w:val="21"/>
                <w:szCs w:val="21"/>
                <w:highlight w:val="none"/>
                <w:u w:val="none"/>
                <w:lang w:val="en-US" w:eastAsia="zh-CN" w:bidi="ar-SA"/>
              </w:rPr>
              <w:t>含测力环、环刀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892"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混凝土快速冻融试验机</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TDR-10</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单杠杆</w:t>
            </w:r>
          </w:p>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固结仪</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NTYJZ-1</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kern w:val="2"/>
                <w:sz w:val="21"/>
                <w:szCs w:val="21"/>
                <w:highlight w:val="none"/>
                <w:u w:val="none"/>
                <w:lang w:val="en-US" w:eastAsia="zh-CN" w:bidi="ar-SA"/>
              </w:rPr>
              <w:t>含环刀、透水石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扭转试验机</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SXN-10</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橡胶密封带夹持性能</w:t>
            </w:r>
          </w:p>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装置</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JG010S</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金属线材反复弯曲</w:t>
            </w:r>
          </w:p>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试验机</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JWJ-10B</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892"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读数显微镜</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JC10</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892"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曾实因数筒</w:t>
            </w:r>
          </w:p>
        </w:tc>
        <w:tc>
          <w:tcPr>
            <w:tcW w:w="2020"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518"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51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70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left"/>
        <w:textAlignment w:val="auto"/>
        <w:rPr>
          <w:rFonts w:hint="eastAsia" w:ascii="Times New Roman" w:hAnsi="Times New Roman" w:eastAsia="宋体" w:cs="Times New Roman"/>
          <w:b/>
          <w:bCs/>
          <w:color w:val="auto"/>
          <w:szCs w:val="21"/>
        </w:rPr>
      </w:pPr>
      <w:r>
        <w:rPr>
          <w:rFonts w:ascii="Times New Roman" w:hAnsi="Times New Roman" w:eastAsia="宋体" w:cs="Times New Roman"/>
          <w:b/>
          <w:bCs/>
          <w:color w:val="auto"/>
          <w:szCs w:val="21"/>
        </w:rPr>
        <w:t>注</w:t>
      </w:r>
      <w:r>
        <w:rPr>
          <w:rFonts w:hint="eastAsia" w:ascii="Times New Roman" w:hAnsi="Times New Roman" w:eastAsia="宋体" w:cs="Times New Roman"/>
          <w:b/>
          <w:bCs/>
          <w:color w:val="auto"/>
          <w:szCs w:val="21"/>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本表所列仪器设备名称、型号规格等与实际工作内容不相符</w:t>
      </w:r>
      <w:r>
        <w:rPr>
          <w:rFonts w:hint="eastAsia" w:asciiTheme="minorEastAsia" w:hAnsiTheme="minorEastAsia"/>
          <w:b/>
          <w:bCs/>
          <w:color w:val="000000"/>
          <w:sz w:val="21"/>
          <w:szCs w:val="21"/>
          <w:lang w:val="en-US" w:eastAsia="zh-CN"/>
        </w:rPr>
        <w:t>时</w:t>
      </w:r>
      <w:r>
        <w:rPr>
          <w:rFonts w:hint="eastAsia" w:asciiTheme="minorEastAsia" w:hAnsiTheme="minorEastAsia" w:eastAsiaTheme="minorEastAsia"/>
          <w:b/>
          <w:bCs/>
          <w:color w:val="000000"/>
          <w:sz w:val="21"/>
          <w:szCs w:val="21"/>
        </w:rPr>
        <w:t>以实际工作内容为准</w:t>
      </w:r>
      <w:r>
        <w:rPr>
          <w:rFonts w:hint="eastAsia" w:asciiTheme="minorEastAsia" w:hAnsiTheme="minorEastAsia"/>
          <w:b/>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 xml:space="preserve">    </w:t>
      </w:r>
      <w:r>
        <w:rPr>
          <w:rFonts w:hint="eastAsia" w:asciiTheme="minorEastAsia" w:hAnsiTheme="minorEastAsia"/>
          <w:b/>
          <w:bCs/>
          <w:color w:val="000000"/>
          <w:sz w:val="21"/>
          <w:szCs w:val="21"/>
          <w:lang w:val="en-US" w:eastAsia="zh-CN"/>
        </w:rPr>
        <w:t>2</w:t>
      </w:r>
      <w:r>
        <w:rPr>
          <w:rFonts w:hint="eastAsia" w:asciiTheme="minorEastAsia" w:hAnsiTheme="minorEastAsia" w:eastAsiaTheme="minorEastAsia"/>
          <w:b/>
          <w:bCs/>
          <w:color w:val="000000"/>
          <w:sz w:val="21"/>
          <w:szCs w:val="21"/>
          <w:lang w:val="en-US" w:eastAsia="zh-CN"/>
        </w:rPr>
        <w:t>、</w:t>
      </w:r>
      <w:r>
        <w:rPr>
          <w:rFonts w:hint="eastAsia" w:asciiTheme="minorEastAsia" w:hAnsiTheme="minorEastAsia" w:eastAsiaTheme="minorEastAsia"/>
          <w:b/>
          <w:bCs/>
          <w:color w:val="000000"/>
          <w:sz w:val="21"/>
          <w:szCs w:val="21"/>
        </w:rPr>
        <w:t>实际检定/校准工作中出现本表未包含仪器设备的，服务费结算时按同类设备费用标准据实结算</w:t>
      </w:r>
      <w:r>
        <w:rPr>
          <w:rFonts w:hint="eastAsia" w:asciiTheme="minorEastAsia" w:hAnsiTheme="minorEastAsia"/>
          <w:b/>
          <w:bCs/>
          <w:color w:val="000000"/>
          <w:sz w:val="21"/>
          <w:szCs w:val="21"/>
          <w:lang w:eastAsia="zh-CN"/>
        </w:rPr>
        <w:t>；</w:t>
      </w:r>
      <w:r>
        <w:rPr>
          <w:rFonts w:hint="eastAsia" w:asciiTheme="minorEastAsia" w:hAnsiTheme="minorEastAsia"/>
          <w:b/>
          <w:bCs/>
          <w:color w:val="000000"/>
          <w:sz w:val="21"/>
          <w:szCs w:val="21"/>
          <w:lang w:val="en-US" w:eastAsia="zh-CN"/>
        </w:rPr>
        <w:t>若无同类型设备，该仪器</w:t>
      </w:r>
      <w:r>
        <w:rPr>
          <w:rFonts w:hint="eastAsia" w:asciiTheme="minorEastAsia" w:hAnsiTheme="minorEastAsia" w:eastAsiaTheme="minorEastAsia"/>
          <w:b/>
          <w:bCs/>
          <w:color w:val="000000"/>
          <w:sz w:val="21"/>
          <w:szCs w:val="21"/>
        </w:rPr>
        <w:t>设备</w:t>
      </w:r>
      <w:r>
        <w:rPr>
          <w:rFonts w:hint="eastAsia" w:asciiTheme="minorEastAsia" w:hAnsiTheme="minorEastAsia"/>
          <w:b/>
          <w:bCs/>
          <w:color w:val="000000"/>
          <w:sz w:val="21"/>
          <w:szCs w:val="21"/>
          <w:lang w:val="en-US" w:eastAsia="zh-CN"/>
        </w:rPr>
        <w:t>检定/校准服务价格经采购人同意后，以市场上三家同类</w:t>
      </w:r>
      <w:r>
        <w:rPr>
          <w:rFonts w:hint="eastAsia" w:asciiTheme="minorEastAsia" w:hAnsiTheme="minorEastAsia" w:eastAsiaTheme="minorEastAsia"/>
          <w:b/>
          <w:bCs/>
          <w:color w:val="000000"/>
          <w:sz w:val="21"/>
          <w:szCs w:val="21"/>
        </w:rPr>
        <w:t>仪器设备</w:t>
      </w:r>
      <w:r>
        <w:rPr>
          <w:rFonts w:hint="eastAsia" w:asciiTheme="minorEastAsia" w:hAnsiTheme="minorEastAsia"/>
          <w:b/>
          <w:bCs/>
          <w:color w:val="000000"/>
          <w:sz w:val="21"/>
          <w:szCs w:val="21"/>
          <w:lang w:val="en-US" w:eastAsia="zh-CN"/>
        </w:rPr>
        <w:t>报价的最低值作为报价结算依据。</w:t>
      </w:r>
    </w:p>
    <w:p>
      <w:pPr>
        <w:pStyle w:val="2"/>
        <w:ind w:firstLine="420" w:firstLineChars="200"/>
        <w:rPr>
          <w:rFonts w:hint="eastAsia"/>
        </w:rPr>
      </w:pPr>
      <w:r>
        <w:rPr>
          <w:rFonts w:hint="eastAsia" w:asciiTheme="minorEastAsia" w:hAnsiTheme="minorEastAsia"/>
          <w:b/>
          <w:bCs/>
          <w:color w:val="000000"/>
          <w:sz w:val="21"/>
          <w:szCs w:val="21"/>
          <w:lang w:val="en-US" w:eastAsia="zh-CN"/>
        </w:rPr>
        <w:t>3</w:t>
      </w:r>
      <w:r>
        <w:rPr>
          <w:rFonts w:hint="eastAsia" w:asciiTheme="minorEastAsia" w:hAnsiTheme="minorEastAsia" w:eastAsiaTheme="minorEastAsia"/>
          <w:b/>
          <w:bCs/>
          <w:color w:val="000000"/>
          <w:sz w:val="21"/>
          <w:szCs w:val="21"/>
          <w:lang w:val="en-US" w:eastAsia="zh-CN"/>
        </w:rPr>
        <w:t>、</w:t>
      </w:r>
      <w:r>
        <w:rPr>
          <w:rFonts w:hint="eastAsia" w:asciiTheme="minorEastAsia" w:hAnsiTheme="minorEastAsia" w:eastAsiaTheme="minorEastAsia"/>
          <w:b/>
          <w:bCs/>
          <w:color w:val="000000"/>
          <w:sz w:val="21"/>
          <w:szCs w:val="21"/>
        </w:rPr>
        <w:t>本表中个别仪器设备（如回弹仪、试模等）根据规定在1年内需进行</w:t>
      </w:r>
      <w:r>
        <w:rPr>
          <w:rFonts w:hint="eastAsia" w:asciiTheme="minorEastAsia" w:hAnsiTheme="minorEastAsia" w:eastAsiaTheme="minorEastAsia"/>
          <w:b/>
          <w:bCs/>
          <w:color w:val="000000"/>
          <w:sz w:val="21"/>
          <w:szCs w:val="21"/>
          <w:lang w:val="en-US" w:eastAsia="zh-CN"/>
        </w:rPr>
        <w:t>大于</w:t>
      </w:r>
      <w:r>
        <w:rPr>
          <w:rFonts w:hint="eastAsia" w:asciiTheme="minorEastAsia" w:hAnsiTheme="minorEastAsia" w:eastAsiaTheme="minorEastAsia"/>
          <w:b/>
          <w:bCs/>
          <w:color w:val="000000"/>
          <w:sz w:val="21"/>
          <w:szCs w:val="21"/>
        </w:rPr>
        <w:t>1次的检定/校准，报价人应根据规定提供检定/校准服务，且服务费用结算时按每年1次计取，采购人不另行支付。</w:t>
      </w:r>
    </w:p>
    <w:p>
      <w:pPr>
        <w:rPr>
          <w:rFonts w:hint="default"/>
          <w:lang w:val="en-US" w:eastAsia="zh-CN"/>
        </w:rPr>
      </w:pPr>
      <w:r>
        <w:rPr>
          <w:rFonts w:hint="eastAsia"/>
          <w:color w:val="auto"/>
        </w:rPr>
        <w:br w:type="page"/>
      </w:r>
    </w:p>
    <w:p>
      <w:pPr>
        <w:pStyle w:val="4"/>
        <w:numPr>
          <w:ilvl w:val="0"/>
          <w:numId w:val="0"/>
        </w:numPr>
        <w:spacing w:before="240" w:after="240"/>
        <w:ind w:left="402" w:leftChars="0"/>
        <w:rPr>
          <w:rFonts w:hint="eastAsia" w:ascii="Times New Roman" w:hAnsi="Times New Roman" w:eastAsia="宋体" w:cs="Times New Roman"/>
          <w:color w:val="auto"/>
          <w:highlight w:val="none"/>
          <w:lang w:val="en-US" w:eastAsia="zh-CN"/>
        </w:rPr>
      </w:pPr>
      <w:bookmarkStart w:id="166" w:name="_Toc28290_WPSOffice_Level1"/>
    </w:p>
    <w:p>
      <w:pPr>
        <w:pStyle w:val="4"/>
        <w:numPr>
          <w:ilvl w:val="0"/>
          <w:numId w:val="0"/>
        </w:numPr>
        <w:spacing w:before="240" w:after="240"/>
        <w:ind w:left="402" w:leftChars="0"/>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第六章 </w:t>
      </w:r>
      <w:r>
        <w:rPr>
          <w:rFonts w:hint="default" w:ascii="Times New Roman" w:hAnsi="Times New Roman" w:eastAsia="宋体" w:cs="Times New Roman"/>
          <w:color w:val="auto"/>
          <w:highlight w:val="none"/>
          <w:lang w:val="en-US" w:eastAsia="zh-CN"/>
        </w:rPr>
        <w:t>响应文件格式</w:t>
      </w:r>
      <w:bookmarkEnd w:id="166"/>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0"/>
          <w:szCs w:val="20"/>
          <w:highlight w:val="none"/>
        </w:rPr>
      </w:pPr>
      <w:r>
        <w:rPr>
          <w:rFonts w:hint="default" w:ascii="Times New Roman" w:hAnsi="Times New Roman" w:cs="Times New Roman"/>
          <w:color w:val="auto"/>
          <w:sz w:val="32"/>
          <w:szCs w:val="32"/>
          <w:highlight w:val="none"/>
          <w:u w:val="single"/>
        </w:rPr>
        <w:t>20</w:t>
      </w:r>
      <w:r>
        <w:rPr>
          <w:rFonts w:hint="default" w:ascii="Times New Roman" w:hAnsi="Times New Roman" w:cs="Times New Roman"/>
          <w:color w:val="auto"/>
          <w:sz w:val="32"/>
          <w:szCs w:val="32"/>
          <w:highlight w:val="none"/>
          <w:u w:val="single"/>
          <w:lang w:val="en-US" w:eastAsia="zh-CN"/>
        </w:rPr>
        <w:t>22</w:t>
      </w:r>
      <w:r>
        <w:rPr>
          <w:rFonts w:hint="default" w:ascii="Times New Roman" w:hAnsi="Times New Roman" w:cs="Times New Roman"/>
          <w:color w:val="auto"/>
          <w:sz w:val="32"/>
          <w:szCs w:val="32"/>
          <w:highlight w:val="none"/>
          <w:u w:val="single"/>
        </w:rPr>
        <w:t>~202</w:t>
      </w:r>
      <w:r>
        <w:rPr>
          <w:rFonts w:hint="default" w:ascii="Times New Roman" w:hAnsi="Times New Roman" w:cs="Times New Roman"/>
          <w:color w:val="auto"/>
          <w:sz w:val="32"/>
          <w:szCs w:val="32"/>
          <w:highlight w:val="none"/>
          <w:u w:val="single"/>
          <w:lang w:val="en-US" w:eastAsia="zh-CN"/>
        </w:rPr>
        <w:t>4</w:t>
      </w:r>
      <w:r>
        <w:rPr>
          <w:rFonts w:hint="default" w:ascii="Times New Roman" w:hAnsi="Times New Roman" w:cs="Times New Roman"/>
          <w:color w:val="auto"/>
          <w:sz w:val="32"/>
          <w:szCs w:val="32"/>
          <w:highlight w:val="none"/>
          <w:u w:val="single"/>
        </w:rPr>
        <w:t>年度工地试验室试验检测仪器设备检定/校准服务量值溯源机构定点库采购</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67" w:name="_Toc32044_WPSOffice_Level1"/>
      <w:bookmarkStart w:id="168" w:name="_Toc741_WPSOffice_Level1"/>
      <w:bookmarkStart w:id="169" w:name="_Toc17311_WPSOffice_Level1"/>
      <w:bookmarkStart w:id="170" w:name="_Toc17394_WPSOffice_Level1"/>
      <w:bookmarkStart w:id="171" w:name="_Toc10484_WPSOffice_Level1"/>
      <w:bookmarkStart w:id="172"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67"/>
      <w:bookmarkEnd w:id="168"/>
      <w:bookmarkEnd w:id="169"/>
      <w:bookmarkEnd w:id="170"/>
      <w:bookmarkEnd w:id="171"/>
      <w:bookmarkEnd w:id="172"/>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73" w:name="_Toc5520_WPSOffice_Level2"/>
      <w:bookmarkStart w:id="174"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73"/>
      <w:bookmarkEnd w:id="174"/>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75" w:name="_Toc20076_WPSOffice_Level2"/>
      <w:bookmarkStart w:id="176"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75"/>
      <w:bookmarkEnd w:id="176"/>
    </w:p>
    <w:p>
      <w:pPr>
        <w:spacing w:line="440" w:lineRule="exact"/>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77" w:name="_Toc21974_WPSOffice_Level2"/>
      <w:bookmarkStart w:id="178" w:name="_Toc22351_WPSOffice_Level2"/>
      <w:r>
        <w:rPr>
          <w:rFonts w:hint="default" w:ascii="Times New Roman" w:hAnsi="Times New Roman" w:eastAsia="黑体" w:cs="Times New Roman"/>
          <w:color w:val="auto"/>
          <w:sz w:val="28"/>
          <w:szCs w:val="28"/>
          <w:highlight w:val="none"/>
        </w:rPr>
        <w:t>目     录</w:t>
      </w:r>
      <w:bookmarkEnd w:id="177"/>
      <w:bookmarkEnd w:id="178"/>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79" w:name="_Toc6353_WPSOffice_Level1"/>
      <w:bookmarkStart w:id="180" w:name="_Toc30529_WPSOffice_Level1"/>
      <w:bookmarkStart w:id="181" w:name="_Toc8599_WPSOffice_Level1"/>
      <w:bookmarkStart w:id="182" w:name="_Toc23368_WPSOffice_Level1"/>
      <w:bookmarkStart w:id="183" w:name="_Toc11424_WPSOffice_Level1"/>
      <w:bookmarkStart w:id="184" w:name="_Toc12670_WPSOffice_Level1"/>
      <w:r>
        <w:rPr>
          <w:rFonts w:ascii="Times New Roman" w:hAnsi="Times New Roman" w:eastAsia="黑体" w:cs="Times New Roman"/>
          <w:color w:val="auto"/>
          <w:sz w:val="24"/>
          <w:highlight w:val="none"/>
        </w:rPr>
        <w:t>一、报价函</w:t>
      </w:r>
      <w:bookmarkEnd w:id="179"/>
      <w:bookmarkEnd w:id="180"/>
      <w:bookmarkEnd w:id="181"/>
      <w:bookmarkEnd w:id="182"/>
      <w:bookmarkEnd w:id="183"/>
    </w:p>
    <w:p>
      <w:pPr>
        <w:spacing w:line="440" w:lineRule="exact"/>
        <w:ind w:left="1619" w:leftChars="771"/>
        <w:rPr>
          <w:rFonts w:ascii="Times New Roman" w:hAnsi="Times New Roman" w:eastAsia="黑体" w:cs="Times New Roman"/>
          <w:color w:val="auto"/>
          <w:sz w:val="24"/>
          <w:highlight w:val="none"/>
        </w:rPr>
      </w:pPr>
      <w:bookmarkStart w:id="185" w:name="_Toc28272_WPSOffice_Level1"/>
      <w:bookmarkStart w:id="186" w:name="_Toc31927_WPSOffice_Level1"/>
      <w:bookmarkStart w:id="187" w:name="_Toc32729_WPSOffice_Level1"/>
      <w:bookmarkStart w:id="188" w:name="_Toc5317_WPSOffice_Level1"/>
      <w:bookmarkStart w:id="189" w:name="_Toc21229_WPSOffice_Level1"/>
      <w:r>
        <w:rPr>
          <w:rFonts w:ascii="Times New Roman" w:hAnsi="Times New Roman" w:eastAsia="黑体" w:cs="Times New Roman"/>
          <w:color w:val="auto"/>
          <w:sz w:val="24"/>
          <w:highlight w:val="none"/>
        </w:rPr>
        <w:t>二、已标价</w:t>
      </w:r>
      <w:r>
        <w:rPr>
          <w:rFonts w:hint="default" w:ascii="Times New Roman" w:hAnsi="Times New Roman" w:eastAsia="黑体" w:cs="Times New Roman"/>
          <w:color w:val="auto"/>
          <w:sz w:val="24"/>
          <w:highlight w:val="none"/>
          <w:lang w:val="en-US" w:eastAsia="zh-CN"/>
        </w:rPr>
        <w:t>的报价清单</w:t>
      </w:r>
      <w:bookmarkEnd w:id="185"/>
      <w:bookmarkEnd w:id="186"/>
      <w:bookmarkEnd w:id="187"/>
      <w:bookmarkEnd w:id="188"/>
      <w:bookmarkEnd w:id="189"/>
    </w:p>
    <w:p>
      <w:pPr>
        <w:spacing w:line="440" w:lineRule="exact"/>
        <w:ind w:left="1619" w:leftChars="771"/>
        <w:rPr>
          <w:rFonts w:ascii="Times New Roman" w:hAnsi="Times New Roman" w:eastAsia="黑体" w:cs="Times New Roman"/>
          <w:color w:val="auto"/>
          <w:sz w:val="24"/>
          <w:highlight w:val="none"/>
        </w:rPr>
      </w:pPr>
      <w:bookmarkStart w:id="190" w:name="_Toc10608_WPSOffice_Level1"/>
      <w:bookmarkStart w:id="191" w:name="_Toc7453_WPSOffice_Level1"/>
      <w:bookmarkStart w:id="192" w:name="_Toc18964_WPSOffice_Level1"/>
      <w:bookmarkStart w:id="193" w:name="_Toc23744_WPSOffice_Level1"/>
      <w:bookmarkStart w:id="194" w:name="_Toc24904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法定代表人身份证明及授权委托书</w:t>
      </w:r>
    </w:p>
    <w:bookmarkEnd w:id="190"/>
    <w:bookmarkEnd w:id="191"/>
    <w:bookmarkEnd w:id="192"/>
    <w:bookmarkEnd w:id="193"/>
    <w:p>
      <w:pPr>
        <w:spacing w:line="440" w:lineRule="exact"/>
        <w:ind w:left="1619" w:leftChars="771"/>
        <w:rPr>
          <w:rFonts w:hint="default"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四、</w:t>
      </w:r>
      <w:r>
        <w:rPr>
          <w:rFonts w:hint="default" w:ascii="Times New Roman" w:hAnsi="Times New Roman" w:eastAsia="黑体" w:cs="Times New Roman"/>
          <w:color w:val="auto"/>
          <w:sz w:val="24"/>
          <w:highlight w:val="none"/>
          <w:lang w:val="en-US" w:eastAsia="zh-CN"/>
        </w:rPr>
        <w:t>供应商基本情况</w:t>
      </w:r>
      <w:bookmarkEnd w:id="194"/>
    </w:p>
    <w:p>
      <w:pPr>
        <w:spacing w:line="440" w:lineRule="exact"/>
        <w:ind w:left="1619" w:leftChars="771"/>
        <w:rPr>
          <w:rFonts w:hint="default"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五、业绩情况表</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95" w:name="_Toc30273_WPSOffice_Level1"/>
      <w:bookmarkStart w:id="196" w:name="_Toc25804_WPSOffice_Level1"/>
      <w:bookmarkStart w:id="197" w:name="_Toc32648_WPSOffice_Level1"/>
      <w:bookmarkStart w:id="198" w:name="_Toc27403_WPSOffice_Level1"/>
      <w:bookmarkStart w:id="199" w:name="_Toc8445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95"/>
      <w:bookmarkEnd w:id="196"/>
      <w:bookmarkEnd w:id="197"/>
      <w:bookmarkEnd w:id="198"/>
      <w:r>
        <w:rPr>
          <w:rFonts w:hint="default" w:ascii="Times New Roman" w:hAnsi="Times New Roman" w:eastAsia="黑体" w:cs="Times New Roman"/>
          <w:color w:val="auto"/>
          <w:sz w:val="24"/>
          <w:highlight w:val="none"/>
          <w:lang w:val="en-US" w:eastAsia="zh-CN"/>
        </w:rPr>
        <w:t>信誉情况</w:t>
      </w:r>
      <w:bookmarkEnd w:id="199"/>
    </w:p>
    <w:p>
      <w:pPr>
        <w:spacing w:line="440" w:lineRule="exact"/>
        <w:ind w:left="1619" w:leftChars="771"/>
        <w:rPr>
          <w:rFonts w:hint="default" w:ascii="Times New Roman" w:hAnsi="Times New Roman" w:eastAsia="黑体" w:cs="Times New Roman"/>
          <w:color w:val="auto"/>
          <w:sz w:val="24"/>
          <w:highlight w:val="none"/>
        </w:rPr>
      </w:pPr>
      <w:bookmarkStart w:id="200" w:name="_Toc5885_WPSOffice_Level1"/>
      <w:bookmarkStart w:id="201" w:name="_Toc16988_WPSOffice_Level1"/>
      <w:bookmarkStart w:id="202" w:name="_Toc28906_WPSOffice_Level1"/>
      <w:r>
        <w:rPr>
          <w:rFonts w:hint="eastAsia" w:ascii="Times New Roman" w:hAnsi="Times New Roman" w:eastAsia="黑体" w:cs="Times New Roman"/>
          <w:color w:val="auto"/>
          <w:sz w:val="24"/>
          <w:highlight w:val="none"/>
          <w:lang w:val="en-US" w:eastAsia="zh-CN"/>
        </w:rPr>
        <w:t>七</w:t>
      </w:r>
      <w:r>
        <w:rPr>
          <w:rFonts w:hint="default" w:ascii="Times New Roman" w:hAnsi="Times New Roman" w:eastAsia="黑体" w:cs="Times New Roman"/>
          <w:color w:val="auto"/>
          <w:sz w:val="24"/>
          <w:highlight w:val="none"/>
          <w:lang w:val="en-US" w:eastAsia="zh-CN"/>
        </w:rPr>
        <w:t>、其他材料</w:t>
      </w:r>
      <w:bookmarkEnd w:id="184"/>
      <w:bookmarkEnd w:id="200"/>
      <w:bookmarkEnd w:id="201"/>
      <w:bookmarkEnd w:id="202"/>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203" w:name="_Toc2765_WPSOffice_Level1"/>
      <w:bookmarkStart w:id="204" w:name="_Toc18312_WPSOffice_Level1"/>
      <w:bookmarkStart w:id="205" w:name="_Toc1017_WPSOffice_Level1"/>
      <w:bookmarkStart w:id="206" w:name="_Toc1687_WPSOffice_Level1"/>
      <w:bookmarkStart w:id="207" w:name="_Toc7353_WPSOffice_Level1"/>
      <w:bookmarkStart w:id="208" w:name="_Toc12036_WPSOffice_Level1"/>
      <w:bookmarkStart w:id="209" w:name="_Toc30587_WPSOffice_Level1"/>
      <w:bookmarkStart w:id="210" w:name="_Toc3972_WPSOffice_Level1"/>
      <w:r>
        <w:rPr>
          <w:rFonts w:hint="default" w:ascii="Times New Roman" w:hAnsi="Times New Roman" w:eastAsia="黑体" w:cs="Times New Roman"/>
          <w:b w:val="0"/>
          <w:bCs/>
          <w:color w:val="auto"/>
          <w:kern w:val="2"/>
          <w:sz w:val="28"/>
          <w:szCs w:val="28"/>
          <w:highlight w:val="none"/>
          <w:lang w:val="en-US" w:eastAsia="zh-CN" w:bidi="ar-SA"/>
        </w:rPr>
        <w:t>一、报价函</w:t>
      </w:r>
      <w:bookmarkEnd w:id="203"/>
      <w:bookmarkEnd w:id="204"/>
      <w:bookmarkEnd w:id="205"/>
      <w:bookmarkEnd w:id="206"/>
      <w:bookmarkEnd w:id="207"/>
      <w:bookmarkEnd w:id="208"/>
      <w:bookmarkEnd w:id="209"/>
      <w:bookmarkEnd w:id="210"/>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1．我方已仔细研究了</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(项目名称)</w:t>
      </w:r>
      <w:r>
        <w:rPr>
          <w:rFonts w:ascii="Times New Roman" w:hAnsi="Times New Roman" w:cs="Times New Roman"/>
          <w:color w:val="auto"/>
          <w:sz w:val="24"/>
        </w:rPr>
        <w:t>的全部内容，愿意以综合单价的限价进行同比例报价，报价比例为</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%（详见已标价的报价清单），</w:t>
      </w:r>
      <w:r>
        <w:rPr>
          <w:rFonts w:hint="eastAsia" w:ascii="Times New Roman" w:hAnsi="Times New Roman" w:cs="Times New Roman"/>
          <w:color w:val="auto"/>
          <w:sz w:val="24"/>
        </w:rPr>
        <w:t>服务期</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，按合同约定实施和完成相关服务，质量</w:t>
      </w:r>
      <w:r>
        <w:rPr>
          <w:rFonts w:hint="eastAsia" w:ascii="Times New Roman" w:hAnsi="Times New Roman" w:cs="Times New Roman"/>
          <w:color w:val="auto"/>
          <w:sz w:val="24"/>
          <w:lang w:val="en-US" w:eastAsia="zh-CN"/>
        </w:rPr>
        <w:t>要求</w:t>
      </w:r>
      <w:r>
        <w:rPr>
          <w:rFonts w:ascii="Times New Roman" w:hAnsi="Times New Roman" w:cs="Times New Roman"/>
          <w:color w:val="auto"/>
          <w:sz w:val="24"/>
        </w:rPr>
        <w:t>达到</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，安全目标达到</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入围通知书</w:t>
      </w:r>
      <w:r>
        <w:rPr>
          <w:rFonts w:hint="default" w:ascii="Times New Roman" w:hAnsi="Times New Roman" w:cs="Times New Roman"/>
          <w:color w:val="auto"/>
          <w:sz w:val="24"/>
          <w:highlight w:val="none"/>
        </w:rPr>
        <w:t>后，在</w:t>
      </w:r>
      <w:r>
        <w:rPr>
          <w:rFonts w:hint="default" w:ascii="Times New Roman" w:hAnsi="Times New Roman" w:cs="Times New Roman"/>
          <w:color w:val="auto"/>
          <w:sz w:val="24"/>
          <w:highlight w:val="none"/>
          <w:lang w:val="en-US" w:eastAsia="zh-CN"/>
        </w:rPr>
        <w:t>入围通知书</w:t>
      </w:r>
      <w:r>
        <w:rPr>
          <w:rFonts w:hint="default" w:ascii="Times New Roman" w:hAnsi="Times New Roman" w:cs="Times New Roman"/>
          <w:color w:val="auto"/>
          <w:sz w:val="24"/>
          <w:highlight w:val="none"/>
        </w:rPr>
        <w:t>规定的期限内与你方签订</w:t>
      </w:r>
      <w:r>
        <w:rPr>
          <w:rFonts w:hint="eastAsia" w:ascii="Times New Roman" w:hAnsi="Times New Roman" w:cs="Times New Roman"/>
          <w:color w:val="auto"/>
          <w:sz w:val="24"/>
          <w:highlight w:val="none"/>
          <w:lang w:val="en-US" w:eastAsia="zh-CN"/>
        </w:rPr>
        <w:t>框架协议</w:t>
      </w:r>
      <w:r>
        <w:rPr>
          <w:rFonts w:hint="default" w:ascii="Times New Roman" w:hAnsi="Times New Roman" w:cs="Times New Roman"/>
          <w:color w:val="auto"/>
          <w:sz w:val="24"/>
          <w:highlight w:val="none"/>
        </w:rPr>
        <w:t>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w:t>
      </w:r>
      <w:r>
        <w:rPr>
          <w:rFonts w:hint="eastAsia" w:ascii="Times New Roman" w:hAnsi="Times New Roman" w:cs="Times New Roman"/>
          <w:color w:val="auto"/>
          <w:sz w:val="24"/>
          <w:highlight w:val="none"/>
          <w:lang w:val="en-US" w:eastAsia="zh-CN"/>
        </w:rPr>
        <w:t>保证金</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w:t>
      </w:r>
      <w:r>
        <w:rPr>
          <w:rFonts w:hint="default" w:ascii="Times New Roman" w:hAnsi="Times New Roman" w:cs="Times New Roman"/>
          <w:color w:val="auto"/>
          <w:sz w:val="24"/>
          <w:highlight w:val="none"/>
          <w:lang w:eastAsia="zh-CN"/>
        </w:rPr>
        <w:t>框架协议执行有效期</w:t>
      </w:r>
      <w:r>
        <w:rPr>
          <w:rFonts w:hint="default" w:ascii="Times New Roman" w:hAnsi="Times New Roman" w:cs="Times New Roman"/>
          <w:color w:val="auto"/>
          <w:sz w:val="24"/>
          <w:highlight w:val="none"/>
        </w:rPr>
        <w:t>内</w:t>
      </w:r>
      <w:r>
        <w:rPr>
          <w:rFonts w:hint="default" w:ascii="Times New Roman" w:hAnsi="Times New Roman" w:cs="Times New Roman"/>
          <w:color w:val="auto"/>
          <w:sz w:val="24"/>
          <w:highlight w:val="none"/>
          <w:lang w:val="en-US" w:eastAsia="zh-CN"/>
        </w:rPr>
        <w:t>按你方的要求</w:t>
      </w:r>
      <w:r>
        <w:rPr>
          <w:rFonts w:hint="eastAsia" w:ascii="Times New Roman" w:hAnsi="Times New Roman" w:cs="Times New Roman"/>
          <w:color w:val="auto"/>
          <w:sz w:val="24"/>
          <w:highlight w:val="none"/>
          <w:lang w:val="en-US" w:eastAsia="zh-CN"/>
        </w:rPr>
        <w:t>签订项目合同并</w:t>
      </w:r>
      <w:r>
        <w:rPr>
          <w:rFonts w:hint="default" w:ascii="Times New Roman" w:hAnsi="Times New Roman" w:cs="Times New Roman"/>
          <w:color w:val="auto"/>
          <w:sz w:val="24"/>
          <w:highlight w:val="none"/>
          <w:lang w:val="en-US" w:eastAsia="zh-CN"/>
        </w:rPr>
        <w:t>完成相应工作</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入围通知书</w:t>
      </w:r>
      <w:r>
        <w:rPr>
          <w:rFonts w:hint="default" w:ascii="Times New Roman" w:hAnsi="Times New Roman" w:cs="Times New Roman"/>
          <w:color w:val="auto"/>
          <w:sz w:val="24"/>
          <w:highlight w:val="none"/>
        </w:rPr>
        <w:t>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default"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pStyle w:val="2"/>
        <w:rPr>
          <w:rFonts w:hint="default" w:ascii="Times New Roman" w:hAnsi="Times New Roman" w:cs="Times New Roman"/>
          <w:color w:val="auto"/>
          <w:sz w:val="24"/>
          <w:highlight w:val="none"/>
        </w:rPr>
      </w:pPr>
    </w:p>
    <w:p>
      <w:pPr>
        <w:pStyle w:val="3"/>
        <w:rPr>
          <w:rFonts w:hint="default"/>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二、</w:t>
      </w:r>
      <w:r>
        <w:rPr>
          <w:rFonts w:hint="eastAsia" w:ascii="Times New Roman" w:hAnsi="Times New Roman" w:eastAsia="黑体" w:cs="Times New Roman"/>
          <w:color w:val="auto"/>
          <w:sz w:val="28"/>
          <w:szCs w:val="28"/>
          <w:highlight w:val="none"/>
        </w:rPr>
        <w:t>已标价的报价清单</w:t>
      </w:r>
    </w:p>
    <w:tbl>
      <w:tblPr>
        <w:tblStyle w:val="20"/>
        <w:tblW w:w="5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442"/>
        <w:gridCol w:w="3264"/>
        <w:gridCol w:w="838"/>
        <w:gridCol w:w="838"/>
        <w:gridCol w:w="1051"/>
        <w:gridCol w:w="1058"/>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269"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707"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仪器名称</w:t>
            </w:r>
          </w:p>
        </w:tc>
        <w:tc>
          <w:tcPr>
            <w:tcW w:w="1601"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规格型号</w:t>
            </w:r>
          </w:p>
        </w:tc>
        <w:tc>
          <w:tcPr>
            <w:tcW w:w="411"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数量</w:t>
            </w:r>
          </w:p>
        </w:tc>
        <w:tc>
          <w:tcPr>
            <w:tcW w:w="411"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溯源方式</w:t>
            </w:r>
          </w:p>
        </w:tc>
        <w:tc>
          <w:tcPr>
            <w:tcW w:w="515"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综合</w:t>
            </w:r>
            <w:r>
              <w:rPr>
                <w:rFonts w:hint="eastAsia" w:ascii="宋体" w:hAnsi="宋体" w:eastAsia="宋体" w:cs="宋体"/>
                <w:b/>
                <w:bCs/>
                <w:color w:val="auto"/>
                <w:kern w:val="0"/>
                <w:sz w:val="20"/>
                <w:szCs w:val="20"/>
                <w:highlight w:val="none"/>
                <w:lang w:val="en-US" w:eastAsia="zh-CN" w:bidi="ar"/>
              </w:rPr>
              <w:t>单价</w:t>
            </w:r>
            <w:r>
              <w:rPr>
                <w:rFonts w:hint="eastAsia" w:ascii="宋体" w:hAnsi="宋体" w:eastAsia="宋体" w:cs="宋体"/>
                <w:b/>
                <w:bCs/>
                <w:color w:val="auto"/>
                <w:kern w:val="0"/>
                <w:sz w:val="20"/>
                <w:szCs w:val="20"/>
                <w:highlight w:val="none"/>
                <w:lang w:bidi="ar"/>
              </w:rPr>
              <w:t>（元）</w:t>
            </w:r>
          </w:p>
        </w:tc>
        <w:tc>
          <w:tcPr>
            <w:tcW w:w="519" w:type="pct"/>
            <w:shd w:val="clear" w:color="auto" w:fill="DEEBF6" w:themeFill="accent1" w:themeFillTint="3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报价比例（%）</w:t>
            </w:r>
          </w:p>
        </w:tc>
        <w:tc>
          <w:tcPr>
            <w:tcW w:w="562" w:type="pct"/>
            <w:shd w:val="clear" w:color="auto" w:fill="DEEBF6" w:themeFill="accent1" w:themeFillTint="3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电子台秤</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TCS-150（150kg/50g）</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72</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电子台秤</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JSB30-1 (30kg/1g)</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72</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w:t>
            </w:r>
          </w:p>
        </w:tc>
        <w:tc>
          <w:tcPr>
            <w:tcW w:w="707"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电子天平</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JS15-01（15kg/0.1g）</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174</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电子天平</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JY20002 (2000g/0.01g）</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174</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静水天平</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5000g/0.01g</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174</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电子天平</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JA11003  (1100g/0.001g)</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174</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精密分析天平</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BP210S(200g/0.0001g)</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174</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新标准土壤筛</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0.075-60mm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210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数显式土壤液塑限联合测定仪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LP-100D</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lang w:eastAsia="zh-CN"/>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含盛土杯一个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电动重型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击实仪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DZY-Ⅲ</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大、小击实筒</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各1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CBR承载比试验仪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13</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土工自由</w:t>
            </w:r>
          </w:p>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0"/>
                <w:szCs w:val="20"/>
                <w:highlight w:val="none"/>
              </w:rPr>
              <w:t>膨胀率</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量力环</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7.5KN、30kN</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各1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干燥箱</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55</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220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百分表</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0-10 0.01mm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168</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12</w:t>
            </w:r>
            <w:r>
              <w:rPr>
                <w:rStyle w:val="43"/>
                <w:rFonts w:hint="eastAsia" w:ascii="宋体" w:hAnsi="宋体" w:eastAsia="宋体" w:cs="宋体"/>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路面材料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强度仪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LD127-II</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lang w:val="en-US" w:eastAsia="zh-CN"/>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val="en-US" w:eastAsia="zh-CN"/>
              </w:rPr>
              <w:t>100</w:t>
            </w:r>
            <w:r>
              <w:rPr>
                <w:rFonts w:hint="eastAsia" w:ascii="宋体" w:hAnsi="宋体" w:eastAsia="宋体" w:cs="宋体"/>
                <w:i w:val="0"/>
                <w:color w:val="auto"/>
                <w:kern w:val="0"/>
                <w:sz w:val="20"/>
                <w:szCs w:val="20"/>
                <w:highlight w:val="none"/>
                <w:u w:val="none"/>
                <w:lang w:val="en-US" w:eastAsia="zh-CN" w:bidi="ar"/>
              </w:rPr>
              <w:t>kN量力环或传感器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温湿度表</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xml:space="preserve"> -30℃-50℃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960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12</w:t>
            </w:r>
            <w:r>
              <w:rPr>
                <w:rStyle w:val="43"/>
                <w:rFonts w:hint="eastAsia" w:ascii="宋体" w:hAnsi="宋体" w:eastAsia="宋体" w:cs="宋体"/>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恒温干燥箱</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101-3</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220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震击式标准振筛机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ZBSX-92A</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数显洛杉矶磨耗试验机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MH-Ⅲ</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lang w:eastAsia="zh-CN"/>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含球（</w:t>
            </w:r>
            <w:r>
              <w:rPr>
                <w:rFonts w:hint="eastAsia" w:ascii="宋体" w:hAnsi="宋体" w:eastAsia="宋体" w:cs="宋体"/>
                <w:i w:val="0"/>
                <w:color w:val="auto"/>
                <w:sz w:val="20"/>
                <w:szCs w:val="20"/>
                <w:highlight w:val="none"/>
                <w:u w:val="none"/>
                <w:lang w:val="en-US" w:eastAsia="zh-CN"/>
              </w:rPr>
              <w:t>12个</w:t>
            </w:r>
            <w:r>
              <w:rPr>
                <w:rFonts w:hint="eastAsia" w:ascii="宋体" w:hAnsi="宋体" w:eastAsia="宋体" w:cs="宋体"/>
                <w:i w:val="0"/>
                <w:color w:val="auto"/>
                <w:sz w:val="20"/>
                <w:szCs w:val="20"/>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标准方孔集料筛</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0.075-37.5mm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270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磁力搅拌机（亚甲蓝）</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YJL-Ⅲ</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砂当量试验仪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YL-2B</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color w:val="auto"/>
                <w:sz w:val="20"/>
                <w:szCs w:val="20"/>
                <w:highlight w:val="none"/>
                <w:u w:val="none"/>
                <w:lang w:eastAsia="zh-CN"/>
              </w:rPr>
            </w:pPr>
          </w:p>
        </w:tc>
        <w:tc>
          <w:tcPr>
            <w:tcW w:w="562" w:type="pc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含两个筒和一套冲洗设备、振荡器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25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规准仪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100</w:t>
            </w:r>
          </w:p>
        </w:tc>
        <w:tc>
          <w:tcPr>
            <w:tcW w:w="519" w:type="pct"/>
            <w:vAlign w:val="top"/>
          </w:tcPr>
          <w:p>
            <w:pPr>
              <w:jc w:val="center"/>
              <w:rPr>
                <w:rFonts w:hint="eastAsia" w:ascii="宋体" w:hAnsi="宋体" w:eastAsia="宋体" w:cs="宋体"/>
                <w:color w:val="auto"/>
                <w:sz w:val="20"/>
                <w:szCs w:val="20"/>
                <w:highlight w:val="none"/>
              </w:rPr>
            </w:pPr>
          </w:p>
        </w:tc>
        <w:tc>
          <w:tcPr>
            <w:tcW w:w="562" w:type="pct"/>
            <w:vAlign w:val="top"/>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压碎值仪</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国标</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top"/>
          </w:tcPr>
          <w:p>
            <w:pPr>
              <w:jc w:val="center"/>
              <w:rPr>
                <w:rFonts w:hint="eastAsia" w:eastAsia="宋体" w:cs="Times New Roman"/>
                <w:i w:val="0"/>
                <w:color w:val="000000" w:themeColor="text1"/>
                <w:sz w:val="21"/>
                <w:szCs w:val="21"/>
                <w:highlight w:val="none"/>
                <w:u w:val="none"/>
                <w:lang w:eastAsia="zh-CN"/>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含</w:t>
            </w:r>
            <w:r>
              <w:rPr>
                <w:rFonts w:hint="eastAsia" w:eastAsia="宋体" w:cs="Times New Roman"/>
                <w:i w:val="0"/>
                <w:color w:val="000000" w:themeColor="text1"/>
                <w:sz w:val="21"/>
                <w:szCs w:val="21"/>
                <w:highlight w:val="none"/>
                <w:u w:val="none"/>
                <w:lang w:val="en-US" w:eastAsia="zh-CN"/>
                <w14:textFill>
                  <w14:solidFill>
                    <w14:schemeClr w14:val="tx1"/>
                  </w14:solidFill>
                </w14:textFill>
              </w:rPr>
              <w:t>10mm的垫棒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压碎值仪</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行标</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top"/>
          </w:tcPr>
          <w:p>
            <w:pPr>
              <w:jc w:val="center"/>
              <w:rPr>
                <w:rFonts w:hint="eastAsia" w:eastAsia="宋体" w:cs="Times New Roman"/>
                <w:i w:val="0"/>
                <w:color w:val="000000" w:themeColor="text1"/>
                <w:sz w:val="21"/>
                <w:szCs w:val="21"/>
                <w:highlight w:val="none"/>
                <w:u w:val="none"/>
                <w:lang w:eastAsia="zh-CN"/>
                <w14:textFill>
                  <w14:solidFill>
                    <w14:schemeClr w14:val="tx1"/>
                  </w14:solidFill>
                </w14:textFill>
              </w:rPr>
            </w:pPr>
          </w:p>
        </w:tc>
        <w:tc>
          <w:tcPr>
            <w:tcW w:w="562" w:type="pct"/>
            <w:vAlign w:val="top"/>
          </w:tcPr>
          <w:p>
            <w:pPr>
              <w:jc w:val="center"/>
              <w:rPr>
                <w:rFonts w:hint="eastAsia" w:eastAsia="宋体" w:cs="Times New Roman" w:asciiTheme="minorHAnsi" w:hAnsiTheme="minorHAnsi"/>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含标定筒和捣棒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细集料棱角性试验仪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标准筛</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eastAsia="宋体" w:cs="Times New Roman"/>
                <w:i w:val="0"/>
                <w:color w:val="000000" w:themeColor="text1"/>
                <w:kern w:val="0"/>
                <w:sz w:val="21"/>
                <w:szCs w:val="21"/>
                <w:highlight w:val="none"/>
                <w:u w:val="none"/>
                <w:lang w:val="en-US" w:eastAsia="zh-CN" w:bidi="ar"/>
                <w14:textFill>
                  <w14:solidFill>
                    <w14:schemeClr w14:val="tx1"/>
                  </w14:solidFill>
                </w14:textFill>
              </w:rPr>
              <w:t>0.3mm、0.6mm 、</w:t>
            </w:r>
            <w:r>
              <w:rPr>
                <w:rFonts w:hint="eastAsia" w:ascii="宋体" w:hAnsi="宋体" w:eastAsia="宋体" w:cs="宋体"/>
                <w:color w:val="000000" w:themeColor="text1"/>
                <w:kern w:val="0"/>
                <w:sz w:val="20"/>
                <w:szCs w:val="20"/>
                <w:highlight w:val="none"/>
                <w:lang w:bidi="ar"/>
                <w14:textFill>
                  <w14:solidFill>
                    <w14:schemeClr w14:val="tx1"/>
                  </w14:solidFill>
                </w14:textFill>
              </w:rPr>
              <w:t>0.9mm、1.7mm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各1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60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负压筛析仪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FYS-150B</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水泥标准负压筛</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45μm、80μm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各1个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36</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水泥净浆搅拌机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NJ-160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水泥胶砂搅拌机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JJ-5</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水泥胶砂流动度测定仪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NLD-3型</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themeColor="text1"/>
                <w:sz w:val="20"/>
                <w:szCs w:val="20"/>
                <w:highlight w:val="none"/>
                <w:u w:val="none"/>
                <w:lang w:eastAsia="zh-CN"/>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color w:val="000000" w:themeColor="text1"/>
                <w:sz w:val="20"/>
                <w:szCs w:val="20"/>
                <w:highlight w:val="none"/>
                <w:u w:val="none"/>
                <w:lang w:eastAsia="zh-CN"/>
                <w14:textFill>
                  <w14:solidFill>
                    <w14:schemeClr w14:val="tx1"/>
                  </w14:solidFill>
                </w14:textFill>
              </w:rPr>
              <w:t>含试模、捣棒等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水泥标准稠度凝结测定仪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sm/m0-70</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lang w:eastAsia="zh-CN"/>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含试模、测针一套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数控水泥砼标准养护箱</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HSY-40B</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雷氏夹测定仪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LD-50</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含雷氏夹至少</w:t>
            </w:r>
            <w:r>
              <w:rPr>
                <w:rStyle w:val="44"/>
                <w:rFonts w:hint="eastAsia" w:ascii="宋体" w:hAnsi="宋体" w:eastAsia="宋体" w:cs="宋体"/>
                <w:color w:val="auto"/>
                <w:sz w:val="20"/>
                <w:szCs w:val="20"/>
                <w:highlight w:val="none"/>
                <w:lang w:bidi="ar"/>
              </w:rPr>
              <w:t>5</w:t>
            </w:r>
            <w:r>
              <w:rPr>
                <w:rStyle w:val="43"/>
                <w:rFonts w:hint="eastAsia" w:ascii="宋体" w:hAnsi="宋体" w:eastAsia="宋体" w:cs="宋体"/>
                <w:color w:val="auto"/>
                <w:sz w:val="20"/>
                <w:szCs w:val="20"/>
                <w:highlight w:val="none"/>
                <w:lang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全自动比表面积测定仪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FBT-5</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39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沸煮箱</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FZ-31</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水泥胶砂试件成型振动台</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ZT-96</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水泥标稠</w:t>
            </w:r>
          </w:p>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量水器</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170ml、225ml</w:t>
            </w:r>
          </w:p>
        </w:tc>
        <w:tc>
          <w:tcPr>
            <w:tcW w:w="411" w:type="pct"/>
            <w:vAlign w:val="center"/>
          </w:tcPr>
          <w:p>
            <w:pPr>
              <w:keepNext w:val="0"/>
              <w:keepLines w:val="0"/>
              <w:widowControl/>
              <w:suppressLineNumbers w:val="0"/>
              <w:jc w:val="center"/>
              <w:textAlignment w:val="top"/>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各1支</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秒表</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PC396</w:t>
            </w:r>
          </w:p>
        </w:tc>
        <w:tc>
          <w:tcPr>
            <w:tcW w:w="411"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120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r>
              <w:rPr>
                <w:rStyle w:val="43"/>
                <w:rFonts w:hint="eastAsia" w:ascii="宋体" w:hAnsi="宋体" w:eastAsia="宋体" w:cs="宋体"/>
                <w:color w:val="auto"/>
                <w:sz w:val="20"/>
                <w:szCs w:val="20"/>
                <w:highlight w:val="none"/>
                <w:lang w:bidi="ar"/>
              </w:rPr>
              <w:t>不少于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4"/>
                <w:rFonts w:hint="eastAsia" w:ascii="宋体" w:hAnsi="宋体" w:eastAsia="宋体" w:cs="宋体"/>
                <w:color w:val="auto"/>
                <w:sz w:val="20"/>
                <w:szCs w:val="20"/>
                <w:highlight w:val="none"/>
                <w:lang w:bidi="ar"/>
              </w:rPr>
              <w:t>2</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砝码</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50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膨胀值测定仪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XN-1</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钢丝间泌水率试验仪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砂浆搅拌机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SJD15</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强制式单卧轴砼搅拌机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SJD60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砼振动台</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ZH DG-80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高速压浆搅</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拌机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DGJ-150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砼贯入阻力仪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SGO-1200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160</w:t>
            </w:r>
          </w:p>
        </w:tc>
        <w:tc>
          <w:tcPr>
            <w:tcW w:w="519" w:type="pct"/>
            <w:vAlign w:val="top"/>
          </w:tcPr>
          <w:p>
            <w:pPr>
              <w:jc w:val="center"/>
              <w:rPr>
                <w:rFonts w:hint="eastAsia" w:ascii="宋体" w:hAnsi="宋体" w:eastAsia="宋体" w:cs="宋体"/>
                <w:i w:val="0"/>
                <w:color w:val="auto"/>
                <w:sz w:val="20"/>
                <w:szCs w:val="20"/>
                <w:highlight w:val="none"/>
                <w:u w:val="none"/>
                <w:lang w:eastAsia="zh-CN"/>
              </w:rPr>
            </w:pPr>
          </w:p>
        </w:tc>
        <w:tc>
          <w:tcPr>
            <w:tcW w:w="562" w:type="pct"/>
            <w:vAlign w:val="top"/>
          </w:tcPr>
          <w:p>
            <w:pPr>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含测针一套、三个带盖试样筒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砼含气量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GQC-1</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top"/>
          </w:tcPr>
          <w:p>
            <w:pPr>
              <w:jc w:val="center"/>
              <w:rPr>
                <w:rFonts w:hint="eastAsia" w:ascii="宋体" w:hAnsi="宋体" w:eastAsia="宋体" w:cs="宋体"/>
                <w:color w:val="auto"/>
                <w:sz w:val="20"/>
                <w:szCs w:val="20"/>
                <w:highlight w:val="none"/>
              </w:rPr>
            </w:pPr>
          </w:p>
        </w:tc>
        <w:tc>
          <w:tcPr>
            <w:tcW w:w="562" w:type="pct"/>
            <w:vAlign w:val="top"/>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抗渗试验仪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HP-4.0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top"/>
          </w:tcPr>
          <w:p>
            <w:pPr>
              <w:jc w:val="center"/>
              <w:rPr>
                <w:rFonts w:hint="eastAsia" w:ascii="宋体" w:hAnsi="宋体" w:eastAsia="宋体" w:cs="宋体"/>
                <w:i w:val="0"/>
                <w:color w:val="auto"/>
                <w:sz w:val="20"/>
                <w:szCs w:val="20"/>
                <w:highlight w:val="none"/>
                <w:u w:val="none"/>
                <w:lang w:eastAsia="zh-CN"/>
              </w:rPr>
            </w:pPr>
          </w:p>
        </w:tc>
        <w:tc>
          <w:tcPr>
            <w:tcW w:w="562" w:type="pct"/>
            <w:vAlign w:val="top"/>
          </w:tcPr>
          <w:p>
            <w:pPr>
              <w:jc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含套模</w:t>
            </w:r>
            <w:r>
              <w:rPr>
                <w:rFonts w:hint="eastAsia" w:ascii="宋体" w:hAnsi="宋体" w:eastAsia="宋体" w:cs="宋体"/>
                <w:i w:val="0"/>
                <w:color w:val="auto"/>
                <w:sz w:val="20"/>
                <w:szCs w:val="20"/>
                <w:highlight w:val="none"/>
                <w:u w:val="none"/>
                <w:lang w:val="en-US" w:eastAsia="zh-CN"/>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砂浆稠度仪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SC-145</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坍落度桶</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80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eastAsia="zh-CN"/>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含捣棒、标尺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泌水率桶</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混凝土抗折夹具</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砂浆抗压夹具</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kern w:val="0"/>
                <w:sz w:val="20"/>
                <w:szCs w:val="20"/>
                <w:highlight w:val="none"/>
                <w:u w:val="none"/>
                <w:lang w:val="en-US" w:eastAsia="zh-CN" w:bidi="ar"/>
              </w:rPr>
              <w:t>70.7X70.7mm</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维勃稠度仪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HVC-1</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59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千分表</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eastAsia" w:ascii="Times New Roman" w:hAnsi="Times New Roman" w:eastAsia="宋体"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1"/>
                <w:szCs w:val="21"/>
                <w:highlight w:val="none"/>
                <w:u w:val="none"/>
                <w:lang w:val="en-US" w:eastAsia="zh-CN" w:bidi="ar"/>
              </w:rPr>
              <w:t>0-1</w:t>
            </w:r>
            <w:r>
              <w:rPr>
                <w:rFonts w:hint="eastAsia" w:ascii="Times New Roman" w:hAnsi="Times New Roman" w:eastAsia="宋体" w:cs="Times New Roman"/>
                <w:i w:val="0"/>
                <w:color w:val="000000"/>
                <w:kern w:val="0"/>
                <w:sz w:val="21"/>
                <w:szCs w:val="21"/>
                <w:highlight w:val="none"/>
                <w:u w:val="none"/>
                <w:lang w:val="en-US" w:eastAsia="zh-CN" w:bidi="ar"/>
              </w:rPr>
              <w:t>）mm;</w:t>
            </w:r>
            <w:r>
              <w:rPr>
                <w:rFonts w:hint="default" w:ascii="Times New Roman" w:hAnsi="Times New Roman" w:eastAsia="宋体" w:cs="Times New Roman"/>
                <w:i w:val="0"/>
                <w:color w:val="000000"/>
                <w:kern w:val="0"/>
                <w:sz w:val="21"/>
                <w:szCs w:val="21"/>
                <w:highlight w:val="none"/>
                <w:u w:val="none"/>
                <w:lang w:val="en-US" w:eastAsia="zh-CN" w:bidi="ar"/>
              </w:rPr>
              <w:t xml:space="preserve"> 0.0</w:t>
            </w:r>
            <w:r>
              <w:rPr>
                <w:rFonts w:hint="eastAsia" w:ascii="Times New Roman" w:hAnsi="Times New Roman" w:eastAsia="宋体" w:cs="Times New Roman"/>
                <w:i w:val="0"/>
                <w:color w:val="000000"/>
                <w:kern w:val="0"/>
                <w:sz w:val="21"/>
                <w:szCs w:val="21"/>
                <w:highlight w:val="none"/>
                <w:u w:val="none"/>
                <w:lang w:val="en-US" w:eastAsia="zh-CN" w:bidi="ar"/>
              </w:rPr>
              <w:t>0</w:t>
            </w:r>
            <w:r>
              <w:rPr>
                <w:rFonts w:hint="default" w:ascii="Times New Roman" w:hAnsi="Times New Roman" w:eastAsia="宋体" w:cs="Times New Roman"/>
                <w:i w:val="0"/>
                <w:color w:val="000000"/>
                <w:kern w:val="0"/>
                <w:sz w:val="21"/>
                <w:szCs w:val="21"/>
                <w:highlight w:val="none"/>
                <w:u w:val="none"/>
                <w:lang w:val="en-US" w:eastAsia="zh-CN" w:bidi="ar"/>
              </w:rPr>
              <w:t>1mm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1</w:t>
            </w:r>
            <w:r>
              <w:rPr>
                <w:rStyle w:val="39"/>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30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2</w:t>
            </w:r>
            <w:r>
              <w:rPr>
                <w:rStyle w:val="43"/>
                <w:rFonts w:hint="eastAsia" w:ascii="宋体" w:hAnsi="宋体" w:eastAsia="宋体" w:cs="宋体"/>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2000kN压力机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DYE-2000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552</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100t万能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WE-1000B</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438</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30t万能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试验机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WES-300B</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372</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63</w:t>
            </w:r>
          </w:p>
        </w:tc>
        <w:tc>
          <w:tcPr>
            <w:tcW w:w="707" w:type="pct"/>
            <w:vAlign w:val="center"/>
          </w:tcPr>
          <w:p>
            <w:pPr>
              <w:keepNext w:val="0"/>
              <w:keepLines w:val="0"/>
              <w:widowControl/>
              <w:suppressLineNumbers w:val="0"/>
              <w:jc w:val="center"/>
              <w:textAlignment w:val="center"/>
              <w:rPr>
                <w:rStyle w:val="39"/>
                <w:rFonts w:hint="eastAsia" w:ascii="宋体" w:hAnsi="宋体" w:eastAsia="宋体" w:cs="宋体"/>
                <w:color w:val="auto"/>
                <w:sz w:val="20"/>
                <w:szCs w:val="20"/>
                <w:highlight w:val="none"/>
                <w:lang w:val="en-US" w:eastAsia="zh-CN" w:bidi="ar"/>
              </w:rPr>
            </w:pPr>
            <w:r>
              <w:rPr>
                <w:rFonts w:hint="eastAsia" w:ascii="宋体" w:hAnsi="宋体" w:eastAsia="宋体" w:cs="宋体"/>
                <w:i w:val="0"/>
                <w:color w:val="auto"/>
                <w:kern w:val="0"/>
                <w:sz w:val="20"/>
                <w:szCs w:val="20"/>
                <w:highlight w:val="none"/>
                <w:u w:val="none"/>
                <w:lang w:val="en-US" w:eastAsia="zh-CN" w:bidi="ar"/>
              </w:rPr>
              <w:t>10t</w:t>
            </w:r>
            <w:r>
              <w:rPr>
                <w:rStyle w:val="39"/>
                <w:rFonts w:hint="eastAsia" w:ascii="宋体" w:hAnsi="宋体" w:eastAsia="宋体" w:cs="宋体"/>
                <w:color w:val="auto"/>
                <w:sz w:val="20"/>
                <w:szCs w:val="20"/>
                <w:highlight w:val="none"/>
                <w:lang w:val="en-US" w:eastAsia="zh-CN" w:bidi="ar"/>
              </w:rPr>
              <w:t>万能</w:t>
            </w:r>
          </w:p>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Style w:val="39"/>
                <w:rFonts w:hint="eastAsia" w:ascii="宋体" w:hAnsi="宋体" w:eastAsia="宋体" w:cs="宋体"/>
                <w:color w:val="auto"/>
                <w:sz w:val="20"/>
                <w:szCs w:val="20"/>
                <w:highlight w:val="none"/>
                <w:lang w:val="en-US" w:eastAsia="zh-CN" w:bidi="ar"/>
              </w:rPr>
              <w:t>试验机</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WES-100B</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检定</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水泥抗折抗压一体机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DYE-300S</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750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lang w:eastAsia="zh-CN"/>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color w:val="auto"/>
                <w:sz w:val="20"/>
                <w:szCs w:val="20"/>
                <w:highlight w:val="none"/>
                <w:u w:val="none"/>
                <w:lang w:eastAsia="zh-CN"/>
              </w:rPr>
              <w:t>含抗压、抗折夹具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钢筋打点机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高温电阻炉</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SX4-10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酸度计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PSH-25</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highlight w:val="none"/>
                <w:lang w:eastAsia="zh-CN" w:bidi="ar"/>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eastAsia="zh-CN" w:bidi="ar"/>
              </w:rPr>
              <w:t>含复合电极不少于</w:t>
            </w:r>
            <w:r>
              <w:rPr>
                <w:rFonts w:hint="eastAsia" w:ascii="宋体" w:hAnsi="宋体" w:eastAsia="宋体" w:cs="宋体"/>
                <w:color w:val="auto"/>
                <w:kern w:val="0"/>
                <w:sz w:val="20"/>
                <w:szCs w:val="20"/>
                <w:highlight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智能恒温恒湿控制器</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HWS-SW50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69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拉拔仪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ML-20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230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回弹仪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ZC3-A</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252</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标准钢砧</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GZⅡ</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碳化深度测定仪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（0-8）mm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钢筋保护层厚度测定仪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GTJ-RBL</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270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74</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混凝土结构钢筋保护层厚度检测校准装置</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auto"/>
                <w:sz w:val="20"/>
                <w:szCs w:val="20"/>
                <w:highlight w:val="none"/>
                <w:u w:val="none"/>
                <w:lang w:val="en-US" w:eastAsia="zh-CN"/>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裂缝宽度</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监测仪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KON-KF</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270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公路工程质量检测尺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2米</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公路工程质量检测尺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3米</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泥浆比重计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NB-1</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79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泥浆粘度计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NC-1006</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含砂量计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NA-1</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摆式磨擦仪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BM-Ⅱ</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便携式红外测温仪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AR550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路面构造深度仪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PS-1</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180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路面渗水量测定仪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HDSS-Ⅱ</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连续式平整度测定仪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LXBP-5</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灌砂桶</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φ150mm、φ200mm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各1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贝克曼梁</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弯沉仪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　5.4m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轻型触探仪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89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重型触探仪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游标卡尺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0-300mm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36</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游标卡尺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0-200mm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36</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92</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游标卡尺</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0-500mm</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检定</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51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p>
        </w:tc>
        <w:tc>
          <w:tcPr>
            <w:tcW w:w="562"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60cm钢尺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42</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94</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Style w:val="39"/>
                <w:rFonts w:hint="eastAsia" w:ascii="宋体" w:hAnsi="宋体" w:eastAsia="宋体" w:cs="宋体"/>
                <w:color w:val="auto"/>
                <w:sz w:val="20"/>
                <w:szCs w:val="20"/>
                <w:highlight w:val="none"/>
                <w:lang w:val="en-US" w:eastAsia="zh-CN" w:bidi="ar"/>
              </w:rPr>
              <w:t>钢直尺</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100</w:t>
            </w:r>
            <w:r>
              <w:rPr>
                <w:rStyle w:val="39"/>
                <w:rFonts w:hint="eastAsia" w:ascii="宋体" w:hAnsi="宋体" w:eastAsia="宋体" w:cs="宋体"/>
                <w:color w:val="auto"/>
                <w:sz w:val="20"/>
                <w:szCs w:val="20"/>
                <w:highlight w:val="none"/>
                <w:lang w:val="en-US" w:eastAsia="zh-CN"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检定</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95</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Style w:val="39"/>
                <w:rFonts w:hint="eastAsia" w:ascii="宋体" w:hAnsi="宋体" w:eastAsia="宋体" w:cs="宋体"/>
                <w:color w:val="auto"/>
                <w:sz w:val="20"/>
                <w:szCs w:val="20"/>
                <w:highlight w:val="none"/>
                <w:lang w:val="en-US" w:eastAsia="zh-CN" w:bidi="ar"/>
              </w:rPr>
              <w:t>钢直尺</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30</w:t>
            </w:r>
            <w:r>
              <w:rPr>
                <w:rStyle w:val="39"/>
                <w:rFonts w:hint="eastAsia" w:ascii="宋体" w:hAnsi="宋体" w:eastAsia="宋体" w:cs="宋体"/>
                <w:color w:val="auto"/>
                <w:sz w:val="20"/>
                <w:szCs w:val="20"/>
                <w:highlight w:val="none"/>
                <w:lang w:val="en-US" w:eastAsia="zh-CN"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检定</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96</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Style w:val="39"/>
                <w:rFonts w:hint="eastAsia" w:ascii="宋体" w:hAnsi="宋体" w:eastAsia="宋体" w:cs="宋体"/>
                <w:color w:val="auto"/>
                <w:sz w:val="20"/>
                <w:szCs w:val="20"/>
                <w:highlight w:val="none"/>
                <w:lang w:val="en-US" w:eastAsia="zh-CN" w:bidi="ar"/>
              </w:rPr>
              <w:t>坡度尺</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5米卷尺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钢卷尺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50m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185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99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游标万能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角度尺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0-320度</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42</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水银温度计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174</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至少包含：</w:t>
            </w:r>
            <w:r>
              <w:rPr>
                <w:rStyle w:val="44"/>
                <w:rFonts w:hint="eastAsia" w:ascii="宋体" w:hAnsi="宋体" w:eastAsia="宋体" w:cs="宋体"/>
                <w:color w:val="auto"/>
                <w:sz w:val="20"/>
                <w:szCs w:val="20"/>
                <w:highlight w:val="none"/>
                <w:lang w:bidi="ar"/>
              </w:rPr>
              <w:t>50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0.1</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3</w:t>
            </w:r>
            <w:r>
              <w:rPr>
                <w:rStyle w:val="43"/>
                <w:rFonts w:hint="eastAsia" w:ascii="宋体" w:hAnsi="宋体" w:eastAsia="宋体" w:cs="宋体"/>
                <w:color w:val="auto"/>
                <w:sz w:val="20"/>
                <w:szCs w:val="20"/>
                <w:highlight w:val="none"/>
                <w:lang w:bidi="ar"/>
              </w:rPr>
              <w:t>支；</w:t>
            </w:r>
            <w:r>
              <w:rPr>
                <w:rStyle w:val="44"/>
                <w:rFonts w:hint="eastAsia" w:ascii="宋体" w:hAnsi="宋体" w:eastAsia="宋体" w:cs="宋体"/>
                <w:color w:val="auto"/>
                <w:sz w:val="20"/>
                <w:szCs w:val="20"/>
                <w:highlight w:val="none"/>
                <w:lang w:bidi="ar"/>
              </w:rPr>
              <w:t>100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1</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Fonts w:hint="eastAsia" w:ascii="宋体" w:hAnsi="宋体" w:eastAsia="宋体" w:cs="宋体"/>
                <w:i w:val="0"/>
                <w:color w:val="FF0000"/>
                <w:kern w:val="0"/>
                <w:sz w:val="21"/>
                <w:szCs w:val="21"/>
                <w:highlight w:val="none"/>
                <w:u w:val="none"/>
                <w:lang w:val="en-US" w:eastAsia="zh-CN" w:bidi="ar"/>
              </w:rPr>
              <w:t>5</w:t>
            </w:r>
            <w:r>
              <w:rPr>
                <w:rStyle w:val="43"/>
                <w:rFonts w:hint="eastAsia" w:ascii="宋体" w:hAnsi="宋体" w:eastAsia="宋体" w:cs="宋体"/>
                <w:color w:val="auto"/>
                <w:sz w:val="20"/>
                <w:szCs w:val="20"/>
                <w:highlight w:val="none"/>
                <w:lang w:bidi="ar"/>
              </w:rPr>
              <w:t>支；</w:t>
            </w:r>
            <w:r>
              <w:rPr>
                <w:rStyle w:val="44"/>
                <w:rFonts w:hint="eastAsia" w:ascii="宋体" w:hAnsi="宋体" w:eastAsia="宋体" w:cs="宋体"/>
                <w:color w:val="auto"/>
                <w:sz w:val="20"/>
                <w:szCs w:val="20"/>
                <w:highlight w:val="none"/>
                <w:lang w:bidi="ar"/>
              </w:rPr>
              <w:t>200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2</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5</w:t>
            </w:r>
            <w:r>
              <w:rPr>
                <w:rStyle w:val="43"/>
                <w:rFonts w:hint="eastAsia" w:ascii="宋体" w:hAnsi="宋体" w:eastAsia="宋体" w:cs="宋体"/>
                <w:color w:val="auto"/>
                <w:sz w:val="20"/>
                <w:szCs w:val="20"/>
                <w:highlight w:val="none"/>
                <w:lang w:bidi="ar"/>
              </w:rPr>
              <w:t>支；</w:t>
            </w:r>
            <w:r>
              <w:rPr>
                <w:rStyle w:val="44"/>
                <w:rFonts w:hint="eastAsia" w:ascii="宋体" w:hAnsi="宋体" w:eastAsia="宋体" w:cs="宋体"/>
                <w:color w:val="auto"/>
                <w:sz w:val="20"/>
                <w:szCs w:val="20"/>
                <w:highlight w:val="none"/>
                <w:lang w:bidi="ar"/>
              </w:rPr>
              <w:t>300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2</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5</w:t>
            </w:r>
            <w:r>
              <w:rPr>
                <w:rStyle w:val="43"/>
                <w:rFonts w:hint="eastAsia" w:ascii="宋体" w:hAnsi="宋体" w:eastAsia="宋体" w:cs="宋体"/>
                <w:color w:val="auto"/>
                <w:sz w:val="20"/>
                <w:szCs w:val="20"/>
                <w:highlight w:val="none"/>
                <w:lang w:bidi="ar"/>
              </w:rPr>
              <w:t>支；</w:t>
            </w:r>
            <w:r>
              <w:rPr>
                <w:rStyle w:val="44"/>
                <w:rFonts w:hint="eastAsia" w:ascii="宋体" w:hAnsi="宋体" w:eastAsia="宋体" w:cs="宋体"/>
                <w:color w:val="auto"/>
                <w:sz w:val="20"/>
                <w:szCs w:val="20"/>
                <w:highlight w:val="none"/>
                <w:lang w:bidi="ar"/>
              </w:rPr>
              <w:t>500</w:t>
            </w:r>
            <w:r>
              <w:rPr>
                <w:rStyle w:val="45"/>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分值度：</w:t>
            </w:r>
            <w:r>
              <w:rPr>
                <w:rStyle w:val="44"/>
                <w:rFonts w:hint="eastAsia" w:ascii="宋体" w:hAnsi="宋体" w:eastAsia="宋体" w:cs="宋体"/>
                <w:color w:val="auto"/>
                <w:sz w:val="20"/>
                <w:szCs w:val="20"/>
                <w:highlight w:val="none"/>
                <w:lang w:bidi="ar"/>
              </w:rPr>
              <w:t>2</w:t>
            </w:r>
            <w:r>
              <w:rPr>
                <w:rStyle w:val="45"/>
                <w:rFonts w:hint="eastAsia" w:ascii="宋体" w:hAnsi="宋体" w:eastAsia="宋体" w:cs="宋体"/>
                <w:color w:val="auto"/>
                <w:sz w:val="20"/>
                <w:szCs w:val="20"/>
                <w:highlight w:val="none"/>
                <w:lang w:bidi="ar"/>
              </w:rPr>
              <w:t>℃</w:t>
            </w:r>
            <w:r>
              <w:rPr>
                <w:rStyle w:val="43"/>
                <w:rFonts w:hint="eastAsia" w:ascii="宋体" w:hAnsi="宋体" w:eastAsia="宋体" w:cs="宋体"/>
                <w:color w:val="auto"/>
                <w:sz w:val="20"/>
                <w:szCs w:val="20"/>
                <w:highlight w:val="none"/>
                <w:lang w:bidi="ar"/>
              </w:rPr>
              <w:t>）</w:t>
            </w:r>
            <w:r>
              <w:rPr>
                <w:rStyle w:val="44"/>
                <w:rFonts w:hint="eastAsia" w:ascii="宋体" w:hAnsi="宋体" w:eastAsia="宋体" w:cs="宋体"/>
                <w:color w:val="auto"/>
                <w:sz w:val="20"/>
                <w:szCs w:val="20"/>
                <w:highlight w:val="none"/>
                <w:lang w:bidi="ar"/>
              </w:rPr>
              <w:t>1</w:t>
            </w:r>
            <w:r>
              <w:rPr>
                <w:rStyle w:val="43"/>
                <w:rFonts w:hint="eastAsia" w:ascii="宋体" w:hAnsi="宋体" w:eastAsia="宋体" w:cs="宋体"/>
                <w:color w:val="auto"/>
                <w:sz w:val="20"/>
                <w:szCs w:val="20"/>
                <w:highlight w:val="none"/>
                <w:lang w:bidi="ar"/>
              </w:rPr>
              <w:t>支，工作用玻璃液体温度计</w:t>
            </w:r>
            <w:r>
              <w:rPr>
                <w:rStyle w:val="44"/>
                <w:rFonts w:hint="eastAsia" w:ascii="宋体" w:hAnsi="宋体" w:eastAsia="宋体" w:cs="宋体"/>
                <w:color w:val="auto"/>
                <w:sz w:val="20"/>
                <w:szCs w:val="20"/>
                <w:highlight w:val="none"/>
                <w:lang w:bidi="ar"/>
              </w:rPr>
              <w:t>1</w:t>
            </w:r>
            <w:r>
              <w:rPr>
                <w:rStyle w:val="43"/>
                <w:rFonts w:hint="eastAsia" w:ascii="宋体" w:hAnsi="宋体" w:eastAsia="宋体" w:cs="宋体"/>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塞尺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18</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片状塞尺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刀口角尺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42</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千分尺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检定</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18</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干燥箱</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HG30/14</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220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沥青恩格拉粘度计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WNE-1C</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eastAsia="zh-CN"/>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含接样瓶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石油产品</w:t>
            </w:r>
            <w:r>
              <w:rPr>
                <w:rFonts w:hint="eastAsia" w:ascii="宋体" w:hAnsi="宋体" w:eastAsia="宋体" w:cs="宋体"/>
                <w:color w:val="auto"/>
                <w:kern w:val="0"/>
                <w:sz w:val="20"/>
                <w:szCs w:val="20"/>
                <w:highlight w:val="none"/>
                <w:lang w:val="en-US" w:eastAsia="zh-CN" w:bidi="ar"/>
              </w:rPr>
              <w:t>运动</w:t>
            </w:r>
            <w:r>
              <w:rPr>
                <w:rFonts w:hint="eastAsia" w:ascii="宋体" w:hAnsi="宋体" w:eastAsia="宋体" w:cs="宋体"/>
                <w:color w:val="auto"/>
                <w:kern w:val="0"/>
                <w:sz w:val="20"/>
                <w:szCs w:val="20"/>
                <w:highlight w:val="none"/>
                <w:lang w:bidi="ar"/>
              </w:rPr>
              <w:t xml:space="preserve">粘度测定器  </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SYD-265E</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108</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沥青动力粘度试验仪</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SYD-0620B-1</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109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电脑数控软化点仪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SYD-2808F</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top"/>
          </w:tcPr>
          <w:p>
            <w:pPr>
              <w:jc w:val="center"/>
              <w:rPr>
                <w:rFonts w:hint="eastAsia" w:eastAsia="宋体" w:cs="Times New Roman"/>
                <w:i w:val="0"/>
                <w:color w:val="000000" w:themeColor="text1"/>
                <w:sz w:val="21"/>
                <w:szCs w:val="21"/>
                <w:highlight w:val="none"/>
                <w:u w:val="none"/>
                <w:lang w:eastAsia="zh-CN"/>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含环球配件不少于</w:t>
            </w:r>
            <w:r>
              <w:rPr>
                <w:rFonts w:hint="eastAsia" w:eastAsia="宋体" w:cs="Times New Roman"/>
                <w:i w:val="0"/>
                <w:color w:val="000000" w:themeColor="text1"/>
                <w:sz w:val="21"/>
                <w:szCs w:val="21"/>
                <w:highlight w:val="none"/>
                <w:u w:val="none"/>
                <w:lang w:val="en-US" w:eastAsia="zh-CN"/>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沥青针入度测定仪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SZR-6</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top"/>
          </w:tcPr>
          <w:p>
            <w:pPr>
              <w:jc w:val="center"/>
              <w:rPr>
                <w:rFonts w:hint="eastAsia" w:eastAsia="宋体" w:cs="Times New Roman"/>
                <w:i w:val="0"/>
                <w:color w:val="000000" w:themeColor="text1"/>
                <w:sz w:val="21"/>
                <w:szCs w:val="21"/>
                <w:highlight w:val="none"/>
                <w:u w:val="none"/>
                <w:lang w:val="en-US" w:eastAsia="zh-CN"/>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eastAsia" w:eastAsia="宋体" w:cs="Times New Roman"/>
                <w:i w:val="0"/>
                <w:color w:val="000000" w:themeColor="text1"/>
                <w:sz w:val="21"/>
                <w:szCs w:val="21"/>
                <w:highlight w:val="none"/>
                <w:u w:val="none"/>
                <w:lang w:val="en-US" w:eastAsia="zh-CN"/>
                <w14:textFill>
                  <w14:solidFill>
                    <w14:schemeClr w14:val="tx1"/>
                  </w14:solidFill>
                </w14:textFill>
              </w:rPr>
              <w:t>含试样皿两个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低温沥青</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延度仪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LYY-7A</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沥青旋转薄膜烘箱</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XH-85</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含盛样瓶</w:t>
            </w:r>
            <w:r>
              <w:rPr>
                <w:rFonts w:hint="eastAsia" w:ascii="宋体" w:hAnsi="宋体" w:eastAsia="宋体" w:cs="宋体"/>
                <w:color w:val="000000" w:themeColor="text1"/>
                <w:sz w:val="20"/>
                <w:szCs w:val="20"/>
                <w:highlight w:val="none"/>
                <w:lang w:val="en-US" w:eastAsia="zh-CN"/>
                <w14:textFill>
                  <w14:solidFill>
                    <w14:schemeClr w14:val="tx1"/>
                  </w14:solidFill>
                </w14:textFill>
              </w:rPr>
              <w:t>8支、盘4个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布氏旋转</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粘度计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NDJ-1C</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lang w:eastAsia="zh-CN"/>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含转子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克利夫兰开口闪点试验器</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SLD-3536</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eastAsia="宋体" w:cs="Times New Roman"/>
                <w:i w:val="0"/>
                <w:color w:val="000000" w:themeColor="text1"/>
                <w:sz w:val="21"/>
                <w:szCs w:val="21"/>
                <w:highlight w:val="none"/>
                <w:u w:val="none"/>
                <w:lang w:eastAsia="zh-CN"/>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eastAsia="宋体" w:cs="Times New Roman"/>
                <w:i w:val="0"/>
                <w:color w:val="000000" w:themeColor="text1"/>
                <w:sz w:val="21"/>
                <w:szCs w:val="21"/>
                <w:highlight w:val="none"/>
                <w:u w:val="none"/>
                <w:lang w:eastAsia="zh-CN"/>
                <w14:textFill>
                  <w14:solidFill>
                    <w14:schemeClr w14:val="tx1"/>
                  </w14:solidFill>
                </w14:textFill>
              </w:rPr>
              <w:t>含盛样皿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电子恒温水箱</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CF-C</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116</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低温恒温水浴</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HWY-1</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低温试验箱</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DW-25</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离子电荷仪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DH48S</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119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沥青混合料拌和机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SLHB-Ⅱ</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自动马歇尔试件击实仪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MJ-IZ</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数显恒温水浴</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CF-B</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r>
              <w:rPr>
                <w:rStyle w:val="39"/>
                <w:rFonts w:hint="eastAsia" w:ascii="宋体" w:hAnsi="宋体" w:eastAsia="宋体" w:cs="宋体"/>
                <w:color w:val="000000" w:themeColor="text1"/>
                <w:sz w:val="20"/>
                <w:szCs w:val="20"/>
                <w:highlight w:val="none"/>
                <w:lang w:val="en-US" w:eastAsia="zh-CN" w:bidi="ar"/>
                <w14:textFill>
                  <w14:solidFill>
                    <w14:schemeClr w14:val="tx1"/>
                  </w14:solidFill>
                </w14:textFill>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最大理论</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密度仪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HCM-2012</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电动重型击实仪</w:t>
            </w:r>
          </w:p>
        </w:tc>
        <w:tc>
          <w:tcPr>
            <w:tcW w:w="1601"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标准全自动马歇尔稳定度仪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DF</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车辙试验成型仪（轮碾成型机）</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SSXCX-1</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干燥箱</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500*600*700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220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车辙试验仪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SSXCZ-6</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128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燃烧法沥青含量分析仪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HYRS-6</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210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129</w:t>
            </w:r>
          </w:p>
        </w:tc>
        <w:tc>
          <w:tcPr>
            <w:tcW w:w="707"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沥青抽提仪</w:t>
            </w:r>
          </w:p>
        </w:tc>
        <w:tc>
          <w:tcPr>
            <w:tcW w:w="160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DLC-3</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玻璃器皿</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个</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40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val="en-US" w:eastAsia="zh-CN"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lang w:eastAsia="zh-CN"/>
              </w:rPr>
            </w:pPr>
            <w:r>
              <w:rPr>
                <w:rStyle w:val="43"/>
                <w:rFonts w:hint="eastAsia" w:ascii="宋体" w:hAnsi="宋体" w:eastAsia="宋体" w:cs="宋体"/>
                <w:color w:val="auto"/>
                <w:sz w:val="20"/>
                <w:szCs w:val="20"/>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超声波钻孔孔壁检测仪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DM-604</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276</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基桩动测仪/低应变仪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RS-(W）P</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348</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金属超声</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探伤仪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便携式磁粉探伤仪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300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扭力扳手</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60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逆反射标线测量仪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FB-94</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500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标线测厚仪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ZMM5000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涂层测厚仪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TT220</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150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139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附着力检测仪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(液压型)</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激光测距仪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GLM 250VF</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台</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砼抗折试模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150mm*150mm* 550mm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120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砼弹性模量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150mm*150mm*300mm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120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砼抗压试模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150mm*150mm*150mm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520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24</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144</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砂浆试模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70.7mm*70.7mm*70.7mm/3个/联</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120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145</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抗渗试模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175*185*150mm</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120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146</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水泥胶砂试模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40mm*40mm*160mm/3个/联</w:t>
            </w:r>
          </w:p>
        </w:tc>
        <w:tc>
          <w:tcPr>
            <w:tcW w:w="411"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230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8</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147</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无侧限试模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φ150*230mm</w:t>
            </w:r>
          </w:p>
        </w:tc>
        <w:tc>
          <w:tcPr>
            <w:tcW w:w="411"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290</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13</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148</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沥青混合料标准马歇尔试模</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φ101.6*87mm</w:t>
            </w:r>
          </w:p>
        </w:tc>
        <w:tc>
          <w:tcPr>
            <w:tcW w:w="411"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175</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8</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149</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环刀</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φ70*52mm /</w:t>
            </w:r>
            <w:r>
              <w:rPr>
                <w:rFonts w:hint="eastAsia" w:ascii="宋体" w:hAnsi="宋体" w:eastAsia="宋体" w:cs="宋体"/>
                <w:color w:val="auto"/>
                <w:kern w:val="0"/>
                <w:sz w:val="20"/>
                <w:szCs w:val="20"/>
                <w:highlight w:val="none"/>
                <w:lang w:eastAsia="zh-CN" w:bidi="ar"/>
              </w:rPr>
              <w:t>或其他型号</w:t>
            </w:r>
          </w:p>
        </w:tc>
        <w:tc>
          <w:tcPr>
            <w:tcW w:w="411"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105</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eastAsia" w:ascii="宋体" w:hAnsi="宋体" w:eastAsia="宋体" w:cs="宋体"/>
                <w:color w:val="auto"/>
                <w:sz w:val="20"/>
                <w:szCs w:val="20"/>
                <w:highlight w:val="none"/>
                <w:lang w:bidi="ar"/>
              </w:rPr>
            </w:pPr>
          </w:p>
        </w:tc>
        <w:tc>
          <w:tcPr>
            <w:tcW w:w="5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Style w:val="43"/>
                <w:rFonts w:hint="eastAsia" w:ascii="宋体" w:hAnsi="宋体" w:eastAsia="宋体" w:cs="宋体"/>
                <w:color w:val="auto"/>
                <w:sz w:val="20"/>
                <w:szCs w:val="20"/>
                <w:highlight w:val="none"/>
                <w:lang w:bidi="ar"/>
              </w:rPr>
              <w:t>不少于</w:t>
            </w:r>
            <w:r>
              <w:rPr>
                <w:rStyle w:val="44"/>
                <w:rFonts w:hint="eastAsia" w:ascii="宋体" w:hAnsi="宋体" w:eastAsia="宋体" w:cs="宋体"/>
                <w:color w:val="auto"/>
                <w:sz w:val="20"/>
                <w:szCs w:val="20"/>
                <w:highlight w:val="none"/>
                <w:lang w:bidi="ar"/>
              </w:rPr>
              <w:t>6</w:t>
            </w:r>
            <w:r>
              <w:rPr>
                <w:rStyle w:val="43"/>
                <w:rFonts w:hint="eastAsia" w:ascii="宋体" w:hAnsi="宋体" w:eastAsia="宋体" w:cs="宋体"/>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150</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容积升</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1-30L</w:t>
            </w:r>
          </w:p>
        </w:tc>
        <w:tc>
          <w:tcPr>
            <w:tcW w:w="411"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color w:val="auto"/>
                <w:kern w:val="0"/>
                <w:sz w:val="20"/>
                <w:szCs w:val="20"/>
                <w:highlight w:val="none"/>
                <w:u w:val="none"/>
                <w:lang w:val="en-US" w:eastAsia="zh-CN" w:bidi="ar"/>
              </w:rPr>
              <w:t>1</w:t>
            </w:r>
            <w:r>
              <w:rPr>
                <w:rStyle w:val="39"/>
                <w:rFonts w:hint="eastAsia" w:ascii="宋体" w:hAnsi="宋体" w:eastAsia="宋体" w:cs="宋体"/>
                <w:color w:val="auto"/>
                <w:sz w:val="20"/>
                <w:szCs w:val="20"/>
                <w:highlight w:val="none"/>
                <w:lang w:val="en-US" w:eastAsia="zh-CN" w:bidi="ar"/>
              </w:rPr>
              <w:t>套</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115</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151</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表面振动</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压实仪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BZYS-4212</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rPr>
              <w:t>1台</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410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152</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沥青砼劈裂</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夹具</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rPr>
              <w:t>1套</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190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2"/>
                <w:szCs w:val="22"/>
                <w:u w:val="none"/>
                <w:lang w:val="en-US" w:eastAsia="zh-CN" w:bidi="ar"/>
              </w:rPr>
              <w:t>153</w:t>
            </w:r>
          </w:p>
        </w:tc>
        <w:tc>
          <w:tcPr>
            <w:tcW w:w="707"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旋转压实仪</w:t>
            </w:r>
          </w:p>
        </w:tc>
        <w:tc>
          <w:tcPr>
            <w:tcW w:w="160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76-B0252ICI</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rPr>
              <w:t>1台</w:t>
            </w:r>
          </w:p>
        </w:tc>
        <w:tc>
          <w:tcPr>
            <w:tcW w:w="41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300</w:t>
            </w:r>
          </w:p>
        </w:tc>
        <w:tc>
          <w:tcPr>
            <w:tcW w:w="519"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p>
        </w:tc>
        <w:tc>
          <w:tcPr>
            <w:tcW w:w="562"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砼轴心抗压强度试模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（150*150*300）mm</w:t>
            </w:r>
          </w:p>
        </w:tc>
        <w:tc>
          <w:tcPr>
            <w:tcW w:w="411" w:type="pct"/>
            <w:noWrap/>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noWrap/>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519"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62"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不少于6</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70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压浆剂抗压塑料三联</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试模</w:t>
            </w:r>
          </w:p>
        </w:tc>
        <w:tc>
          <w:tcPr>
            <w:tcW w:w="160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40mm*40mm*160mm/</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r>
              <w:rPr>
                <w:rStyle w:val="39"/>
                <w:color w:val="auto"/>
                <w:highlight w:val="none"/>
                <w:lang w:val="en-US" w:eastAsia="zh-CN" w:bidi="ar"/>
              </w:rPr>
              <w:t>个</w:t>
            </w:r>
            <w:r>
              <w:rPr>
                <w:rFonts w:hint="default" w:ascii="Times New Roman" w:hAnsi="Times New Roman" w:eastAsia="宋体" w:cs="Times New Roman"/>
                <w:i w:val="0"/>
                <w:color w:val="auto"/>
                <w:kern w:val="0"/>
                <w:sz w:val="21"/>
                <w:szCs w:val="21"/>
                <w:highlight w:val="none"/>
                <w:u w:val="none"/>
                <w:lang w:val="en-US" w:eastAsia="zh-CN" w:bidi="ar"/>
              </w:rPr>
              <w:t>/</w:t>
            </w:r>
            <w:r>
              <w:rPr>
                <w:rStyle w:val="39"/>
                <w:color w:val="auto"/>
                <w:highlight w:val="none"/>
                <w:lang w:val="en-US" w:eastAsia="zh-CN" w:bidi="ar"/>
              </w:rPr>
              <w:t>联</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519"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不少于8</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70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水泥软练</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试模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（40*40*160）mm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519"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不少于8</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无侧限试模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（150*150）mm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290</w:t>
            </w:r>
          </w:p>
        </w:tc>
        <w:tc>
          <w:tcPr>
            <w:tcW w:w="519"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不少于13</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CBR试模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（150*150）mm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519"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w:t>
            </w:r>
            <w:r>
              <w:rPr>
                <w:rFonts w:hint="eastAsia" w:eastAsia="宋体" w:cs="Times New Roman"/>
                <w:i w:val="0"/>
                <w:color w:val="auto"/>
                <w:kern w:val="0"/>
                <w:sz w:val="21"/>
                <w:szCs w:val="21"/>
                <w:highlight w:val="none"/>
                <w:u w:val="none"/>
                <w:lang w:val="en-US" w:eastAsia="zh-CN" w:bidi="ar"/>
              </w:rPr>
              <w:t>9</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车辙试模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300mm*300mm*50mm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150</w:t>
            </w:r>
          </w:p>
        </w:tc>
        <w:tc>
          <w:tcPr>
            <w:tcW w:w="519"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不少于</w:t>
            </w:r>
            <w:r>
              <w:rPr>
                <w:rFonts w:hint="eastAsia" w:eastAsia="宋体"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车辙试模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（300*300*80）mm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150</w:t>
            </w:r>
          </w:p>
        </w:tc>
        <w:tc>
          <w:tcPr>
            <w:tcW w:w="519"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不少于</w:t>
            </w:r>
            <w:r>
              <w:rPr>
                <w:rFonts w:hint="eastAsia" w:eastAsia="宋体"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车辙试模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（300*300*</w:t>
            </w:r>
            <w:r>
              <w:rPr>
                <w:rFonts w:hint="eastAsia" w:eastAsia="宋体" w:cs="Times New Roman"/>
                <w:i w:val="0"/>
                <w:color w:val="auto"/>
                <w:kern w:val="0"/>
                <w:sz w:val="21"/>
                <w:szCs w:val="21"/>
                <w:highlight w:val="none"/>
                <w:u w:val="none"/>
                <w:lang w:val="en-US" w:eastAsia="zh-CN" w:bidi="ar"/>
              </w:rPr>
              <w:t>10</w:t>
            </w:r>
            <w:r>
              <w:rPr>
                <w:rFonts w:hint="default" w:ascii="Times New Roman" w:hAnsi="Times New Roman" w:eastAsia="宋体" w:cs="Times New Roman"/>
                <w:i w:val="0"/>
                <w:color w:val="auto"/>
                <w:kern w:val="0"/>
                <w:sz w:val="21"/>
                <w:szCs w:val="21"/>
                <w:highlight w:val="none"/>
                <w:u w:val="none"/>
                <w:lang w:val="en-US" w:eastAsia="zh-CN" w:bidi="ar"/>
              </w:rPr>
              <w:t>0）mm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150</w:t>
            </w:r>
          </w:p>
        </w:tc>
        <w:tc>
          <w:tcPr>
            <w:tcW w:w="519"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不少于</w:t>
            </w:r>
            <w:r>
              <w:rPr>
                <w:rFonts w:hint="eastAsia" w:eastAsia="宋体"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70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饱和面干</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试模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519" w:type="pct"/>
            <w:vAlign w:val="top"/>
          </w:tcPr>
          <w:p>
            <w:pPr>
              <w:keepNext w:val="0"/>
              <w:keepLines w:val="0"/>
              <w:widowControl/>
              <w:suppressLineNumbers w:val="0"/>
              <w:jc w:val="center"/>
              <w:textAlignment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喷射试模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（450*350*120）mm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Calibri" w:hAnsi="Calibri" w:eastAsia="宋体" w:cs="Calibri"/>
                <w:i w:val="0"/>
                <w:iCs w:val="0"/>
                <w:color w:val="000000"/>
                <w:kern w:val="0"/>
                <w:sz w:val="21"/>
                <w:szCs w:val="21"/>
                <w:u w:val="none"/>
                <w:lang w:val="en-US" w:eastAsia="zh-CN" w:bidi="ar"/>
              </w:rPr>
              <w:t>120</w:t>
            </w:r>
          </w:p>
        </w:tc>
        <w:tc>
          <w:tcPr>
            <w:tcW w:w="519"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不少于6</w:t>
            </w:r>
            <w:r>
              <w:rPr>
                <w:rStyle w:val="39"/>
                <w:color w:val="auto"/>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水泥浆常压泌水率筒</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（Φ50×500）mm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18"/>
                <w:szCs w:val="18"/>
                <w:highlight w:val="none"/>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85</w:t>
            </w:r>
          </w:p>
        </w:tc>
        <w:tc>
          <w:tcPr>
            <w:tcW w:w="519" w:type="pct"/>
            <w:vAlign w:val="top"/>
          </w:tcPr>
          <w:p>
            <w:pPr>
              <w:jc w:val="center"/>
              <w:rPr>
                <w:rFonts w:hint="eastAsia" w:eastAsia="宋体" w:cs="Times New Roman"/>
                <w:i w:val="0"/>
                <w:color w:val="auto"/>
                <w:sz w:val="21"/>
                <w:szCs w:val="21"/>
                <w:highlight w:val="none"/>
                <w:u w:val="none"/>
                <w:lang w:val="en-US" w:eastAsia="zh-CN"/>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eastAsia="宋体" w:cs="Times New Roman"/>
                <w:i w:val="0"/>
                <w:color w:val="auto"/>
                <w:sz w:val="21"/>
                <w:szCs w:val="21"/>
                <w:highlight w:val="none"/>
                <w:u w:val="none"/>
                <w:lang w:val="en-US" w:eastAsia="zh-CN"/>
              </w:rPr>
              <w:t>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压力泌水率试验仪</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（压力表）</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YMS-1</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砂浆分层度测定仪</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519" w:type="pct"/>
            <w:vAlign w:val="top"/>
          </w:tcPr>
          <w:p>
            <w:pPr>
              <w:jc w:val="center"/>
              <w:rPr>
                <w:rFonts w:hint="eastAsia" w:eastAsia="宋体" w:cs="Times New Roman"/>
                <w:i w:val="0"/>
                <w:color w:val="auto"/>
                <w:sz w:val="21"/>
                <w:szCs w:val="21"/>
                <w:highlight w:val="none"/>
                <w:u w:val="none"/>
                <w:lang w:val="en-US" w:eastAsia="zh-CN"/>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eastAsia="宋体" w:cs="Times New Roman"/>
                <w:i w:val="0"/>
                <w:color w:val="auto"/>
                <w:sz w:val="21"/>
                <w:szCs w:val="21"/>
                <w:highlight w:val="none"/>
                <w:u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混凝土弹性模量测定仪</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TM-Ⅱ</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200</w:t>
            </w:r>
          </w:p>
        </w:tc>
        <w:tc>
          <w:tcPr>
            <w:tcW w:w="519" w:type="pct"/>
            <w:vAlign w:val="top"/>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含表架和2只千分表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钢筋保护层测定仪</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标准块</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SG-101</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水平尺</w:t>
            </w:r>
          </w:p>
        </w:tc>
        <w:tc>
          <w:tcPr>
            <w:tcW w:w="1601" w:type="pct"/>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18"/>
                <w:szCs w:val="18"/>
                <w:highlight w:val="none"/>
                <w:u w:val="none"/>
                <w:lang w:val="en-US" w:eastAsia="zh-CN" w:bidi="ar-SA"/>
              </w:rPr>
            </w:pPr>
            <w:r>
              <w:rPr>
                <w:rFonts w:hint="eastAsia" w:ascii="微软雅黑" w:hAnsi="微软雅黑" w:eastAsia="微软雅黑" w:cs="微软雅黑"/>
                <w:i w:val="0"/>
                <w:iCs w:val="0"/>
                <w:color w:val="auto"/>
                <w:kern w:val="0"/>
                <w:sz w:val="18"/>
                <w:szCs w:val="18"/>
                <w:highlight w:val="none"/>
                <w:u w:val="none"/>
                <w:lang w:val="en-US" w:eastAsia="zh-CN" w:bidi="ar"/>
              </w:rPr>
              <w:t>GWP-39A</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85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热电偶</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温度计</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（-50～300）℃</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90</w:t>
            </w:r>
          </w:p>
        </w:tc>
        <w:tc>
          <w:tcPr>
            <w:tcW w:w="51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细集料堆积密度漏斗</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51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粗集料堆积密度漏斗</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51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集料坚固性试验仪</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JGY一3</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230</w:t>
            </w:r>
          </w:p>
        </w:tc>
        <w:tc>
          <w:tcPr>
            <w:tcW w:w="519"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标准沥青测试针</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519" w:type="pct"/>
            <w:vAlign w:val="top"/>
          </w:tcPr>
          <w:p>
            <w:pPr>
              <w:jc w:val="both"/>
              <w:rPr>
                <w:rFonts w:hint="eastAsia" w:ascii="宋体" w:hAnsi="宋体" w:eastAsia="宋体" w:cs="宋体"/>
                <w:i w:val="0"/>
                <w:color w:val="auto"/>
                <w:sz w:val="21"/>
                <w:szCs w:val="21"/>
                <w:highlight w:val="none"/>
                <w:u w:val="none"/>
                <w:lang w:eastAsia="zh-CN"/>
              </w:rPr>
            </w:pPr>
          </w:p>
        </w:tc>
        <w:tc>
          <w:tcPr>
            <w:tcW w:w="562" w:type="pct"/>
            <w:vAlign w:val="top"/>
          </w:tcPr>
          <w:p>
            <w:pPr>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eastAsia="zh-CN"/>
              </w:rPr>
              <w:t>不少于</w:t>
            </w:r>
            <w:r>
              <w:rPr>
                <w:rFonts w:hint="eastAsia" w:ascii="宋体" w:hAnsi="宋体" w:eastAsia="宋体" w:cs="宋体"/>
                <w:i w:val="0"/>
                <w:color w:val="auto"/>
                <w:sz w:val="21"/>
                <w:szCs w:val="21"/>
                <w:highlight w:val="none"/>
                <w:u w:val="none"/>
                <w:lang w:val="en-US" w:eastAsia="zh-CN"/>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延度铜模</w:t>
            </w:r>
          </w:p>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（八字模）</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519" w:type="pct"/>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不少于6个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延度铜模</w:t>
            </w:r>
          </w:p>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（一字模）</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519" w:type="pct"/>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不少于6个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真空减压毛细管</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常用型号</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c>
          <w:tcPr>
            <w:tcW w:w="519" w:type="pct"/>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62" w:type="pct"/>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计量单位上海院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沥青储存稳定性仪</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r>
              <w:rPr>
                <w:rStyle w:val="39"/>
                <w:rFonts w:hint="eastAsia" w:ascii="宋体" w:hAnsi="宋体" w:eastAsia="宋体" w:cs="宋体"/>
                <w:color w:val="auto"/>
                <w:sz w:val="21"/>
                <w:szCs w:val="21"/>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i w:val="0"/>
                <w:color w:val="auto"/>
                <w:sz w:val="21"/>
                <w:szCs w:val="21"/>
                <w:highlight w:val="none"/>
                <w:u w:val="none"/>
                <w:lang w:eastAsia="zh-CN"/>
              </w:rPr>
            </w:pPr>
          </w:p>
        </w:tc>
        <w:tc>
          <w:tcPr>
            <w:tcW w:w="562" w:type="pct"/>
            <w:vAlign w:val="top"/>
          </w:tcPr>
          <w:p>
            <w:pPr>
              <w:jc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eastAsia="zh-CN"/>
              </w:rPr>
              <w:t>含</w:t>
            </w:r>
            <w:r>
              <w:rPr>
                <w:rFonts w:hint="eastAsia" w:ascii="宋体" w:hAnsi="宋体" w:eastAsia="宋体" w:cs="宋体"/>
                <w:i w:val="0"/>
                <w:color w:val="auto"/>
                <w:sz w:val="21"/>
                <w:szCs w:val="21"/>
                <w:highlight w:val="none"/>
                <w:u w:val="none"/>
                <w:lang w:val="en-US" w:eastAsia="zh-CN"/>
              </w:rPr>
              <w:t>2个存储稳定性管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沥青混合料劈裂试验测试系统</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LHPL-5</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r>
              <w:rPr>
                <w:rStyle w:val="39"/>
                <w:rFonts w:hint="eastAsia" w:ascii="宋体" w:hAnsi="宋体" w:eastAsia="宋体" w:cs="宋体"/>
                <w:color w:val="auto"/>
                <w:sz w:val="21"/>
                <w:szCs w:val="21"/>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519" w:type="pct"/>
            <w:vAlign w:val="top"/>
          </w:tcPr>
          <w:p>
            <w:pPr>
              <w:jc w:val="center"/>
              <w:rPr>
                <w:rFonts w:hint="eastAsia" w:ascii="宋体" w:hAnsi="宋体" w:eastAsia="宋体" w:cs="宋体"/>
                <w:i w:val="0"/>
                <w:color w:val="auto"/>
                <w:sz w:val="21"/>
                <w:szCs w:val="21"/>
                <w:highlight w:val="none"/>
                <w:u w:val="none"/>
                <w:lang w:eastAsia="zh-CN"/>
              </w:rPr>
            </w:pPr>
          </w:p>
        </w:tc>
        <w:tc>
          <w:tcPr>
            <w:tcW w:w="562" w:type="pct"/>
            <w:vAlign w:val="top"/>
          </w:tcPr>
          <w:p>
            <w:pPr>
              <w:jc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eastAsia="zh-CN"/>
              </w:rPr>
              <w:t>含劈裂夹具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沥青混合料渗水系数</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测定仪</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HHDS-Ⅱ</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707"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马氏锥</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190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多功能快速直读测钙仪</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SG-6</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625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自密实混凝土坍落扩展度板</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1000*1000mm</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85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多功能坡度</w:t>
            </w:r>
          </w:p>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测量仪</w:t>
            </w:r>
          </w:p>
        </w:tc>
        <w:tc>
          <w:tcPr>
            <w:tcW w:w="1601" w:type="pct"/>
            <w:vAlign w:val="center"/>
          </w:tcPr>
          <w:p>
            <w:pPr>
              <w:keepNext w:val="0"/>
              <w:keepLines w:val="0"/>
              <w:widowControl/>
              <w:suppressLineNumbers w:val="0"/>
              <w:jc w:val="center"/>
              <w:textAlignment w:val="center"/>
              <w:rPr>
                <w:rFonts w:hint="eastAsia" w:ascii="Arial" w:hAnsi="Arial" w:eastAsia="宋体" w:cs="Arial"/>
                <w:i w:val="0"/>
                <w:iCs w:val="0"/>
                <w:color w:val="auto"/>
                <w:kern w:val="2"/>
                <w:sz w:val="20"/>
                <w:szCs w:val="20"/>
                <w:highlight w:val="none"/>
                <w:u w:val="none"/>
                <w:lang w:val="en-US" w:eastAsia="zh-CN" w:bidi="ar-SA"/>
              </w:rPr>
            </w:pPr>
            <w:r>
              <w:rPr>
                <w:rFonts w:hint="default" w:ascii="Arial" w:hAnsi="Arial" w:eastAsia="宋体" w:cs="Arial"/>
                <w:i w:val="0"/>
                <w:iCs w:val="0"/>
                <w:color w:val="auto"/>
                <w:kern w:val="0"/>
                <w:sz w:val="20"/>
                <w:szCs w:val="20"/>
                <w:highlight w:val="none"/>
                <w:u w:val="none"/>
                <w:lang w:val="en-US" w:eastAsia="zh-CN" w:bidi="ar"/>
              </w:rPr>
              <w:t>JZC-B2</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85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砂浆充盈度仪</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XN40*50*2</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eastAsia="宋体" w:cs="Times New Roman"/>
                <w:i w:val="0"/>
                <w:color w:val="auto"/>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85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箱式电阻炉</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SX4-10</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eastAsia="宋体" w:cs="Times New Roman" w:asciiTheme="minorHAnsi" w:hAnsiTheme="minorHAnsi"/>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200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高速制浆机</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SYJ-10</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eastAsia="宋体" w:cs="Times New Roman" w:asciiTheme="minorHAnsi" w:hAnsiTheme="minorHAnsi"/>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150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砂浆凝结时间测定仪</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eastAsia="宋体" w:cs="Times New Roman" w:asciiTheme="minorHAnsi" w:hAnsiTheme="minorHAnsi"/>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230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707"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正反向弯曲装置</w:t>
            </w:r>
          </w:p>
        </w:tc>
        <w:tc>
          <w:tcPr>
            <w:tcW w:w="1601"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bCs w:val="0"/>
                <w:i w:val="0"/>
                <w:color w:val="auto"/>
                <w:sz w:val="21"/>
                <w:szCs w:val="21"/>
                <w:highlight w:val="none"/>
                <w:u w:val="none"/>
                <w:lang w:val="en-US" w:eastAsia="zh-CN"/>
              </w:rPr>
              <w:t>数显</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color w:val="auto"/>
                <w:highlight w:val="none"/>
                <w:lang w:val="en-US" w:eastAsia="zh-CN" w:bidi="ar"/>
              </w:rPr>
              <w:t>台</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eastAsia="宋体" w:cs="Times New Roman" w:asciiTheme="minorHAnsi" w:hAnsiTheme="minorHAnsi"/>
                <w:i w:val="0"/>
                <w:color w:val="auto"/>
                <w:kern w:val="0"/>
                <w:sz w:val="21"/>
                <w:szCs w:val="21"/>
                <w:highlight w:val="none"/>
                <w:u w:val="none"/>
                <w:lang w:val="en-US" w:eastAsia="zh-CN" w:bidi="ar"/>
              </w:rPr>
            </w:pPr>
            <w:r>
              <w:rPr>
                <w:rFonts w:hint="default" w:ascii="Calibri" w:hAnsi="Calibri" w:eastAsia="宋体" w:cs="Calibri"/>
                <w:i w:val="0"/>
                <w:iCs w:val="0"/>
                <w:color w:val="000000"/>
                <w:kern w:val="0"/>
                <w:sz w:val="21"/>
                <w:szCs w:val="21"/>
                <w:u w:val="none"/>
                <w:lang w:val="en-US" w:eastAsia="zh-CN" w:bidi="ar"/>
              </w:rPr>
              <w:t>300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集料</w:t>
            </w:r>
          </w:p>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软弱颗粒</w:t>
            </w:r>
          </w:p>
        </w:tc>
        <w:tc>
          <w:tcPr>
            <w:tcW w:w="160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CH-0320B</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1</w:t>
            </w:r>
            <w:r>
              <w:rPr>
                <w:rStyle w:val="39"/>
                <w:highlight w:val="none"/>
                <w:lang w:val="en-US" w:eastAsia="zh-CN" w:bidi="ar"/>
              </w:rPr>
              <w:t>台</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707"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波美比重计</w:t>
            </w:r>
          </w:p>
        </w:tc>
        <w:tc>
          <w:tcPr>
            <w:tcW w:w="160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1支</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冷弯冲头</w:t>
            </w:r>
          </w:p>
        </w:tc>
        <w:tc>
          <w:tcPr>
            <w:tcW w:w="1601"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各种规格</w:t>
            </w:r>
          </w:p>
        </w:tc>
        <w:tc>
          <w:tcPr>
            <w:tcW w:w="41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裁刀</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哑铃型、直角型等</w:t>
            </w:r>
          </w:p>
        </w:tc>
        <w:tc>
          <w:tcPr>
            <w:tcW w:w="41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百格刀</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QFH-A</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动弹模量测定仪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DT-20</w:t>
            </w:r>
          </w:p>
        </w:tc>
        <w:tc>
          <w:tcPr>
            <w:tcW w:w="411"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1</w:t>
            </w:r>
            <w:r>
              <w:rPr>
                <w:rStyle w:val="39"/>
                <w:highlight w:val="none"/>
                <w:lang w:val="en-US" w:eastAsia="zh-CN" w:bidi="ar"/>
              </w:rPr>
              <w:t>台</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邵氏硬度计</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D型或A型</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加热伸缩测定仪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QSX-15</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混凝土收缩膨胀率仪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HSP-540</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空盒气压表</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DYM3</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1个</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砂浆保水性试模</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（100*25）mm</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水泥压蒸釜</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土工布有效孔径测定仪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YT030G</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粗粒土垂直渗透测定仪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DYL-1</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全自动</w:t>
            </w:r>
          </w:p>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三轴仪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TSZ-2</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比长仪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冷弯试验机</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DYZ-200ZN-DFZ</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混凝土压力泌水率</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SY-2</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金属波纹管抗渗漏试验装置</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沥青黏韧性试验装置</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SYD-0624</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火焰光度计</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FB6400</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塑料波纹管拉拔力试验仪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WXBLB-10</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真空负压试验机</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SXF-150</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应变控制式直剪仪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ZJ</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1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kern w:val="2"/>
                <w:sz w:val="21"/>
                <w:szCs w:val="21"/>
                <w:highlight w:val="none"/>
                <w:u w:val="none"/>
                <w:lang w:val="en-US" w:eastAsia="zh-CN" w:bidi="ar-SA"/>
              </w:rPr>
              <w:t>含测力环、环刀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707"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混凝土快速冻融试验机</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TDR-10</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单杠杆</w:t>
            </w:r>
          </w:p>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固结仪</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NTYJZ-1</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19"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kern w:val="2"/>
                <w:sz w:val="21"/>
                <w:szCs w:val="21"/>
                <w:highlight w:val="none"/>
                <w:u w:val="none"/>
                <w:lang w:val="en-US" w:eastAsia="zh-CN" w:bidi="ar-SA"/>
              </w:rPr>
              <w:t>含环刀、透水石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扭转试验机</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SXN-10</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橡胶密封带夹持性能</w:t>
            </w:r>
          </w:p>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装置</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JG010S</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310</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金属线材反复弯曲</w:t>
            </w:r>
          </w:p>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试验机</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JWJ-10B</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707" w:type="pct"/>
            <w:vAlign w:val="center"/>
          </w:tcPr>
          <w:p>
            <w:pPr>
              <w:keepNext w:val="0"/>
              <w:keepLines w:val="0"/>
              <w:widowControl/>
              <w:suppressLineNumbers w:val="0"/>
              <w:jc w:val="center"/>
              <w:textAlignment w:val="center"/>
              <w:rPr>
                <w:rFonts w:hint="eastAsia"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读数显微镜</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JC10</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07"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曾实因数筒</w:t>
            </w:r>
          </w:p>
        </w:tc>
        <w:tc>
          <w:tcPr>
            <w:tcW w:w="1601" w:type="pct"/>
            <w:vAlign w:val="center"/>
          </w:tcPr>
          <w:p>
            <w:pPr>
              <w:keepNext w:val="0"/>
              <w:keepLines w:val="0"/>
              <w:widowControl/>
              <w:suppressLineNumbers w:val="0"/>
              <w:jc w:val="center"/>
              <w:textAlignment w:val="center"/>
              <w:rPr>
                <w:rFonts w:hint="default" w:eastAsia="宋体" w:cs="Times New Roman"/>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w:t>
            </w:r>
          </w:p>
        </w:tc>
        <w:tc>
          <w:tcPr>
            <w:tcW w:w="411" w:type="pct"/>
            <w:vAlign w:val="center"/>
          </w:tcPr>
          <w:p>
            <w:pPr>
              <w:keepNext w:val="0"/>
              <w:keepLines w:val="0"/>
              <w:widowControl/>
              <w:suppressLineNumbers w:val="0"/>
              <w:jc w:val="center"/>
              <w:textAlignment w:val="center"/>
              <w:rPr>
                <w:rFonts w:hint="eastAsia" w:eastAsia="宋体" w:cs="Times New Roman" w:asciiTheme="minorHAnsi" w:hAnsiTheme="minorHAnsi"/>
                <w:i w:val="0"/>
                <w:color w:val="000000"/>
                <w:kern w:val="0"/>
                <w:sz w:val="21"/>
                <w:szCs w:val="21"/>
                <w:highlight w:val="none"/>
                <w:u w:val="none"/>
                <w:lang w:val="en-US" w:eastAsia="zh-CN" w:bidi="ar"/>
              </w:rPr>
            </w:pPr>
            <w:r>
              <w:rPr>
                <w:rFonts w:hint="eastAsia" w:eastAsia="宋体" w:cs="Times New Roman"/>
                <w:i w:val="0"/>
                <w:color w:val="000000"/>
                <w:kern w:val="0"/>
                <w:sz w:val="21"/>
                <w:szCs w:val="21"/>
                <w:highlight w:val="none"/>
                <w:u w:val="none"/>
                <w:lang w:val="en-US" w:eastAsia="zh-CN" w:bidi="ar"/>
              </w:rPr>
              <w:t>1套</w:t>
            </w:r>
          </w:p>
        </w:tc>
        <w:tc>
          <w:tcPr>
            <w:tcW w:w="411"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51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519" w:type="pct"/>
            <w:vAlign w:val="top"/>
          </w:tcPr>
          <w:p>
            <w:pPr>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562" w:type="pct"/>
            <w:vAlign w:val="top"/>
          </w:tcPr>
          <w:p>
            <w:pPr>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color w:val="000000" w:themeColor="text1"/>
                <w:sz w:val="20"/>
                <w:szCs w:val="20"/>
                <w:highlight w:val="none"/>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b/>
          <w:bCs/>
          <w:color w:val="000000"/>
          <w:sz w:val="21"/>
          <w:szCs w:val="21"/>
        </w:rPr>
      </w:pPr>
      <w:r>
        <w:rPr>
          <w:rFonts w:hint="eastAsia" w:ascii="Times New Roman" w:hAnsi="Times New Roman" w:eastAsia="黑体" w:cs="Times New Roman"/>
          <w:b/>
          <w:bCs/>
          <w:color w:val="auto"/>
          <w:sz w:val="20"/>
          <w:szCs w:val="2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b/>
          <w:bCs/>
          <w:color w:val="000000"/>
          <w:sz w:val="21"/>
          <w:szCs w:val="21"/>
          <w:lang w:val="en-US" w:eastAsia="zh-CN"/>
        </w:rPr>
      </w:pPr>
      <w:r>
        <w:rPr>
          <w:rFonts w:hint="eastAsia" w:asciiTheme="minorEastAsia" w:hAnsiTheme="minorEastAsia"/>
          <w:b/>
          <w:bCs/>
          <w:color w:val="000000"/>
          <w:sz w:val="21"/>
          <w:szCs w:val="21"/>
          <w:lang w:val="en-US" w:eastAsia="zh-CN"/>
        </w:rPr>
        <w:t>1、</w:t>
      </w:r>
      <w:r>
        <w:rPr>
          <w:rFonts w:hint="eastAsia" w:asciiTheme="minorEastAsia" w:hAnsiTheme="minorEastAsia" w:eastAsiaTheme="minorEastAsia"/>
          <w:b/>
          <w:bCs/>
          <w:color w:val="000000"/>
          <w:sz w:val="21"/>
          <w:szCs w:val="21"/>
          <w:lang w:val="en-US" w:eastAsia="zh-CN"/>
        </w:rPr>
        <w:t>报价人应逐一填写各单项仪器设备的报价比例，且报价比例须一致；</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本表所列仪器设备名称、型号规格等与实际工作内容不相符</w:t>
      </w:r>
      <w:r>
        <w:rPr>
          <w:rFonts w:hint="eastAsia" w:asciiTheme="minorEastAsia" w:hAnsiTheme="minorEastAsia"/>
          <w:b/>
          <w:bCs/>
          <w:color w:val="000000"/>
          <w:sz w:val="21"/>
          <w:szCs w:val="21"/>
          <w:lang w:val="en-US" w:eastAsia="zh-CN"/>
        </w:rPr>
        <w:t>时</w:t>
      </w:r>
      <w:r>
        <w:rPr>
          <w:rFonts w:hint="eastAsia" w:asciiTheme="minorEastAsia" w:hAnsiTheme="minorEastAsia" w:eastAsiaTheme="minorEastAsia"/>
          <w:b/>
          <w:bCs/>
          <w:color w:val="000000"/>
          <w:sz w:val="21"/>
          <w:szCs w:val="21"/>
        </w:rPr>
        <w:t>以实际工作内容为准</w:t>
      </w:r>
      <w:r>
        <w:rPr>
          <w:rFonts w:hint="eastAsia" w:asciiTheme="minorEastAsia" w:hAnsiTheme="minorEastAsia"/>
          <w:b/>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 xml:space="preserve">    </w:t>
      </w:r>
      <w:r>
        <w:rPr>
          <w:rFonts w:hint="eastAsia" w:asciiTheme="minorEastAsia" w:hAnsiTheme="minorEastAsia" w:eastAsiaTheme="minorEastAsia"/>
          <w:b/>
          <w:bCs/>
          <w:color w:val="000000"/>
          <w:sz w:val="21"/>
          <w:szCs w:val="21"/>
          <w:lang w:val="en-US" w:eastAsia="zh-CN"/>
        </w:rPr>
        <w:t>3、</w:t>
      </w:r>
      <w:r>
        <w:rPr>
          <w:rFonts w:hint="eastAsia" w:asciiTheme="minorEastAsia" w:hAnsiTheme="minorEastAsia" w:eastAsiaTheme="minorEastAsia"/>
          <w:b/>
          <w:bCs/>
          <w:color w:val="000000"/>
          <w:sz w:val="21"/>
          <w:szCs w:val="21"/>
        </w:rPr>
        <w:t>实际检定/校准工作中出现本表未包含仪器设备的，服务费结算时按同类设备费用标准据实结算</w:t>
      </w:r>
      <w:r>
        <w:rPr>
          <w:rFonts w:hint="eastAsia" w:asciiTheme="minorEastAsia" w:hAnsiTheme="minorEastAsia"/>
          <w:b/>
          <w:bCs/>
          <w:color w:val="000000"/>
          <w:sz w:val="21"/>
          <w:szCs w:val="21"/>
          <w:lang w:eastAsia="zh-CN"/>
        </w:rPr>
        <w:t>；</w:t>
      </w:r>
      <w:r>
        <w:rPr>
          <w:rFonts w:hint="eastAsia" w:asciiTheme="minorEastAsia" w:hAnsiTheme="minorEastAsia"/>
          <w:b/>
          <w:bCs/>
          <w:color w:val="000000"/>
          <w:sz w:val="21"/>
          <w:szCs w:val="21"/>
          <w:lang w:val="en-US" w:eastAsia="zh-CN"/>
        </w:rPr>
        <w:t>若无同类型设备，该仪器</w:t>
      </w:r>
      <w:r>
        <w:rPr>
          <w:rFonts w:hint="eastAsia" w:asciiTheme="minorEastAsia" w:hAnsiTheme="minorEastAsia" w:eastAsiaTheme="minorEastAsia"/>
          <w:b/>
          <w:bCs/>
          <w:color w:val="000000"/>
          <w:sz w:val="21"/>
          <w:szCs w:val="21"/>
        </w:rPr>
        <w:t>设备</w:t>
      </w:r>
      <w:r>
        <w:rPr>
          <w:rFonts w:hint="eastAsia" w:asciiTheme="minorEastAsia" w:hAnsiTheme="minorEastAsia"/>
          <w:b/>
          <w:bCs/>
          <w:color w:val="000000"/>
          <w:sz w:val="21"/>
          <w:szCs w:val="21"/>
          <w:lang w:val="en-US" w:eastAsia="zh-CN"/>
        </w:rPr>
        <w:t>检定/校准服务价格经采购人同意后，以市场上三家同类</w:t>
      </w:r>
      <w:r>
        <w:rPr>
          <w:rFonts w:hint="eastAsia" w:asciiTheme="minorEastAsia" w:hAnsiTheme="minorEastAsia" w:eastAsiaTheme="minorEastAsia"/>
          <w:b/>
          <w:bCs/>
          <w:color w:val="000000"/>
          <w:sz w:val="21"/>
          <w:szCs w:val="21"/>
        </w:rPr>
        <w:t>仪器设备</w:t>
      </w:r>
      <w:r>
        <w:rPr>
          <w:rFonts w:hint="eastAsia" w:asciiTheme="minorEastAsia" w:hAnsiTheme="minorEastAsia"/>
          <w:b/>
          <w:bCs/>
          <w:color w:val="000000"/>
          <w:sz w:val="21"/>
          <w:szCs w:val="21"/>
          <w:lang w:val="en-US" w:eastAsia="zh-CN"/>
        </w:rPr>
        <w:t>报价的最低值作为报价结算依据</w:t>
      </w:r>
      <w:r>
        <w:rPr>
          <w:rFonts w:hint="eastAsia" w:asciiTheme="minorEastAsia" w:hAnsiTheme="minorEastAsia" w:eastAsiaTheme="minorEastAsia"/>
          <w:b/>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lang w:val="en-US" w:eastAsia="zh-CN"/>
        </w:rPr>
        <w:t>4、</w:t>
      </w:r>
      <w:r>
        <w:rPr>
          <w:rFonts w:hint="eastAsia" w:asciiTheme="minorEastAsia" w:hAnsiTheme="minorEastAsia" w:eastAsiaTheme="minorEastAsia"/>
          <w:b/>
          <w:bCs/>
          <w:color w:val="000000"/>
          <w:sz w:val="21"/>
          <w:szCs w:val="21"/>
        </w:rPr>
        <w:t>本表中个别仪器设备（如回弹仪、试模等）根据规定在1年内需进行</w:t>
      </w:r>
      <w:r>
        <w:rPr>
          <w:rFonts w:hint="eastAsia" w:asciiTheme="minorEastAsia" w:hAnsiTheme="minorEastAsia" w:eastAsiaTheme="minorEastAsia"/>
          <w:b/>
          <w:bCs/>
          <w:color w:val="000000"/>
          <w:sz w:val="21"/>
          <w:szCs w:val="21"/>
          <w:lang w:val="en-US" w:eastAsia="zh-CN"/>
        </w:rPr>
        <w:t>大于</w:t>
      </w:r>
      <w:r>
        <w:rPr>
          <w:rFonts w:hint="eastAsia" w:asciiTheme="minorEastAsia" w:hAnsiTheme="minorEastAsia" w:eastAsiaTheme="minorEastAsia"/>
          <w:b/>
          <w:bCs/>
          <w:color w:val="000000"/>
          <w:sz w:val="21"/>
          <w:szCs w:val="21"/>
        </w:rPr>
        <w:t>1次的检定/校准，报价人应根据规定提供检定/校准服务，且服务费用结算时按每年1次计取，采购人不另行支付。</w:t>
      </w:r>
    </w:p>
    <w:p>
      <w:pPr>
        <w:keepNext w:val="0"/>
        <w:keepLines w:val="0"/>
        <w:pageBreakBefore w:val="0"/>
        <w:widowControl w:val="0"/>
        <w:kinsoku/>
        <w:wordWrap/>
        <w:overflowPunct/>
        <w:topLinePunct w:val="0"/>
        <w:autoSpaceDE/>
        <w:autoSpaceDN/>
        <w:bidi w:val="0"/>
        <w:adjustRightInd/>
        <w:snapToGrid/>
        <w:spacing w:line="240" w:lineRule="auto"/>
        <w:ind w:firstLine="411" w:firstLineChars="196"/>
        <w:textAlignment w:val="auto"/>
        <w:rPr>
          <w:rFonts w:hint="eastAsia" w:asciiTheme="minorEastAsia" w:hAnsiTheme="minorEastAsia" w:eastAsiaTheme="minorEastAsia"/>
          <w:b/>
          <w:bCs/>
          <w:color w:val="000000"/>
          <w:sz w:val="21"/>
          <w:szCs w:val="21"/>
          <w:lang w:val="en-US" w:eastAsia="zh-CN"/>
        </w:rPr>
      </w:pPr>
      <w:r>
        <w:rPr>
          <w:rFonts w:hint="eastAsia" w:asciiTheme="minorEastAsia" w:hAnsiTheme="minorEastAsia" w:eastAsiaTheme="minorEastAsia"/>
          <w:b/>
          <w:bCs/>
          <w:color w:val="000000"/>
          <w:sz w:val="21"/>
          <w:szCs w:val="21"/>
          <w:lang w:val="en-US" w:eastAsia="zh-CN"/>
        </w:rPr>
        <w:t>5、本表中的综合限价包含</w:t>
      </w:r>
      <w:r>
        <w:rPr>
          <w:rFonts w:hint="eastAsia" w:asciiTheme="minorEastAsia" w:hAnsiTheme="minorEastAsia" w:eastAsiaTheme="minorEastAsia"/>
          <w:b/>
          <w:bCs/>
          <w:color w:val="000000"/>
          <w:sz w:val="21"/>
          <w:szCs w:val="21"/>
        </w:rPr>
        <w:t>人工费、材料费、机械费、</w:t>
      </w:r>
      <w:r>
        <w:rPr>
          <w:rFonts w:hint="eastAsia" w:asciiTheme="minorEastAsia" w:hAnsiTheme="minorEastAsia"/>
          <w:b/>
          <w:bCs/>
          <w:color w:val="000000"/>
          <w:sz w:val="21"/>
          <w:szCs w:val="21"/>
          <w:lang w:val="en-US" w:eastAsia="zh-CN"/>
        </w:rPr>
        <w:t>检定/校准</w:t>
      </w:r>
      <w:r>
        <w:rPr>
          <w:rFonts w:hint="eastAsia" w:asciiTheme="minorEastAsia" w:hAnsiTheme="minorEastAsia" w:eastAsiaTheme="minorEastAsia"/>
          <w:b/>
          <w:bCs/>
          <w:color w:val="000000"/>
          <w:sz w:val="21"/>
          <w:szCs w:val="21"/>
        </w:rPr>
        <w:t>费、</w:t>
      </w:r>
      <w:r>
        <w:rPr>
          <w:rFonts w:hint="eastAsia" w:asciiTheme="minorEastAsia" w:hAnsiTheme="minorEastAsia"/>
          <w:b/>
          <w:bCs/>
          <w:color w:val="000000"/>
          <w:sz w:val="21"/>
          <w:szCs w:val="21"/>
          <w:lang w:val="en-US" w:eastAsia="zh-CN"/>
        </w:rPr>
        <w:t>相关</w:t>
      </w:r>
      <w:r>
        <w:rPr>
          <w:rFonts w:hint="eastAsia" w:asciiTheme="minorEastAsia" w:hAnsiTheme="minorEastAsia" w:eastAsiaTheme="minorEastAsia"/>
          <w:b/>
          <w:bCs/>
          <w:color w:val="000000"/>
          <w:sz w:val="21"/>
          <w:szCs w:val="21"/>
        </w:rPr>
        <w:t>措施费、利润等所有一切费用、含税金</w:t>
      </w:r>
      <w:r>
        <w:rPr>
          <w:rFonts w:hint="eastAsia" w:asciiTheme="minorEastAsia" w:hAnsiTheme="minorEastAsia"/>
          <w:b/>
          <w:bCs/>
          <w:color w:val="000000"/>
          <w:sz w:val="21"/>
          <w:szCs w:val="21"/>
          <w:lang w:eastAsia="zh-CN"/>
        </w:rPr>
        <w:t>。</w:t>
      </w:r>
    </w:p>
    <w:p>
      <w:pPr>
        <w:spacing w:line="440" w:lineRule="exact"/>
        <w:jc w:val="center"/>
        <w:rPr>
          <w:rFonts w:hint="default" w:ascii="Times New Roman" w:hAnsi="Times New Roman" w:eastAsia="黑体" w:cs="Times New Roman"/>
          <w:color w:val="auto"/>
          <w:sz w:val="20"/>
          <w:szCs w:val="20"/>
          <w:highlight w:val="none"/>
          <w:lang w:val="en-US" w:eastAsia="zh-CN"/>
        </w:rPr>
      </w:pPr>
    </w:p>
    <w:p>
      <w:pPr>
        <w:rPr>
          <w:rFonts w:hint="default" w:ascii="Times New Roman" w:hAnsi="Times New Roman" w:eastAsia="黑体" w:cs="Times New Roman"/>
          <w:color w:val="auto"/>
          <w:sz w:val="28"/>
          <w:szCs w:val="28"/>
          <w:highlight w:val="none"/>
        </w:rPr>
      </w:pPr>
      <w:bookmarkStart w:id="211" w:name="_Toc25720_WPSOffice_Level1"/>
      <w:bookmarkStart w:id="212" w:name="_Toc1110_WPSOffice_Level1"/>
      <w:bookmarkStart w:id="213" w:name="_Toc32350_WPSOffice_Level1"/>
      <w:bookmarkStart w:id="214" w:name="_Toc1996_WPSOffice_Level1"/>
      <w:bookmarkStart w:id="215" w:name="_Toc10431_WPSOffice_Level1"/>
      <w:bookmarkStart w:id="216" w:name="_Toc4951_WPSOffice_Level1"/>
      <w:bookmarkStart w:id="217" w:name="_Toc14563_WPSOffice_Level1"/>
      <w:bookmarkStart w:id="218" w:name="_Toc18668_WPSOffice_Level1"/>
      <w:r>
        <w:rPr>
          <w:rFonts w:hint="default" w:ascii="Times New Roman" w:hAnsi="Times New Roman" w:eastAsia="黑体" w:cs="Times New Roman"/>
          <w:color w:val="auto"/>
          <w:sz w:val="28"/>
          <w:szCs w:val="28"/>
          <w:highlight w:val="none"/>
        </w:rPr>
        <w:br w:type="page"/>
      </w:r>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、法定代表人身份证明及授权委托书</w:t>
      </w:r>
      <w:bookmarkEnd w:id="211"/>
      <w:bookmarkEnd w:id="212"/>
      <w:bookmarkEnd w:id="213"/>
      <w:bookmarkEnd w:id="214"/>
      <w:bookmarkEnd w:id="215"/>
      <w:bookmarkEnd w:id="216"/>
      <w:bookmarkEnd w:id="217"/>
      <w:bookmarkEnd w:id="21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219" w:name="_Toc20803_WPSOffice_Level2"/>
      <w:bookmarkStart w:id="220" w:name="_Toc5153_WPSOffice_Level2"/>
      <w:r>
        <w:rPr>
          <w:rFonts w:hint="eastAsia" w:ascii="Times New Roman" w:hAnsi="Times New Roman" w:eastAsia="黑体" w:cs="Times New Roman"/>
          <w:bCs/>
          <w:color w:val="auto"/>
          <w:sz w:val="28"/>
          <w:szCs w:val="28"/>
          <w:highlight w:val="none"/>
          <w:lang w:val="en-US" w:eastAsia="zh-CN"/>
        </w:rPr>
        <w:t>3</w:t>
      </w:r>
      <w:r>
        <w:rPr>
          <w:rFonts w:hint="default" w:ascii="Times New Roman" w:hAnsi="Times New Roman" w:eastAsia="黑体" w:cs="Times New Roman"/>
          <w:bCs/>
          <w:color w:val="auto"/>
          <w:sz w:val="28"/>
          <w:szCs w:val="28"/>
          <w:highlight w:val="none"/>
        </w:rPr>
        <w:t>-1 法定代表人身份证明</w:t>
      </w:r>
      <w:bookmarkEnd w:id="219"/>
      <w:bookmarkEnd w:id="22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default"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221" w:name="_Toc19768_WPSOffice_Level2"/>
      <w:bookmarkStart w:id="222" w:name="_Toc12035_WPSOffice_Level2"/>
      <w:r>
        <w:rPr>
          <w:rFonts w:hint="eastAsia" w:ascii="Times New Roman" w:hAnsi="Times New Roman" w:eastAsia="黑体" w:cs="Times New Roman"/>
          <w:bCs/>
          <w:color w:val="auto"/>
          <w:sz w:val="28"/>
          <w:szCs w:val="28"/>
          <w:highlight w:val="none"/>
          <w:lang w:val="en-US" w:eastAsia="zh-CN"/>
        </w:rPr>
        <w:t>3</w:t>
      </w:r>
      <w:r>
        <w:rPr>
          <w:rFonts w:hint="default" w:ascii="Times New Roman" w:hAnsi="Times New Roman" w:eastAsia="黑体" w:cs="Times New Roman"/>
          <w:bCs/>
          <w:color w:val="auto"/>
          <w:sz w:val="28"/>
          <w:szCs w:val="28"/>
          <w:highlight w:val="none"/>
        </w:rPr>
        <w:t xml:space="preserve">-2 </w:t>
      </w:r>
      <w:r>
        <w:rPr>
          <w:rFonts w:hint="default" w:ascii="Times New Roman" w:hAnsi="Times New Roman" w:eastAsia="黑体" w:cs="Times New Roman"/>
          <w:color w:val="auto"/>
          <w:sz w:val="28"/>
          <w:szCs w:val="28"/>
          <w:highlight w:val="none"/>
        </w:rPr>
        <w:t>授权委托书</w:t>
      </w:r>
      <w:bookmarkEnd w:id="221"/>
      <w:bookmarkEnd w:id="22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w:t>
      </w:r>
      <w:r>
        <w:rPr>
          <w:rFonts w:hint="eastAsia" w:ascii="Times New Roman" w:hAnsi="Times New Roman" w:cs="Times New Roman"/>
          <w:color w:val="auto"/>
          <w:sz w:val="24"/>
          <w:highlight w:val="none"/>
          <w:u w:val="single"/>
          <w:lang w:val="en-US" w:eastAsia="zh-CN"/>
        </w:rPr>
        <w:t>框架协议</w:t>
      </w:r>
      <w:r>
        <w:rPr>
          <w:rFonts w:hint="default" w:ascii="Times New Roman" w:hAnsi="Times New Roman" w:cs="Times New Roman"/>
          <w:color w:val="auto"/>
          <w:sz w:val="24"/>
          <w:highlight w:val="none"/>
          <w:u w:val="single"/>
        </w:rPr>
        <w:t>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pStyle w:val="2"/>
        <w:rPr>
          <w:rFonts w:hint="default"/>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rPr>
          <w:rFonts w:hint="default" w:ascii="Times New Roman" w:hAnsi="Times New Roman" w:eastAsia="黑体" w:cs="Times New Roman"/>
          <w:color w:val="auto"/>
          <w:sz w:val="28"/>
          <w:szCs w:val="28"/>
          <w:highlight w:val="none"/>
        </w:rPr>
      </w:pPr>
      <w:bookmarkStart w:id="223" w:name="_Toc10489_WPSOffice_Level1"/>
      <w:bookmarkStart w:id="224" w:name="_Toc10646_WPSOffice_Level1"/>
      <w:bookmarkStart w:id="225" w:name="_Toc31445_WPSOffice_Level1"/>
      <w:bookmarkStart w:id="226" w:name="_Toc19015_WPSOffice_Level1"/>
      <w:bookmarkStart w:id="227" w:name="_Toc10436_WPSOffice_Level1"/>
      <w:bookmarkStart w:id="228" w:name="_Toc7798_WPSOffice_Level1"/>
      <w:bookmarkStart w:id="229" w:name="_Toc7738_WPSOffice_Level1"/>
      <w:bookmarkStart w:id="230" w:name="_Toc1825_WPSOffice_Level1"/>
      <w:r>
        <w:rPr>
          <w:rFonts w:hint="default"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231" w:name="_Toc2807_WPSOffice_Level2"/>
      <w:bookmarkStart w:id="232"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23"/>
      <w:bookmarkEnd w:id="224"/>
      <w:bookmarkEnd w:id="225"/>
      <w:bookmarkEnd w:id="226"/>
      <w:bookmarkEnd w:id="227"/>
      <w:bookmarkEnd w:id="228"/>
      <w:bookmarkEnd w:id="229"/>
      <w:bookmarkEnd w:id="230"/>
      <w:bookmarkEnd w:id="231"/>
      <w:bookmarkEnd w:id="232"/>
    </w:p>
    <w:p>
      <w:pPr>
        <w:topLinePunct/>
        <w:spacing w:line="440" w:lineRule="exact"/>
        <w:jc w:val="center"/>
        <w:rPr>
          <w:rFonts w:hint="default"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default"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在本表后应附企业法人营业执照（事业单位法人证书，如有）、资质证书及资格审查要求的其他证件复印件。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jc w:val="center"/>
        <w:textAlignment w:val="auto"/>
        <w:rPr>
          <w:rFonts w:ascii="Times New Roman" w:hAnsi="Times New Roman" w:cs="Times New Roman"/>
          <w:color w:val="auto"/>
          <w:sz w:val="28"/>
          <w:szCs w:val="28"/>
        </w:rPr>
      </w:pPr>
      <w:bookmarkStart w:id="233" w:name="_Toc27072_WPSOffice_Level1"/>
      <w:bookmarkStart w:id="234" w:name="_Toc26594_WPSOffice_Level1"/>
      <w:bookmarkStart w:id="235" w:name="_Toc5889_WPSOffice_Level1"/>
      <w:bookmarkStart w:id="236" w:name="_Toc12019_WPSOffice_Level1"/>
      <w:bookmarkStart w:id="237" w:name="_Toc27376_WPSOffice_Level1"/>
      <w:bookmarkStart w:id="238" w:name="_Toc3893_WPSOffice_Level1"/>
      <w:bookmarkStart w:id="239" w:name="_Toc4911_WPSOffice_Level1"/>
      <w:bookmarkStart w:id="240" w:name="_Toc5403_WPSOffice_Level1"/>
      <w:r>
        <w:rPr>
          <w:rFonts w:hint="eastAsia" w:ascii="Times New Roman" w:hAnsi="Times New Roman" w:eastAsia="黑体" w:cs="Times New Roman"/>
          <w:color w:val="auto"/>
          <w:sz w:val="28"/>
          <w:szCs w:val="28"/>
          <w:highlight w:val="none"/>
          <w:lang w:val="en-US" w:eastAsia="zh-CN"/>
        </w:rPr>
        <w:br w:type="page"/>
      </w:r>
      <w:bookmarkStart w:id="241" w:name="_Toc3772_WPSOffice_Level1"/>
      <w:bookmarkStart w:id="242" w:name="_Toc17748_WPSOffice_Level1"/>
      <w:bookmarkStart w:id="243" w:name="_Toc18547_WPSOffice_Level1"/>
      <w:bookmarkStart w:id="244" w:name="_Toc19004_WPSOffice_Level1"/>
      <w:bookmarkStart w:id="245" w:name="_Toc173_WPSOffice_Level1"/>
      <w:bookmarkStart w:id="246" w:name="_Toc13664_WPSOffice_Level1"/>
      <w:r>
        <w:rPr>
          <w:rFonts w:hint="default"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bookmarkEnd w:id="241"/>
      <w:bookmarkEnd w:id="242"/>
      <w:bookmarkEnd w:id="243"/>
      <w:bookmarkEnd w:id="244"/>
      <w:bookmarkEnd w:id="245"/>
      <w:bookmarkEnd w:id="246"/>
      <w:bookmarkStart w:id="247" w:name="_Toc22330_WPSOffice_Level1"/>
      <w:bookmarkStart w:id="248" w:name="_Toc13202_WPSOffice_Level1"/>
      <w:r>
        <w:rPr>
          <w:rFonts w:hint="eastAsia" w:ascii="Times New Roman" w:hAnsi="Times New Roman" w:eastAsia="黑体" w:cs="Times New Roman"/>
          <w:color w:val="auto"/>
          <w:sz w:val="28"/>
          <w:szCs w:val="28"/>
          <w:lang w:val="en-US" w:eastAsia="zh-CN"/>
        </w:rPr>
        <w:t>业绩</w:t>
      </w:r>
      <w:r>
        <w:rPr>
          <w:rFonts w:ascii="Times New Roman" w:hAnsi="Times New Roman" w:eastAsia="黑体" w:cs="Times New Roman"/>
          <w:color w:val="auto"/>
          <w:sz w:val="28"/>
          <w:szCs w:val="28"/>
        </w:rPr>
        <w:t>情况</w:t>
      </w:r>
      <w:bookmarkEnd w:id="247"/>
      <w:bookmarkEnd w:id="248"/>
      <w:r>
        <w:rPr>
          <w:rFonts w:hint="eastAsia" w:ascii="Times New Roman" w:hAnsi="Times New Roman" w:eastAsia="黑体" w:cs="Times New Roman"/>
          <w:color w:val="auto"/>
          <w:sz w:val="28"/>
          <w:szCs w:val="28"/>
        </w:rPr>
        <w:t>表</w:t>
      </w:r>
    </w:p>
    <w:tbl>
      <w:tblPr>
        <w:tblStyle w:val="20"/>
        <w:tblW w:w="852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项目名称</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项目所在地</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发包人名称</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发包人地址</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发包人电话</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合同价格</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签订</w:t>
            </w:r>
            <w:r>
              <w:rPr>
                <w:rFonts w:ascii="Times New Roman" w:hAnsi="Times New Roman" w:cs="Times New Roman"/>
                <w:color w:val="auto"/>
                <w:szCs w:val="21"/>
              </w:rPr>
              <w:t>日期</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完成</w:t>
            </w:r>
            <w:r>
              <w:rPr>
                <w:rFonts w:ascii="Times New Roman" w:hAnsi="Times New Roman" w:cs="Times New Roman"/>
                <w:color w:val="auto"/>
                <w:szCs w:val="21"/>
              </w:rPr>
              <w:t>日期</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承担的工作</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工程质量</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项目经理</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项目描述</w:t>
            </w:r>
          </w:p>
        </w:tc>
        <w:tc>
          <w:tcPr>
            <w:tcW w:w="6258" w:type="dxa"/>
            <w:noWrap/>
            <w:vAlign w:val="top"/>
          </w:tcPr>
          <w:p>
            <w:pPr>
              <w:topLinePunct/>
              <w:spacing w:line="44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270" w:type="dxa"/>
            <w:noWrap/>
            <w:vAlign w:val="center"/>
          </w:tcPr>
          <w:p>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备注</w:t>
            </w:r>
          </w:p>
        </w:tc>
        <w:tc>
          <w:tcPr>
            <w:tcW w:w="6258" w:type="dxa"/>
            <w:noWrap/>
            <w:vAlign w:val="top"/>
          </w:tcPr>
          <w:p>
            <w:pPr>
              <w:topLinePunct/>
              <w:spacing w:line="440" w:lineRule="exact"/>
              <w:rPr>
                <w:rFonts w:ascii="Times New Roman" w:hAnsi="Times New Roman" w:cs="Times New Roman"/>
                <w:color w:val="auto"/>
                <w:szCs w:val="21"/>
              </w:rPr>
            </w:pPr>
          </w:p>
        </w:tc>
      </w:tr>
    </w:tbl>
    <w:p>
      <w:pPr>
        <w:pStyle w:val="2"/>
        <w:rPr>
          <w:rFonts w:hint="default"/>
        </w:rPr>
      </w:pPr>
    </w:p>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1、业绩证明材料要求：</w:t>
      </w:r>
      <w:r>
        <w:rPr>
          <w:rFonts w:hint="eastAsia" w:ascii="黑体" w:hAnsi="黑体" w:eastAsia="黑体" w:cs="黑体"/>
          <w:color w:val="auto"/>
          <w:szCs w:val="21"/>
          <w:highlight w:val="none"/>
          <w:u w:val="single"/>
          <w:lang w:val="en-US" w:eastAsia="zh-CN"/>
        </w:rPr>
        <w:t>1、合同协议书，2、业主提供的证明材料</w:t>
      </w:r>
      <w:r>
        <w:rPr>
          <w:rFonts w:hint="default"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Cs w:val="21"/>
          <w:highlight w:val="none"/>
          <w:lang w:val="en-US" w:eastAsia="zh-CN"/>
        </w:rPr>
        <w:t>2、</w:t>
      </w:r>
      <w:r>
        <w:rPr>
          <w:rFonts w:hint="default" w:ascii="Times New Roman" w:hAnsi="Times New Roman" w:eastAsia="黑体" w:cs="Times New Roman"/>
          <w:color w:val="auto"/>
          <w:szCs w:val="21"/>
          <w:highlight w:val="none"/>
          <w:lang w:eastAsia="zh-CN"/>
        </w:rPr>
        <w:t>如近</w:t>
      </w:r>
      <w:r>
        <w:rPr>
          <w:rFonts w:hint="eastAsia" w:ascii="Times New Roman" w:hAnsi="Times New Roman" w:eastAsia="黑体" w:cs="Times New Roman"/>
          <w:color w:val="auto"/>
          <w:szCs w:val="21"/>
          <w:highlight w:val="none"/>
          <w:lang w:val="en-US" w:eastAsia="zh-CN"/>
        </w:rPr>
        <w:t>三</w:t>
      </w:r>
      <w:r>
        <w:rPr>
          <w:rFonts w:hint="default" w:ascii="Times New Roman" w:hAnsi="Times New Roman" w:eastAsia="黑体" w:cs="Times New Roman"/>
          <w:color w:val="auto"/>
          <w:szCs w:val="21"/>
          <w:highlight w:val="none"/>
          <w:lang w:eastAsia="zh-CN"/>
        </w:rPr>
        <w:t>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s="Times New Roman"/>
          <w:color w:val="auto"/>
          <w:highlight w:val="none"/>
        </w:rPr>
      </w:pPr>
    </w:p>
    <w:p>
      <w:pPr>
        <w:topLinePunct/>
        <w:spacing w:line="340" w:lineRule="atLeast"/>
        <w:jc w:val="both"/>
        <w:rPr>
          <w:rFonts w:hint="eastAsia"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br w:type="page"/>
      </w:r>
    </w:p>
    <w:p>
      <w:pPr>
        <w:pStyle w:val="2"/>
        <w:rPr>
          <w:rFonts w:hint="eastAsia"/>
          <w:lang w:val="en-US" w:eastAsia="zh-CN"/>
        </w:rPr>
      </w:pP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val="en-US" w:eastAsia="zh-CN"/>
        </w:rPr>
        <w:t>信誉情况</w:t>
      </w:r>
      <w:bookmarkEnd w:id="233"/>
      <w:bookmarkEnd w:id="234"/>
      <w:bookmarkEnd w:id="235"/>
      <w:bookmarkEnd w:id="236"/>
      <w:bookmarkEnd w:id="237"/>
      <w:bookmarkEnd w:id="238"/>
      <w:bookmarkEnd w:id="239"/>
      <w:bookmarkEnd w:id="240"/>
    </w:p>
    <w:p>
      <w:pPr>
        <w:topLinePunct/>
        <w:spacing w:line="440" w:lineRule="exact"/>
        <w:rPr>
          <w:rFonts w:hint="default" w:ascii="Times New Roman" w:hAnsi="Times New Roman" w:cs="Times New Roman"/>
          <w:bCs/>
          <w:color w:val="auto"/>
          <w:sz w:val="23"/>
          <w:szCs w:val="23"/>
          <w:highlight w:val="none"/>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cs="Times New Roman"/>
                <w:bCs/>
                <w:color w:val="auto"/>
                <w:szCs w:val="21"/>
                <w:highlight w:val="none"/>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cs="Times New Roman"/>
                <w:bCs/>
                <w:color w:val="auto"/>
                <w:szCs w:val="21"/>
                <w:highlight w:val="none"/>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cs="Times New Roman"/>
                <w:bCs/>
                <w:color w:val="auto"/>
                <w:szCs w:val="21"/>
                <w:highlight w:val="none"/>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cs="Times New Roman"/>
                <w:bCs/>
                <w:color w:val="auto"/>
                <w:szCs w:val="21"/>
                <w:highlight w:val="none"/>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是否在近三年内（自响应文件递交截止之日向前追溯3年）供应商或其法定代表人、拟委任的项目经理（如有）有行贿犯罪行为</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cs="Times New Roman"/>
                <w:bCs/>
                <w:color w:val="auto"/>
                <w:szCs w:val="21"/>
                <w:highlight w:val="none"/>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是否</w:t>
            </w:r>
            <w:r>
              <w:rPr>
                <w:rFonts w:hint="default" w:ascii="Times New Roman" w:hAnsi="Times New Roman" w:cs="Times New Roman"/>
                <w:color w:val="auto"/>
                <w:sz w:val="24"/>
                <w:szCs w:val="28"/>
                <w:highlight w:val="none"/>
                <w:u w:val="none"/>
                <w:lang w:val="en-US" w:eastAsia="zh-CN"/>
              </w:rPr>
              <w:t>被工商行政管理部门列入企业经营异常名录的</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cs="Times New Roman"/>
                <w:bCs/>
                <w:color w:val="auto"/>
                <w:szCs w:val="21"/>
                <w:highlight w:val="none"/>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pStyle w:val="2"/>
              <w:jc w:val="both"/>
              <w:rPr>
                <w:rFonts w:hint="default" w:ascii="Times New Roman" w:hAnsi="Times New Roman" w:cs="Times New Roman" w:eastAsiaTheme="minorEastAsia"/>
                <w:color w:val="auto"/>
                <w:kern w:val="2"/>
                <w:sz w:val="24"/>
                <w:szCs w:val="28"/>
                <w:highlight w:val="none"/>
                <w:u w:val="none"/>
                <w:lang w:val="en-US" w:eastAsia="zh-CN" w:bidi="ar-SA"/>
              </w:rPr>
            </w:pPr>
            <w:r>
              <w:rPr>
                <w:rFonts w:hint="eastAsia" w:ascii="Times New Roman" w:hAnsi="Times New Roman" w:cs="Times New Roman" w:eastAsiaTheme="minorEastAsia"/>
                <w:color w:val="auto"/>
                <w:kern w:val="2"/>
                <w:sz w:val="24"/>
                <w:szCs w:val="28"/>
                <w:highlight w:val="none"/>
                <w:u w:val="none"/>
                <w:lang w:val="en-US" w:eastAsia="zh-CN" w:bidi="ar-SA"/>
              </w:rPr>
              <w:t>是否被税务部门列入重大税收违法案件当事人名单的</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cs="Times New Roman"/>
                <w:bCs/>
                <w:color w:val="auto"/>
                <w:szCs w:val="21"/>
                <w:highlight w:val="none"/>
              </w:rPr>
            </w:pPr>
            <w:r>
              <w:rPr>
                <w:rFonts w:hint="eastAsia" w:ascii="仿宋_GB2312" w:hAnsi="仿宋_GB2312" w:eastAsia="仿宋_GB2312" w:cs="仿宋_GB2312"/>
                <w:b/>
                <w:bCs/>
                <w:sz w:val="28"/>
                <w:szCs w:val="28"/>
                <w:lang w:val="en-US" w:eastAsia="zh-CN"/>
              </w:rPr>
              <w:t>是</w:t>
            </w:r>
            <w:r>
              <w:rPr>
                <w:rFonts w:hint="eastAsia"/>
                <w:sz w:val="20"/>
                <w:szCs w:val="22"/>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 xml:space="preserve">     否 </w:t>
            </w:r>
            <w:r>
              <w:rPr>
                <w:rFonts w:hint="eastAsia" w:ascii="仿宋_GB2312" w:hAnsi="仿宋_GB2312" w:eastAsia="仿宋_GB2312" w:cs="仿宋_GB2312"/>
                <w:b/>
                <w:bCs/>
                <w:sz w:val="28"/>
                <w:szCs w:val="28"/>
                <w:lang w:eastAsia="zh-CN"/>
              </w:rPr>
              <w:t>□</w:t>
            </w: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w:t>
      </w:r>
      <w:r>
        <w:rPr>
          <w:rFonts w:hint="eastAsia" w:ascii="Times New Roman" w:hAnsi="Times New Roman" w:cs="Times New Roman"/>
          <w:color w:val="auto"/>
          <w:sz w:val="24"/>
          <w:highlight w:val="none"/>
          <w:lang w:val="en-US" w:eastAsia="zh-CN"/>
        </w:rPr>
        <w:t>无</w:t>
      </w:r>
      <w:r>
        <w:rPr>
          <w:rFonts w:hint="default" w:ascii="Times New Roman" w:hAnsi="Times New Roman" w:cs="Times New Roman"/>
          <w:color w:val="auto"/>
          <w:sz w:val="24"/>
          <w:highlight w:val="none"/>
          <w:lang w:val="en-US" w:eastAsia="zh-CN"/>
        </w:rPr>
        <w:t>需附证明材料</w:t>
      </w:r>
      <w:r>
        <w:rPr>
          <w:rFonts w:hint="eastAsia" w:ascii="Times New Roman" w:hAnsi="Times New Roman" w:cs="Times New Roman"/>
          <w:color w:val="auto"/>
          <w:sz w:val="24"/>
          <w:highlight w:val="none"/>
          <w:lang w:val="en-US" w:eastAsia="zh-CN"/>
        </w:rPr>
        <w:t>，采购人将在成交后对相关材料进行网页核查</w:t>
      </w:r>
      <w:r>
        <w:rPr>
          <w:rFonts w:hint="default" w:ascii="Times New Roman" w:hAnsi="Times New Roman" w:cs="Times New Roman"/>
          <w:color w:val="auto"/>
          <w:sz w:val="24"/>
          <w:highlight w:val="none"/>
          <w:lang w:val="en-US" w:eastAsia="zh-CN"/>
        </w:rPr>
        <w:t>。</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ascii="Times New Roman" w:hAnsi="Times New Roman" w:cs="Times New Roman"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ascii="Times New Roman" w:hAnsi="Times New Roman" w:cs="Times New Roman"/>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center"/>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rPr>
          <w:rFonts w:hint="default" w:ascii="Times New Roman" w:hAnsi="Times New Roman" w:eastAsia="黑体" w:cs="Times New Roman"/>
          <w:color w:val="auto"/>
          <w:sz w:val="28"/>
          <w:szCs w:val="28"/>
          <w:highlight w:val="none"/>
        </w:rPr>
      </w:pPr>
      <w:bookmarkStart w:id="249" w:name="_Toc22303_WPSOffice_Level1"/>
      <w:bookmarkStart w:id="250" w:name="_Toc8137_WPSOffice_Level1"/>
      <w:bookmarkStart w:id="251" w:name="_Toc13165_WPSOffice_Level1"/>
      <w:bookmarkStart w:id="252" w:name="_Toc19034_WPSOffice_Level1"/>
      <w:bookmarkStart w:id="253" w:name="_Toc31963_WPSOffice_Level1"/>
      <w:bookmarkStart w:id="254" w:name="_Toc37_WPSOffice_Level1"/>
      <w:bookmarkStart w:id="255" w:name="_Toc2428_WPSOffice_Level1"/>
      <w:bookmarkStart w:id="256" w:name="_Toc27648_WPSOffice_Level1"/>
      <w:r>
        <w:rPr>
          <w:rFonts w:hint="eastAsia" w:ascii="Times New Roman" w:hAnsi="Times New Roman" w:eastAsia="黑体" w:cs="Times New Roman"/>
          <w:color w:val="auto"/>
          <w:sz w:val="28"/>
          <w:szCs w:val="28"/>
          <w:highlight w:val="none"/>
          <w:lang w:val="en-US" w:eastAsia="zh-CN"/>
        </w:rPr>
        <w:t>七</w:t>
      </w:r>
      <w:r>
        <w:rPr>
          <w:rFonts w:hint="default" w:ascii="Times New Roman" w:hAnsi="Times New Roman" w:eastAsia="黑体" w:cs="Times New Roman"/>
          <w:color w:val="auto"/>
          <w:sz w:val="28"/>
          <w:szCs w:val="28"/>
          <w:highlight w:val="none"/>
        </w:rPr>
        <w:t>、其它</w:t>
      </w:r>
      <w:bookmarkEnd w:id="249"/>
      <w:r>
        <w:rPr>
          <w:rFonts w:hint="default" w:ascii="Times New Roman" w:hAnsi="Times New Roman" w:eastAsia="黑体" w:cs="Times New Roman"/>
          <w:color w:val="auto"/>
          <w:sz w:val="28"/>
          <w:szCs w:val="28"/>
          <w:highlight w:val="none"/>
        </w:rPr>
        <w:t>材料</w:t>
      </w:r>
      <w:bookmarkEnd w:id="250"/>
      <w:bookmarkEnd w:id="251"/>
      <w:bookmarkEnd w:id="252"/>
      <w:bookmarkEnd w:id="253"/>
      <w:bookmarkEnd w:id="254"/>
      <w:bookmarkEnd w:id="255"/>
      <w:bookmarkEnd w:id="256"/>
    </w:p>
    <w:p>
      <w:pPr>
        <w:pStyle w:val="29"/>
        <w:jc w:val="left"/>
        <w:rPr>
          <w:rFonts w:hint="default" w:ascii="Times New Roman" w:hAnsi="Times New Roman" w:cs="Times New Roman"/>
          <w:color w:val="auto"/>
          <w:szCs w:val="28"/>
          <w:highlight w:val="none"/>
        </w:rPr>
      </w:pPr>
    </w:p>
    <w:p>
      <w:pPr>
        <w:spacing w:line="400" w:lineRule="atLeast"/>
        <w:jc w:val="center"/>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w:t>
      </w:r>
      <w:r>
        <w:rPr>
          <w:rFonts w:hint="eastAsia" w:ascii="Times New Roman" w:hAnsi="Times New Roman" w:cs="Times New Roman"/>
          <w:color w:val="auto"/>
          <w:highlight w:val="none"/>
          <w:lang w:val="en-US" w:eastAsia="zh-CN"/>
        </w:rPr>
        <w:t>供应商认为有必要证明或提供的材料</w:t>
      </w:r>
      <w:r>
        <w:rPr>
          <w:rFonts w:hint="eastAsia" w:ascii="Times New Roman" w:hAnsi="Times New Roman" w:cs="Times New Roman"/>
          <w:color w:val="auto"/>
          <w:sz w:val="24"/>
          <w:highlight w:val="none"/>
          <w:lang w:val="en-US" w:eastAsia="zh-CN"/>
        </w:rPr>
        <w:t>）</w:t>
      </w:r>
    </w:p>
    <w:p>
      <w:pPr>
        <w:pStyle w:val="29"/>
        <w:jc w:val="left"/>
        <w:rPr>
          <w:rFonts w:hint="eastAsia" w:ascii="Times New Roman" w:hAnsi="Times New Roman" w:cs="Times New Roman"/>
          <w:color w:val="auto"/>
          <w:szCs w:val="28"/>
          <w:highlight w:val="none"/>
          <w:lang w:val="en-US" w:eastAsia="zh-CN"/>
        </w:rPr>
      </w:pPr>
    </w:p>
    <w:sectPr>
      <w:headerReference r:id="rId6" w:type="default"/>
      <w:footerReference r:id="rId7"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4"/>
                            </w:rPr>
                            <w:instrText xml:space="preserve"> PAGE </w:instrText>
                          </w:r>
                          <w:r>
                            <w:fldChar w:fldCharType="separate"/>
                          </w:r>
                          <w:r>
                            <w:rPr>
                              <w:rStyle w:val="24"/>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24"/>
                      </w:rPr>
                      <w:instrText xml:space="preserve"> PAGE </w:instrText>
                    </w:r>
                    <w:r>
                      <w:fldChar w:fldCharType="separate"/>
                    </w:r>
                    <w:r>
                      <w:rPr>
                        <w:rStyle w:val="24"/>
                      </w:rPr>
                      <w:t>- 131 -</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2">
    <w:nsid w:val="62687BB6"/>
    <w:multiLevelType w:val="multilevel"/>
    <w:tmpl w:val="62687BB6"/>
    <w:lvl w:ilvl="0" w:tentative="0">
      <w:start w:val="1"/>
      <w:numFmt w:val="decimal"/>
      <w:pStyle w:val="4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
    <w:nsid w:val="7EF63220"/>
    <w:multiLevelType w:val="singleLevel"/>
    <w:tmpl w:val="7EF63220"/>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71DE"/>
    <w:rsid w:val="00126DE8"/>
    <w:rsid w:val="001659E6"/>
    <w:rsid w:val="001F0609"/>
    <w:rsid w:val="00286930"/>
    <w:rsid w:val="002D69D5"/>
    <w:rsid w:val="00316729"/>
    <w:rsid w:val="003B0CE5"/>
    <w:rsid w:val="003C6A6E"/>
    <w:rsid w:val="00466F51"/>
    <w:rsid w:val="004932B8"/>
    <w:rsid w:val="00512041"/>
    <w:rsid w:val="005B1C62"/>
    <w:rsid w:val="00650469"/>
    <w:rsid w:val="00774C23"/>
    <w:rsid w:val="007E0FEE"/>
    <w:rsid w:val="007F0E50"/>
    <w:rsid w:val="008F6415"/>
    <w:rsid w:val="00AE1115"/>
    <w:rsid w:val="00AF0DA2"/>
    <w:rsid w:val="00B02139"/>
    <w:rsid w:val="00B26D22"/>
    <w:rsid w:val="00B56F3C"/>
    <w:rsid w:val="00BE5CDE"/>
    <w:rsid w:val="00E359A8"/>
    <w:rsid w:val="00F43DE7"/>
    <w:rsid w:val="00FA1044"/>
    <w:rsid w:val="00FD2626"/>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D2FC7"/>
    <w:rsid w:val="019E058F"/>
    <w:rsid w:val="01B82FCB"/>
    <w:rsid w:val="01BC5540"/>
    <w:rsid w:val="01C94FD8"/>
    <w:rsid w:val="01E22FC9"/>
    <w:rsid w:val="01ED4448"/>
    <w:rsid w:val="01F1324F"/>
    <w:rsid w:val="02056ABC"/>
    <w:rsid w:val="02241CA7"/>
    <w:rsid w:val="022C0382"/>
    <w:rsid w:val="022D7E5C"/>
    <w:rsid w:val="022E2D0F"/>
    <w:rsid w:val="02360F3C"/>
    <w:rsid w:val="02454DC6"/>
    <w:rsid w:val="024B086A"/>
    <w:rsid w:val="024C3FDE"/>
    <w:rsid w:val="025C2FF3"/>
    <w:rsid w:val="0260580C"/>
    <w:rsid w:val="026F50F7"/>
    <w:rsid w:val="027302F2"/>
    <w:rsid w:val="027E16A0"/>
    <w:rsid w:val="028F5B92"/>
    <w:rsid w:val="0292228F"/>
    <w:rsid w:val="029D3473"/>
    <w:rsid w:val="02A843B9"/>
    <w:rsid w:val="02B17534"/>
    <w:rsid w:val="02C148EA"/>
    <w:rsid w:val="02D03DBF"/>
    <w:rsid w:val="02D558E0"/>
    <w:rsid w:val="02E82578"/>
    <w:rsid w:val="02F11F86"/>
    <w:rsid w:val="031402A0"/>
    <w:rsid w:val="03386B9A"/>
    <w:rsid w:val="03530EF0"/>
    <w:rsid w:val="035C40E5"/>
    <w:rsid w:val="035D3D3E"/>
    <w:rsid w:val="03637D0B"/>
    <w:rsid w:val="03666726"/>
    <w:rsid w:val="036A6013"/>
    <w:rsid w:val="0381345C"/>
    <w:rsid w:val="03921536"/>
    <w:rsid w:val="03957CCA"/>
    <w:rsid w:val="039F1EFC"/>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832BA4"/>
    <w:rsid w:val="04932CE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23B93"/>
    <w:rsid w:val="05474D67"/>
    <w:rsid w:val="0547510E"/>
    <w:rsid w:val="054C38C5"/>
    <w:rsid w:val="055A7109"/>
    <w:rsid w:val="057351EA"/>
    <w:rsid w:val="059761EF"/>
    <w:rsid w:val="059F2433"/>
    <w:rsid w:val="05A12F8F"/>
    <w:rsid w:val="05B16949"/>
    <w:rsid w:val="05C614B1"/>
    <w:rsid w:val="05EC3DBF"/>
    <w:rsid w:val="05F90297"/>
    <w:rsid w:val="060C39DD"/>
    <w:rsid w:val="061006D5"/>
    <w:rsid w:val="0621782F"/>
    <w:rsid w:val="06227012"/>
    <w:rsid w:val="06291D77"/>
    <w:rsid w:val="062929E2"/>
    <w:rsid w:val="06376A95"/>
    <w:rsid w:val="064B1FD0"/>
    <w:rsid w:val="0655574A"/>
    <w:rsid w:val="066756C3"/>
    <w:rsid w:val="066E50AF"/>
    <w:rsid w:val="066E7995"/>
    <w:rsid w:val="0671119D"/>
    <w:rsid w:val="06782592"/>
    <w:rsid w:val="06782F47"/>
    <w:rsid w:val="067C2170"/>
    <w:rsid w:val="068C07A0"/>
    <w:rsid w:val="068D61C1"/>
    <w:rsid w:val="06995CCA"/>
    <w:rsid w:val="069C2279"/>
    <w:rsid w:val="069F1521"/>
    <w:rsid w:val="06B14015"/>
    <w:rsid w:val="06C75E0F"/>
    <w:rsid w:val="06C76C73"/>
    <w:rsid w:val="06CD2659"/>
    <w:rsid w:val="06D9617D"/>
    <w:rsid w:val="06DF051B"/>
    <w:rsid w:val="06E209B7"/>
    <w:rsid w:val="06EE5449"/>
    <w:rsid w:val="06F4620A"/>
    <w:rsid w:val="06FF3C76"/>
    <w:rsid w:val="07105568"/>
    <w:rsid w:val="07154CA3"/>
    <w:rsid w:val="071D3AEF"/>
    <w:rsid w:val="071F775B"/>
    <w:rsid w:val="07214CE9"/>
    <w:rsid w:val="0725414F"/>
    <w:rsid w:val="073E4D0F"/>
    <w:rsid w:val="07430BAD"/>
    <w:rsid w:val="078152CB"/>
    <w:rsid w:val="07911918"/>
    <w:rsid w:val="07914D92"/>
    <w:rsid w:val="07967479"/>
    <w:rsid w:val="079973CA"/>
    <w:rsid w:val="07B04AE7"/>
    <w:rsid w:val="07B95EAB"/>
    <w:rsid w:val="07BC0137"/>
    <w:rsid w:val="07C93DD2"/>
    <w:rsid w:val="07D83F2F"/>
    <w:rsid w:val="07E63320"/>
    <w:rsid w:val="07E6414E"/>
    <w:rsid w:val="07E945E9"/>
    <w:rsid w:val="07F04AD3"/>
    <w:rsid w:val="07F10BD9"/>
    <w:rsid w:val="07F33261"/>
    <w:rsid w:val="07F3488D"/>
    <w:rsid w:val="07FB3039"/>
    <w:rsid w:val="07FC2047"/>
    <w:rsid w:val="080A4F8B"/>
    <w:rsid w:val="081D312D"/>
    <w:rsid w:val="08290DFC"/>
    <w:rsid w:val="082D031A"/>
    <w:rsid w:val="083C612C"/>
    <w:rsid w:val="083E61F6"/>
    <w:rsid w:val="08441F41"/>
    <w:rsid w:val="084D031A"/>
    <w:rsid w:val="0871359F"/>
    <w:rsid w:val="08762289"/>
    <w:rsid w:val="08780E91"/>
    <w:rsid w:val="0891403F"/>
    <w:rsid w:val="08A45B58"/>
    <w:rsid w:val="08A75E9F"/>
    <w:rsid w:val="08B51EFD"/>
    <w:rsid w:val="08C520FD"/>
    <w:rsid w:val="08C644EB"/>
    <w:rsid w:val="08CB31B1"/>
    <w:rsid w:val="08DE0702"/>
    <w:rsid w:val="08E36B16"/>
    <w:rsid w:val="08E60AEA"/>
    <w:rsid w:val="08EB2A28"/>
    <w:rsid w:val="08FC53C7"/>
    <w:rsid w:val="09033D88"/>
    <w:rsid w:val="091033C7"/>
    <w:rsid w:val="091135C3"/>
    <w:rsid w:val="092454AE"/>
    <w:rsid w:val="09247DCC"/>
    <w:rsid w:val="09346064"/>
    <w:rsid w:val="09351C66"/>
    <w:rsid w:val="09353038"/>
    <w:rsid w:val="094350D2"/>
    <w:rsid w:val="09520EC1"/>
    <w:rsid w:val="09522E65"/>
    <w:rsid w:val="095C0917"/>
    <w:rsid w:val="096126C2"/>
    <w:rsid w:val="09A1577F"/>
    <w:rsid w:val="09B1743D"/>
    <w:rsid w:val="09BF3C5F"/>
    <w:rsid w:val="09CA0F50"/>
    <w:rsid w:val="09D43BBF"/>
    <w:rsid w:val="09D81D4E"/>
    <w:rsid w:val="09EC3543"/>
    <w:rsid w:val="09F91EEF"/>
    <w:rsid w:val="0A017749"/>
    <w:rsid w:val="0A116F15"/>
    <w:rsid w:val="0A416CAA"/>
    <w:rsid w:val="0A433EA3"/>
    <w:rsid w:val="0A487DF8"/>
    <w:rsid w:val="0A4A271E"/>
    <w:rsid w:val="0A4C0A53"/>
    <w:rsid w:val="0A515CD4"/>
    <w:rsid w:val="0A562E5C"/>
    <w:rsid w:val="0A5C732A"/>
    <w:rsid w:val="0A70103F"/>
    <w:rsid w:val="0A830A8F"/>
    <w:rsid w:val="0A874A25"/>
    <w:rsid w:val="0A9833A6"/>
    <w:rsid w:val="0AC65656"/>
    <w:rsid w:val="0AD105D3"/>
    <w:rsid w:val="0ADB488F"/>
    <w:rsid w:val="0ADF4740"/>
    <w:rsid w:val="0AE61679"/>
    <w:rsid w:val="0AF404CA"/>
    <w:rsid w:val="0AFB188E"/>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22109"/>
    <w:rsid w:val="0BD75140"/>
    <w:rsid w:val="0BD821CA"/>
    <w:rsid w:val="0BEE41BA"/>
    <w:rsid w:val="0C067FCC"/>
    <w:rsid w:val="0C0A4650"/>
    <w:rsid w:val="0C122E87"/>
    <w:rsid w:val="0C142061"/>
    <w:rsid w:val="0C1B4792"/>
    <w:rsid w:val="0C1E5717"/>
    <w:rsid w:val="0C1E6DD0"/>
    <w:rsid w:val="0C1F4242"/>
    <w:rsid w:val="0C241A25"/>
    <w:rsid w:val="0C25115F"/>
    <w:rsid w:val="0C2A03A1"/>
    <w:rsid w:val="0C30164C"/>
    <w:rsid w:val="0C4909C1"/>
    <w:rsid w:val="0C54553C"/>
    <w:rsid w:val="0C6153DA"/>
    <w:rsid w:val="0C680BDD"/>
    <w:rsid w:val="0C715D36"/>
    <w:rsid w:val="0C72723E"/>
    <w:rsid w:val="0C7E6AFE"/>
    <w:rsid w:val="0C8529B7"/>
    <w:rsid w:val="0C8830F0"/>
    <w:rsid w:val="0C915D6B"/>
    <w:rsid w:val="0C9F0011"/>
    <w:rsid w:val="0CA8035A"/>
    <w:rsid w:val="0CAD361F"/>
    <w:rsid w:val="0CAD70A0"/>
    <w:rsid w:val="0CBC52DE"/>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50325B"/>
    <w:rsid w:val="0D643C93"/>
    <w:rsid w:val="0D6567F6"/>
    <w:rsid w:val="0D7E3CB5"/>
    <w:rsid w:val="0D840310"/>
    <w:rsid w:val="0D935001"/>
    <w:rsid w:val="0DA75F7E"/>
    <w:rsid w:val="0DB05E21"/>
    <w:rsid w:val="0DC759FA"/>
    <w:rsid w:val="0DCE19B4"/>
    <w:rsid w:val="0DF6425C"/>
    <w:rsid w:val="0DFF508E"/>
    <w:rsid w:val="0E0B7BE8"/>
    <w:rsid w:val="0E14052A"/>
    <w:rsid w:val="0E1617B0"/>
    <w:rsid w:val="0E1B588D"/>
    <w:rsid w:val="0E265F28"/>
    <w:rsid w:val="0E2873E9"/>
    <w:rsid w:val="0E491A43"/>
    <w:rsid w:val="0E5F4DDE"/>
    <w:rsid w:val="0E69306D"/>
    <w:rsid w:val="0E6A7112"/>
    <w:rsid w:val="0E744B2D"/>
    <w:rsid w:val="0E835113"/>
    <w:rsid w:val="0E920897"/>
    <w:rsid w:val="0E9B3C63"/>
    <w:rsid w:val="0E9D5F8F"/>
    <w:rsid w:val="0E9F1A79"/>
    <w:rsid w:val="0EB204DE"/>
    <w:rsid w:val="0EB4636E"/>
    <w:rsid w:val="0EB75DCA"/>
    <w:rsid w:val="0ED12EB4"/>
    <w:rsid w:val="0ED16605"/>
    <w:rsid w:val="0ED97B37"/>
    <w:rsid w:val="0EE3071C"/>
    <w:rsid w:val="0EEA3C85"/>
    <w:rsid w:val="0EED2DF2"/>
    <w:rsid w:val="0F067515"/>
    <w:rsid w:val="0F1E28BF"/>
    <w:rsid w:val="0F2D48EA"/>
    <w:rsid w:val="0F2F364C"/>
    <w:rsid w:val="0F401FA4"/>
    <w:rsid w:val="0F4F57E8"/>
    <w:rsid w:val="0F502FE8"/>
    <w:rsid w:val="0F5247A9"/>
    <w:rsid w:val="0F68646E"/>
    <w:rsid w:val="0F6A2C75"/>
    <w:rsid w:val="0F6C3B60"/>
    <w:rsid w:val="0F6F6315"/>
    <w:rsid w:val="0F7150A0"/>
    <w:rsid w:val="0F72066C"/>
    <w:rsid w:val="0F885318"/>
    <w:rsid w:val="0F8E65D1"/>
    <w:rsid w:val="0FB81B5B"/>
    <w:rsid w:val="0FBB477F"/>
    <w:rsid w:val="0FD00E8A"/>
    <w:rsid w:val="0FD74BC5"/>
    <w:rsid w:val="10090199"/>
    <w:rsid w:val="10337DDD"/>
    <w:rsid w:val="103656D1"/>
    <w:rsid w:val="103C7917"/>
    <w:rsid w:val="103D5DF2"/>
    <w:rsid w:val="10432DCB"/>
    <w:rsid w:val="10481A0A"/>
    <w:rsid w:val="10482B91"/>
    <w:rsid w:val="10564A8B"/>
    <w:rsid w:val="1058602D"/>
    <w:rsid w:val="10890BEF"/>
    <w:rsid w:val="108B3AFA"/>
    <w:rsid w:val="10B15280"/>
    <w:rsid w:val="10B60E9D"/>
    <w:rsid w:val="10D50461"/>
    <w:rsid w:val="10DC0B54"/>
    <w:rsid w:val="10DC150B"/>
    <w:rsid w:val="10E24CD8"/>
    <w:rsid w:val="10ED7EC8"/>
    <w:rsid w:val="10F15163"/>
    <w:rsid w:val="10F26CDC"/>
    <w:rsid w:val="10F54A3D"/>
    <w:rsid w:val="11163C77"/>
    <w:rsid w:val="11180C20"/>
    <w:rsid w:val="1139732F"/>
    <w:rsid w:val="114A7510"/>
    <w:rsid w:val="114C67B8"/>
    <w:rsid w:val="115A53BC"/>
    <w:rsid w:val="11696085"/>
    <w:rsid w:val="116A5371"/>
    <w:rsid w:val="117A2D8F"/>
    <w:rsid w:val="118E75B9"/>
    <w:rsid w:val="1194155A"/>
    <w:rsid w:val="11AB3509"/>
    <w:rsid w:val="11D075C8"/>
    <w:rsid w:val="11D15819"/>
    <w:rsid w:val="11DD1D96"/>
    <w:rsid w:val="11E52624"/>
    <w:rsid w:val="11E8124D"/>
    <w:rsid w:val="11EB49A1"/>
    <w:rsid w:val="11ED4284"/>
    <w:rsid w:val="11F9333E"/>
    <w:rsid w:val="11FE31AD"/>
    <w:rsid w:val="120072B3"/>
    <w:rsid w:val="121466AA"/>
    <w:rsid w:val="122159ED"/>
    <w:rsid w:val="1225159D"/>
    <w:rsid w:val="122B6577"/>
    <w:rsid w:val="12343761"/>
    <w:rsid w:val="123756D1"/>
    <w:rsid w:val="123B7167"/>
    <w:rsid w:val="123F6E4B"/>
    <w:rsid w:val="124E5F2C"/>
    <w:rsid w:val="12597E87"/>
    <w:rsid w:val="125B3739"/>
    <w:rsid w:val="12650AEE"/>
    <w:rsid w:val="126943EE"/>
    <w:rsid w:val="12715C00"/>
    <w:rsid w:val="12875FA6"/>
    <w:rsid w:val="12881E44"/>
    <w:rsid w:val="129A697A"/>
    <w:rsid w:val="12B62C9C"/>
    <w:rsid w:val="12C60D48"/>
    <w:rsid w:val="12C6189A"/>
    <w:rsid w:val="12CE785B"/>
    <w:rsid w:val="12D16BCB"/>
    <w:rsid w:val="12DC08F7"/>
    <w:rsid w:val="12DC2AAB"/>
    <w:rsid w:val="12E74E3F"/>
    <w:rsid w:val="12ED7F8F"/>
    <w:rsid w:val="12F04674"/>
    <w:rsid w:val="12FE1AE7"/>
    <w:rsid w:val="132A5815"/>
    <w:rsid w:val="13324C72"/>
    <w:rsid w:val="13356A71"/>
    <w:rsid w:val="13471E04"/>
    <w:rsid w:val="134854F2"/>
    <w:rsid w:val="134F1862"/>
    <w:rsid w:val="13563177"/>
    <w:rsid w:val="13594F2D"/>
    <w:rsid w:val="135A7AFB"/>
    <w:rsid w:val="135F1A74"/>
    <w:rsid w:val="13714DE1"/>
    <w:rsid w:val="137D16C0"/>
    <w:rsid w:val="13A70B15"/>
    <w:rsid w:val="13A74077"/>
    <w:rsid w:val="13BA32C6"/>
    <w:rsid w:val="13DE4A24"/>
    <w:rsid w:val="13E427F7"/>
    <w:rsid w:val="14003B68"/>
    <w:rsid w:val="14077165"/>
    <w:rsid w:val="140A4876"/>
    <w:rsid w:val="140D6D05"/>
    <w:rsid w:val="14207171"/>
    <w:rsid w:val="14231FAC"/>
    <w:rsid w:val="14264818"/>
    <w:rsid w:val="142D10AA"/>
    <w:rsid w:val="144932D3"/>
    <w:rsid w:val="144C3FDA"/>
    <w:rsid w:val="145378D4"/>
    <w:rsid w:val="145404BE"/>
    <w:rsid w:val="1463315F"/>
    <w:rsid w:val="14664519"/>
    <w:rsid w:val="146F09C5"/>
    <w:rsid w:val="147441B4"/>
    <w:rsid w:val="14745B8C"/>
    <w:rsid w:val="14800A37"/>
    <w:rsid w:val="14832530"/>
    <w:rsid w:val="14936D19"/>
    <w:rsid w:val="14C120EC"/>
    <w:rsid w:val="14F33B67"/>
    <w:rsid w:val="15071404"/>
    <w:rsid w:val="150740B1"/>
    <w:rsid w:val="151E62FD"/>
    <w:rsid w:val="15313039"/>
    <w:rsid w:val="153A65BE"/>
    <w:rsid w:val="15422B45"/>
    <w:rsid w:val="154675F7"/>
    <w:rsid w:val="156629A4"/>
    <w:rsid w:val="156A38D6"/>
    <w:rsid w:val="1584295D"/>
    <w:rsid w:val="15870857"/>
    <w:rsid w:val="158735B1"/>
    <w:rsid w:val="15895244"/>
    <w:rsid w:val="15980752"/>
    <w:rsid w:val="159E013D"/>
    <w:rsid w:val="15B12879"/>
    <w:rsid w:val="15BA0961"/>
    <w:rsid w:val="15BA3EE8"/>
    <w:rsid w:val="15BC6BCB"/>
    <w:rsid w:val="15D32868"/>
    <w:rsid w:val="15E70CC4"/>
    <w:rsid w:val="15EC490F"/>
    <w:rsid w:val="15EE1192"/>
    <w:rsid w:val="15F1061F"/>
    <w:rsid w:val="15FA20B2"/>
    <w:rsid w:val="15FD0081"/>
    <w:rsid w:val="161713B9"/>
    <w:rsid w:val="16194AB2"/>
    <w:rsid w:val="162117F2"/>
    <w:rsid w:val="1624041B"/>
    <w:rsid w:val="162E0AC3"/>
    <w:rsid w:val="163D38BD"/>
    <w:rsid w:val="164432FC"/>
    <w:rsid w:val="1660446D"/>
    <w:rsid w:val="166867F9"/>
    <w:rsid w:val="16746A12"/>
    <w:rsid w:val="16751419"/>
    <w:rsid w:val="16763172"/>
    <w:rsid w:val="167E2633"/>
    <w:rsid w:val="168141B2"/>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01616"/>
    <w:rsid w:val="17E43CA4"/>
    <w:rsid w:val="17FF3634"/>
    <w:rsid w:val="1803234F"/>
    <w:rsid w:val="180627B8"/>
    <w:rsid w:val="18120195"/>
    <w:rsid w:val="181B0B66"/>
    <w:rsid w:val="181F7B0D"/>
    <w:rsid w:val="184D7361"/>
    <w:rsid w:val="18611ADF"/>
    <w:rsid w:val="186521B6"/>
    <w:rsid w:val="18660D83"/>
    <w:rsid w:val="187D413F"/>
    <w:rsid w:val="18867BA4"/>
    <w:rsid w:val="188E0EA9"/>
    <w:rsid w:val="188F0361"/>
    <w:rsid w:val="18A34D8C"/>
    <w:rsid w:val="18A748DF"/>
    <w:rsid w:val="18AD0BE1"/>
    <w:rsid w:val="18BD2A66"/>
    <w:rsid w:val="18D119EE"/>
    <w:rsid w:val="18FB62DA"/>
    <w:rsid w:val="190524A1"/>
    <w:rsid w:val="19111C94"/>
    <w:rsid w:val="19214637"/>
    <w:rsid w:val="19244ABB"/>
    <w:rsid w:val="193809C2"/>
    <w:rsid w:val="193A79D1"/>
    <w:rsid w:val="194E641E"/>
    <w:rsid w:val="195671A6"/>
    <w:rsid w:val="19651738"/>
    <w:rsid w:val="196E297D"/>
    <w:rsid w:val="197A25C2"/>
    <w:rsid w:val="19832287"/>
    <w:rsid w:val="198365E2"/>
    <w:rsid w:val="198D3FDB"/>
    <w:rsid w:val="19A425F9"/>
    <w:rsid w:val="19B044DF"/>
    <w:rsid w:val="19C5729B"/>
    <w:rsid w:val="19E97CC7"/>
    <w:rsid w:val="19FA5475"/>
    <w:rsid w:val="19FC6A1D"/>
    <w:rsid w:val="1A110767"/>
    <w:rsid w:val="1A1964F4"/>
    <w:rsid w:val="1A576AE8"/>
    <w:rsid w:val="1A613F40"/>
    <w:rsid w:val="1A6450AE"/>
    <w:rsid w:val="1A6A482E"/>
    <w:rsid w:val="1A6F3D1D"/>
    <w:rsid w:val="1A851E5E"/>
    <w:rsid w:val="1A884F87"/>
    <w:rsid w:val="1A8B66E7"/>
    <w:rsid w:val="1A976D8E"/>
    <w:rsid w:val="1A9A00BD"/>
    <w:rsid w:val="1A9E12F6"/>
    <w:rsid w:val="1A9F3526"/>
    <w:rsid w:val="1AB60854"/>
    <w:rsid w:val="1AB62259"/>
    <w:rsid w:val="1ACA7288"/>
    <w:rsid w:val="1ADB27BA"/>
    <w:rsid w:val="1ADB5923"/>
    <w:rsid w:val="1ADF24BC"/>
    <w:rsid w:val="1AE031F8"/>
    <w:rsid w:val="1AE30162"/>
    <w:rsid w:val="1AF66D2A"/>
    <w:rsid w:val="1AFB2F34"/>
    <w:rsid w:val="1B0F5723"/>
    <w:rsid w:val="1B111758"/>
    <w:rsid w:val="1B12783F"/>
    <w:rsid w:val="1B142E41"/>
    <w:rsid w:val="1B1C4A6C"/>
    <w:rsid w:val="1B1F0131"/>
    <w:rsid w:val="1B2372F3"/>
    <w:rsid w:val="1B2709C3"/>
    <w:rsid w:val="1B2B5B2C"/>
    <w:rsid w:val="1B2C2EBB"/>
    <w:rsid w:val="1B300A8F"/>
    <w:rsid w:val="1B344A57"/>
    <w:rsid w:val="1B364075"/>
    <w:rsid w:val="1B387860"/>
    <w:rsid w:val="1B527AB7"/>
    <w:rsid w:val="1B543436"/>
    <w:rsid w:val="1B551DC0"/>
    <w:rsid w:val="1B6F3157"/>
    <w:rsid w:val="1B745152"/>
    <w:rsid w:val="1B763A15"/>
    <w:rsid w:val="1B7B33DF"/>
    <w:rsid w:val="1B941FF2"/>
    <w:rsid w:val="1BB91E00"/>
    <w:rsid w:val="1BC0329E"/>
    <w:rsid w:val="1BF067F9"/>
    <w:rsid w:val="1BF25AFE"/>
    <w:rsid w:val="1C01157A"/>
    <w:rsid w:val="1C025FD8"/>
    <w:rsid w:val="1C067CEA"/>
    <w:rsid w:val="1C16542D"/>
    <w:rsid w:val="1C3114AD"/>
    <w:rsid w:val="1C337FF5"/>
    <w:rsid w:val="1C3B4532"/>
    <w:rsid w:val="1C3C2DBD"/>
    <w:rsid w:val="1C3F63C6"/>
    <w:rsid w:val="1C4A4F18"/>
    <w:rsid w:val="1C574BB6"/>
    <w:rsid w:val="1C6063BC"/>
    <w:rsid w:val="1C614432"/>
    <w:rsid w:val="1C677760"/>
    <w:rsid w:val="1C79276A"/>
    <w:rsid w:val="1C8342C9"/>
    <w:rsid w:val="1C835541"/>
    <w:rsid w:val="1CA63F16"/>
    <w:rsid w:val="1CB63D17"/>
    <w:rsid w:val="1CBE15B8"/>
    <w:rsid w:val="1CC70AAE"/>
    <w:rsid w:val="1CD31ABA"/>
    <w:rsid w:val="1CF1096D"/>
    <w:rsid w:val="1CF533E7"/>
    <w:rsid w:val="1CF93C71"/>
    <w:rsid w:val="1CF97B60"/>
    <w:rsid w:val="1CFE19CF"/>
    <w:rsid w:val="1D030883"/>
    <w:rsid w:val="1D041C43"/>
    <w:rsid w:val="1D1D75F2"/>
    <w:rsid w:val="1D4E05E3"/>
    <w:rsid w:val="1D5039A9"/>
    <w:rsid w:val="1D5A2B85"/>
    <w:rsid w:val="1D5D47CA"/>
    <w:rsid w:val="1D641353"/>
    <w:rsid w:val="1D670B14"/>
    <w:rsid w:val="1D672B77"/>
    <w:rsid w:val="1D753C86"/>
    <w:rsid w:val="1D924EB5"/>
    <w:rsid w:val="1D9F65B1"/>
    <w:rsid w:val="1DA002EB"/>
    <w:rsid w:val="1DBF7E66"/>
    <w:rsid w:val="1DD7785D"/>
    <w:rsid w:val="1DE0242C"/>
    <w:rsid w:val="1DE02E8C"/>
    <w:rsid w:val="1DFB418B"/>
    <w:rsid w:val="1E0E72E0"/>
    <w:rsid w:val="1E1510B3"/>
    <w:rsid w:val="1E1B06D7"/>
    <w:rsid w:val="1E1D003B"/>
    <w:rsid w:val="1E220564"/>
    <w:rsid w:val="1E2A3511"/>
    <w:rsid w:val="1E2A636A"/>
    <w:rsid w:val="1E2B49A3"/>
    <w:rsid w:val="1E2B5895"/>
    <w:rsid w:val="1E3F71AC"/>
    <w:rsid w:val="1E403D83"/>
    <w:rsid w:val="1E407FC7"/>
    <w:rsid w:val="1E434137"/>
    <w:rsid w:val="1E480EEC"/>
    <w:rsid w:val="1E4A65BA"/>
    <w:rsid w:val="1E506677"/>
    <w:rsid w:val="1E570B7C"/>
    <w:rsid w:val="1E5A2DA3"/>
    <w:rsid w:val="1E611165"/>
    <w:rsid w:val="1E6C6427"/>
    <w:rsid w:val="1E7646AA"/>
    <w:rsid w:val="1E823CD8"/>
    <w:rsid w:val="1E851C27"/>
    <w:rsid w:val="1E8A318B"/>
    <w:rsid w:val="1E965D04"/>
    <w:rsid w:val="1EB05929"/>
    <w:rsid w:val="1EC13239"/>
    <w:rsid w:val="1EC21804"/>
    <w:rsid w:val="1ED920BE"/>
    <w:rsid w:val="1EF7470E"/>
    <w:rsid w:val="1F05265B"/>
    <w:rsid w:val="1F073AFB"/>
    <w:rsid w:val="1F0E2E4B"/>
    <w:rsid w:val="1F1068A9"/>
    <w:rsid w:val="1F11207D"/>
    <w:rsid w:val="1F2E4B7E"/>
    <w:rsid w:val="1F322146"/>
    <w:rsid w:val="1F3309E4"/>
    <w:rsid w:val="1F3475E5"/>
    <w:rsid w:val="1F375157"/>
    <w:rsid w:val="1F3C6344"/>
    <w:rsid w:val="1F4004DF"/>
    <w:rsid w:val="1F5435CA"/>
    <w:rsid w:val="1F546D45"/>
    <w:rsid w:val="1F557BA1"/>
    <w:rsid w:val="1F6A639E"/>
    <w:rsid w:val="1F747B32"/>
    <w:rsid w:val="1F8132C8"/>
    <w:rsid w:val="1F84634A"/>
    <w:rsid w:val="1F9A0EC5"/>
    <w:rsid w:val="1FA02744"/>
    <w:rsid w:val="1FAC011C"/>
    <w:rsid w:val="1FAE155C"/>
    <w:rsid w:val="1FC24714"/>
    <w:rsid w:val="1FCB3278"/>
    <w:rsid w:val="1FCC3990"/>
    <w:rsid w:val="200A6703"/>
    <w:rsid w:val="200C298F"/>
    <w:rsid w:val="202303A0"/>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DD7EA1"/>
    <w:rsid w:val="20EB2123"/>
    <w:rsid w:val="20EC6F0D"/>
    <w:rsid w:val="20EF3849"/>
    <w:rsid w:val="21114D59"/>
    <w:rsid w:val="212707FC"/>
    <w:rsid w:val="213F05A2"/>
    <w:rsid w:val="21492F42"/>
    <w:rsid w:val="216403E6"/>
    <w:rsid w:val="216D73A5"/>
    <w:rsid w:val="21817485"/>
    <w:rsid w:val="218923EA"/>
    <w:rsid w:val="218D6398"/>
    <w:rsid w:val="21BB2CF9"/>
    <w:rsid w:val="21C614F6"/>
    <w:rsid w:val="21CA10B7"/>
    <w:rsid w:val="21CB58AD"/>
    <w:rsid w:val="21D57E5D"/>
    <w:rsid w:val="21D83ACE"/>
    <w:rsid w:val="21E1636B"/>
    <w:rsid w:val="21F54A2A"/>
    <w:rsid w:val="220B38D3"/>
    <w:rsid w:val="220F27AB"/>
    <w:rsid w:val="22247758"/>
    <w:rsid w:val="222561EE"/>
    <w:rsid w:val="223029AE"/>
    <w:rsid w:val="223223EF"/>
    <w:rsid w:val="22490AC6"/>
    <w:rsid w:val="224B1241"/>
    <w:rsid w:val="22565E31"/>
    <w:rsid w:val="225D0DB7"/>
    <w:rsid w:val="2265600B"/>
    <w:rsid w:val="226C24D9"/>
    <w:rsid w:val="227540C8"/>
    <w:rsid w:val="229A12CF"/>
    <w:rsid w:val="22A031AA"/>
    <w:rsid w:val="22C438D9"/>
    <w:rsid w:val="22C43C49"/>
    <w:rsid w:val="22C90127"/>
    <w:rsid w:val="22D008F7"/>
    <w:rsid w:val="22D42D6B"/>
    <w:rsid w:val="22DF5D82"/>
    <w:rsid w:val="22FD581D"/>
    <w:rsid w:val="230D433C"/>
    <w:rsid w:val="231A6446"/>
    <w:rsid w:val="23200D04"/>
    <w:rsid w:val="23252F62"/>
    <w:rsid w:val="2329015A"/>
    <w:rsid w:val="232A0E6E"/>
    <w:rsid w:val="233D3CAD"/>
    <w:rsid w:val="233D41F6"/>
    <w:rsid w:val="233E1D9D"/>
    <w:rsid w:val="23407BB3"/>
    <w:rsid w:val="235A23F9"/>
    <w:rsid w:val="23690BF3"/>
    <w:rsid w:val="2383404C"/>
    <w:rsid w:val="238A746E"/>
    <w:rsid w:val="238F5EF3"/>
    <w:rsid w:val="23AF2973"/>
    <w:rsid w:val="23BD11D2"/>
    <w:rsid w:val="23BD6673"/>
    <w:rsid w:val="23D003FB"/>
    <w:rsid w:val="23E06FF0"/>
    <w:rsid w:val="23E54CEB"/>
    <w:rsid w:val="23E87814"/>
    <w:rsid w:val="23F26B67"/>
    <w:rsid w:val="2418733F"/>
    <w:rsid w:val="241B5CF9"/>
    <w:rsid w:val="24321DFA"/>
    <w:rsid w:val="24530C8F"/>
    <w:rsid w:val="24536864"/>
    <w:rsid w:val="24636547"/>
    <w:rsid w:val="24717D47"/>
    <w:rsid w:val="2478599C"/>
    <w:rsid w:val="2493716D"/>
    <w:rsid w:val="249C788A"/>
    <w:rsid w:val="24B379C3"/>
    <w:rsid w:val="24B82B32"/>
    <w:rsid w:val="24BB49EA"/>
    <w:rsid w:val="24BB6D5B"/>
    <w:rsid w:val="24C73500"/>
    <w:rsid w:val="24DC6375"/>
    <w:rsid w:val="24F755BB"/>
    <w:rsid w:val="24FA5375"/>
    <w:rsid w:val="25073DFB"/>
    <w:rsid w:val="25093711"/>
    <w:rsid w:val="250B71FB"/>
    <w:rsid w:val="25167458"/>
    <w:rsid w:val="251C53CB"/>
    <w:rsid w:val="251E581D"/>
    <w:rsid w:val="252A368C"/>
    <w:rsid w:val="253317B8"/>
    <w:rsid w:val="2537641D"/>
    <w:rsid w:val="253B140B"/>
    <w:rsid w:val="253C3EF7"/>
    <w:rsid w:val="253C502B"/>
    <w:rsid w:val="254B3152"/>
    <w:rsid w:val="254D79CF"/>
    <w:rsid w:val="2558795E"/>
    <w:rsid w:val="255E089E"/>
    <w:rsid w:val="25720BCA"/>
    <w:rsid w:val="257F5882"/>
    <w:rsid w:val="25821957"/>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356020"/>
    <w:rsid w:val="264826D8"/>
    <w:rsid w:val="26486C62"/>
    <w:rsid w:val="26581526"/>
    <w:rsid w:val="265C3A46"/>
    <w:rsid w:val="26845C6C"/>
    <w:rsid w:val="268E053F"/>
    <w:rsid w:val="269408C3"/>
    <w:rsid w:val="269B51B0"/>
    <w:rsid w:val="26AF5A72"/>
    <w:rsid w:val="26BE55EA"/>
    <w:rsid w:val="26C35476"/>
    <w:rsid w:val="26C624F6"/>
    <w:rsid w:val="26C67DB3"/>
    <w:rsid w:val="26C762DB"/>
    <w:rsid w:val="26DC20E5"/>
    <w:rsid w:val="26F97745"/>
    <w:rsid w:val="27044544"/>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C3C4F"/>
    <w:rsid w:val="27B5113B"/>
    <w:rsid w:val="27B66B92"/>
    <w:rsid w:val="27BB5658"/>
    <w:rsid w:val="27BC1DF8"/>
    <w:rsid w:val="27C7398D"/>
    <w:rsid w:val="27CD7063"/>
    <w:rsid w:val="27D17500"/>
    <w:rsid w:val="27E72237"/>
    <w:rsid w:val="28036557"/>
    <w:rsid w:val="28076074"/>
    <w:rsid w:val="280D4614"/>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EB33ED"/>
    <w:rsid w:val="28F64B17"/>
    <w:rsid w:val="29001D45"/>
    <w:rsid w:val="290D0C20"/>
    <w:rsid w:val="29154A5F"/>
    <w:rsid w:val="29162105"/>
    <w:rsid w:val="291D6CFF"/>
    <w:rsid w:val="291E564E"/>
    <w:rsid w:val="29454998"/>
    <w:rsid w:val="294E6999"/>
    <w:rsid w:val="295C0609"/>
    <w:rsid w:val="296C0E83"/>
    <w:rsid w:val="296E389D"/>
    <w:rsid w:val="29741CFA"/>
    <w:rsid w:val="297C2E49"/>
    <w:rsid w:val="29846A65"/>
    <w:rsid w:val="29941624"/>
    <w:rsid w:val="299554BA"/>
    <w:rsid w:val="29956056"/>
    <w:rsid w:val="29A024A9"/>
    <w:rsid w:val="29AA3C23"/>
    <w:rsid w:val="29B70D38"/>
    <w:rsid w:val="29BF59D6"/>
    <w:rsid w:val="29C53546"/>
    <w:rsid w:val="29C941A2"/>
    <w:rsid w:val="29EB49C9"/>
    <w:rsid w:val="29EF3FB8"/>
    <w:rsid w:val="29F12286"/>
    <w:rsid w:val="29FB2966"/>
    <w:rsid w:val="29FE4840"/>
    <w:rsid w:val="2A0B4C59"/>
    <w:rsid w:val="2A1D7695"/>
    <w:rsid w:val="2A2B2E5B"/>
    <w:rsid w:val="2A332876"/>
    <w:rsid w:val="2A37472F"/>
    <w:rsid w:val="2A3A63BF"/>
    <w:rsid w:val="2A411009"/>
    <w:rsid w:val="2A48150B"/>
    <w:rsid w:val="2A4C0A1A"/>
    <w:rsid w:val="2A4C6A3D"/>
    <w:rsid w:val="2A633D38"/>
    <w:rsid w:val="2A655AFF"/>
    <w:rsid w:val="2A715DEA"/>
    <w:rsid w:val="2A7D6818"/>
    <w:rsid w:val="2A97631D"/>
    <w:rsid w:val="2A983CC8"/>
    <w:rsid w:val="2AB4054B"/>
    <w:rsid w:val="2AB64A15"/>
    <w:rsid w:val="2AB843C9"/>
    <w:rsid w:val="2AD307BD"/>
    <w:rsid w:val="2AFE46B0"/>
    <w:rsid w:val="2B073FBC"/>
    <w:rsid w:val="2B0D54D4"/>
    <w:rsid w:val="2B22095A"/>
    <w:rsid w:val="2B265FB5"/>
    <w:rsid w:val="2B392180"/>
    <w:rsid w:val="2B3B76F4"/>
    <w:rsid w:val="2B3C1D66"/>
    <w:rsid w:val="2B3E28EB"/>
    <w:rsid w:val="2B4D5A99"/>
    <w:rsid w:val="2B6E1F63"/>
    <w:rsid w:val="2B6F273D"/>
    <w:rsid w:val="2B7A1CBB"/>
    <w:rsid w:val="2B8F6902"/>
    <w:rsid w:val="2B9215B2"/>
    <w:rsid w:val="2BA42C24"/>
    <w:rsid w:val="2BB623FD"/>
    <w:rsid w:val="2BB72199"/>
    <w:rsid w:val="2BC06028"/>
    <w:rsid w:val="2BC566C7"/>
    <w:rsid w:val="2BC74E34"/>
    <w:rsid w:val="2BC81736"/>
    <w:rsid w:val="2BE3479D"/>
    <w:rsid w:val="2BF93F6F"/>
    <w:rsid w:val="2BFB3F34"/>
    <w:rsid w:val="2C09048B"/>
    <w:rsid w:val="2C19133D"/>
    <w:rsid w:val="2C1A1B3D"/>
    <w:rsid w:val="2C221397"/>
    <w:rsid w:val="2C2B0D8E"/>
    <w:rsid w:val="2C6D7FD1"/>
    <w:rsid w:val="2C81653D"/>
    <w:rsid w:val="2C817596"/>
    <w:rsid w:val="2C822D0A"/>
    <w:rsid w:val="2C9040DB"/>
    <w:rsid w:val="2CAC7BBA"/>
    <w:rsid w:val="2CB20AE9"/>
    <w:rsid w:val="2CB472E0"/>
    <w:rsid w:val="2CB9247E"/>
    <w:rsid w:val="2CF42A2C"/>
    <w:rsid w:val="2D1547AA"/>
    <w:rsid w:val="2D1C0C8B"/>
    <w:rsid w:val="2D307540"/>
    <w:rsid w:val="2D4310C2"/>
    <w:rsid w:val="2D500625"/>
    <w:rsid w:val="2D511CF8"/>
    <w:rsid w:val="2D5A0B9D"/>
    <w:rsid w:val="2D8207CC"/>
    <w:rsid w:val="2D822826"/>
    <w:rsid w:val="2D8E5DB3"/>
    <w:rsid w:val="2D904EBA"/>
    <w:rsid w:val="2D9B5BCF"/>
    <w:rsid w:val="2D9C231F"/>
    <w:rsid w:val="2D9F3C27"/>
    <w:rsid w:val="2DB15F1B"/>
    <w:rsid w:val="2DB431DC"/>
    <w:rsid w:val="2DB47CFE"/>
    <w:rsid w:val="2DC10C67"/>
    <w:rsid w:val="2DC77570"/>
    <w:rsid w:val="2DC951FB"/>
    <w:rsid w:val="2DCA7974"/>
    <w:rsid w:val="2DE44B7D"/>
    <w:rsid w:val="2DFA7AB9"/>
    <w:rsid w:val="2E00515D"/>
    <w:rsid w:val="2E0816D3"/>
    <w:rsid w:val="2E153C96"/>
    <w:rsid w:val="2E2C3CC9"/>
    <w:rsid w:val="2E2D39B2"/>
    <w:rsid w:val="2E3944DD"/>
    <w:rsid w:val="2E524DAC"/>
    <w:rsid w:val="2E553313"/>
    <w:rsid w:val="2E56115F"/>
    <w:rsid w:val="2E6C4C6B"/>
    <w:rsid w:val="2E760F81"/>
    <w:rsid w:val="2E7A64DB"/>
    <w:rsid w:val="2E7F0E45"/>
    <w:rsid w:val="2E816717"/>
    <w:rsid w:val="2E8C1D17"/>
    <w:rsid w:val="2EB07263"/>
    <w:rsid w:val="2EB774D0"/>
    <w:rsid w:val="2ED42752"/>
    <w:rsid w:val="2ED62883"/>
    <w:rsid w:val="2EE04406"/>
    <w:rsid w:val="2EE642AD"/>
    <w:rsid w:val="2EF10E12"/>
    <w:rsid w:val="2EF86FE5"/>
    <w:rsid w:val="2EFD1504"/>
    <w:rsid w:val="2F05447E"/>
    <w:rsid w:val="2F1C3457"/>
    <w:rsid w:val="2F2F348A"/>
    <w:rsid w:val="2F3F6D21"/>
    <w:rsid w:val="2F427B64"/>
    <w:rsid w:val="2F7A7771"/>
    <w:rsid w:val="2F917E15"/>
    <w:rsid w:val="2F9D284F"/>
    <w:rsid w:val="2FA70B41"/>
    <w:rsid w:val="2FAE780E"/>
    <w:rsid w:val="2FB05185"/>
    <w:rsid w:val="2FC42573"/>
    <w:rsid w:val="2FEA61C6"/>
    <w:rsid w:val="2FF46A33"/>
    <w:rsid w:val="2FFB511A"/>
    <w:rsid w:val="30164ACC"/>
    <w:rsid w:val="301746AE"/>
    <w:rsid w:val="303D4291"/>
    <w:rsid w:val="30446691"/>
    <w:rsid w:val="30536DA5"/>
    <w:rsid w:val="30555F0B"/>
    <w:rsid w:val="30594AB0"/>
    <w:rsid w:val="305B18F9"/>
    <w:rsid w:val="306675DB"/>
    <w:rsid w:val="306F4A5C"/>
    <w:rsid w:val="30704F1E"/>
    <w:rsid w:val="30821E14"/>
    <w:rsid w:val="30851E60"/>
    <w:rsid w:val="309866B3"/>
    <w:rsid w:val="30A62E64"/>
    <w:rsid w:val="30CB47A4"/>
    <w:rsid w:val="30CF7345"/>
    <w:rsid w:val="30E33D6A"/>
    <w:rsid w:val="30EC06C8"/>
    <w:rsid w:val="30F27EBE"/>
    <w:rsid w:val="30FA1B3B"/>
    <w:rsid w:val="310544A1"/>
    <w:rsid w:val="31063824"/>
    <w:rsid w:val="31130579"/>
    <w:rsid w:val="31150AF7"/>
    <w:rsid w:val="311D6D46"/>
    <w:rsid w:val="3140510D"/>
    <w:rsid w:val="31490B16"/>
    <w:rsid w:val="31496F27"/>
    <w:rsid w:val="31525124"/>
    <w:rsid w:val="31606BA9"/>
    <w:rsid w:val="317B5137"/>
    <w:rsid w:val="31B173FD"/>
    <w:rsid w:val="31B535AF"/>
    <w:rsid w:val="31D525E6"/>
    <w:rsid w:val="31EA44FA"/>
    <w:rsid w:val="31F304A6"/>
    <w:rsid w:val="31FE6F1E"/>
    <w:rsid w:val="32091243"/>
    <w:rsid w:val="320E77C6"/>
    <w:rsid w:val="32171056"/>
    <w:rsid w:val="32294765"/>
    <w:rsid w:val="322E27DB"/>
    <w:rsid w:val="3264344B"/>
    <w:rsid w:val="327457E2"/>
    <w:rsid w:val="327958E8"/>
    <w:rsid w:val="327E7CD9"/>
    <w:rsid w:val="32B56E69"/>
    <w:rsid w:val="32BA0999"/>
    <w:rsid w:val="32C26851"/>
    <w:rsid w:val="32D87E02"/>
    <w:rsid w:val="32E43144"/>
    <w:rsid w:val="32F445A5"/>
    <w:rsid w:val="32FC5FC6"/>
    <w:rsid w:val="330F4401"/>
    <w:rsid w:val="3312314E"/>
    <w:rsid w:val="331E1E02"/>
    <w:rsid w:val="33353215"/>
    <w:rsid w:val="33435036"/>
    <w:rsid w:val="33472431"/>
    <w:rsid w:val="33510E79"/>
    <w:rsid w:val="335D7B29"/>
    <w:rsid w:val="33677117"/>
    <w:rsid w:val="336B0B61"/>
    <w:rsid w:val="3376006C"/>
    <w:rsid w:val="338853F1"/>
    <w:rsid w:val="338C3ABE"/>
    <w:rsid w:val="33A867A1"/>
    <w:rsid w:val="33BC0176"/>
    <w:rsid w:val="33BE0CB2"/>
    <w:rsid w:val="33C02706"/>
    <w:rsid w:val="33D21CA6"/>
    <w:rsid w:val="33D25587"/>
    <w:rsid w:val="33ED27D2"/>
    <w:rsid w:val="33F133C2"/>
    <w:rsid w:val="33F943AC"/>
    <w:rsid w:val="33FF3CB1"/>
    <w:rsid w:val="340412FF"/>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F5368"/>
    <w:rsid w:val="34B475AD"/>
    <w:rsid w:val="34B70E18"/>
    <w:rsid w:val="34BC6566"/>
    <w:rsid w:val="34C1398D"/>
    <w:rsid w:val="34D33C1F"/>
    <w:rsid w:val="34DB71D0"/>
    <w:rsid w:val="34E077DE"/>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D859B1"/>
    <w:rsid w:val="35EF1F65"/>
    <w:rsid w:val="35EF4E9F"/>
    <w:rsid w:val="36011B96"/>
    <w:rsid w:val="360D3064"/>
    <w:rsid w:val="3618193B"/>
    <w:rsid w:val="36415851"/>
    <w:rsid w:val="364F1AF3"/>
    <w:rsid w:val="3652616D"/>
    <w:rsid w:val="366046B9"/>
    <w:rsid w:val="366135C0"/>
    <w:rsid w:val="366A5627"/>
    <w:rsid w:val="36897237"/>
    <w:rsid w:val="36A1138B"/>
    <w:rsid w:val="36AC26B2"/>
    <w:rsid w:val="36B630C0"/>
    <w:rsid w:val="36C81B5B"/>
    <w:rsid w:val="36CA4796"/>
    <w:rsid w:val="36D12B9D"/>
    <w:rsid w:val="36D305E5"/>
    <w:rsid w:val="36EA7FF2"/>
    <w:rsid w:val="37017235"/>
    <w:rsid w:val="371B2070"/>
    <w:rsid w:val="372071FE"/>
    <w:rsid w:val="373D169F"/>
    <w:rsid w:val="3748158D"/>
    <w:rsid w:val="374E143A"/>
    <w:rsid w:val="375145A6"/>
    <w:rsid w:val="37522485"/>
    <w:rsid w:val="37613C52"/>
    <w:rsid w:val="376C7468"/>
    <w:rsid w:val="376F2885"/>
    <w:rsid w:val="377835C6"/>
    <w:rsid w:val="377F0400"/>
    <w:rsid w:val="378810A1"/>
    <w:rsid w:val="37A61C82"/>
    <w:rsid w:val="37DD1744"/>
    <w:rsid w:val="37EC105F"/>
    <w:rsid w:val="37F25243"/>
    <w:rsid w:val="380255AF"/>
    <w:rsid w:val="38333626"/>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8EA2E96"/>
    <w:rsid w:val="38F87639"/>
    <w:rsid w:val="39090EB2"/>
    <w:rsid w:val="390A09B4"/>
    <w:rsid w:val="390B2C76"/>
    <w:rsid w:val="391644FB"/>
    <w:rsid w:val="39172B97"/>
    <w:rsid w:val="39257351"/>
    <w:rsid w:val="392F0F3D"/>
    <w:rsid w:val="39322F95"/>
    <w:rsid w:val="39430A5E"/>
    <w:rsid w:val="39595BDC"/>
    <w:rsid w:val="39602F23"/>
    <w:rsid w:val="396B58C4"/>
    <w:rsid w:val="396F5D1F"/>
    <w:rsid w:val="397B0BB4"/>
    <w:rsid w:val="399B3376"/>
    <w:rsid w:val="39A64195"/>
    <w:rsid w:val="39C04E20"/>
    <w:rsid w:val="39CA3463"/>
    <w:rsid w:val="39CF6662"/>
    <w:rsid w:val="39D13A82"/>
    <w:rsid w:val="39F143A6"/>
    <w:rsid w:val="39F2252B"/>
    <w:rsid w:val="39F8041B"/>
    <w:rsid w:val="3A0E5A41"/>
    <w:rsid w:val="3A10216C"/>
    <w:rsid w:val="3A2175BE"/>
    <w:rsid w:val="3A2A7F00"/>
    <w:rsid w:val="3A573B8F"/>
    <w:rsid w:val="3A593D19"/>
    <w:rsid w:val="3A597041"/>
    <w:rsid w:val="3A6A27D7"/>
    <w:rsid w:val="3A6D5938"/>
    <w:rsid w:val="3A863FC4"/>
    <w:rsid w:val="3A8E6700"/>
    <w:rsid w:val="3AB54B04"/>
    <w:rsid w:val="3ABC09E4"/>
    <w:rsid w:val="3AC407C9"/>
    <w:rsid w:val="3ADA700B"/>
    <w:rsid w:val="3ADD1A06"/>
    <w:rsid w:val="3AF06CC1"/>
    <w:rsid w:val="3AFF308E"/>
    <w:rsid w:val="3B04324F"/>
    <w:rsid w:val="3B084294"/>
    <w:rsid w:val="3B183E18"/>
    <w:rsid w:val="3B1E4EF7"/>
    <w:rsid w:val="3B215631"/>
    <w:rsid w:val="3B2D6711"/>
    <w:rsid w:val="3B4F6D68"/>
    <w:rsid w:val="3B51309B"/>
    <w:rsid w:val="3B5318D1"/>
    <w:rsid w:val="3B715103"/>
    <w:rsid w:val="3B883403"/>
    <w:rsid w:val="3B91742D"/>
    <w:rsid w:val="3B954F85"/>
    <w:rsid w:val="3B9C0E95"/>
    <w:rsid w:val="3B9F5CAC"/>
    <w:rsid w:val="3BA32D54"/>
    <w:rsid w:val="3BA96A60"/>
    <w:rsid w:val="3BAB3434"/>
    <w:rsid w:val="3BB05A75"/>
    <w:rsid w:val="3BB521BD"/>
    <w:rsid w:val="3BBD0AD4"/>
    <w:rsid w:val="3BBE52E7"/>
    <w:rsid w:val="3BC80F89"/>
    <w:rsid w:val="3BC92878"/>
    <w:rsid w:val="3BE21159"/>
    <w:rsid w:val="3BF2370D"/>
    <w:rsid w:val="3BFE5D03"/>
    <w:rsid w:val="3C01329F"/>
    <w:rsid w:val="3C0248C3"/>
    <w:rsid w:val="3C043AEA"/>
    <w:rsid w:val="3C072215"/>
    <w:rsid w:val="3C167592"/>
    <w:rsid w:val="3C170EB9"/>
    <w:rsid w:val="3C250799"/>
    <w:rsid w:val="3C276162"/>
    <w:rsid w:val="3C2B1BD6"/>
    <w:rsid w:val="3C3563E5"/>
    <w:rsid w:val="3C364397"/>
    <w:rsid w:val="3C396A58"/>
    <w:rsid w:val="3C3C369B"/>
    <w:rsid w:val="3C686CC7"/>
    <w:rsid w:val="3C705476"/>
    <w:rsid w:val="3C714A0F"/>
    <w:rsid w:val="3C762FBC"/>
    <w:rsid w:val="3C89533A"/>
    <w:rsid w:val="3C9108DC"/>
    <w:rsid w:val="3C984A89"/>
    <w:rsid w:val="3CA427D7"/>
    <w:rsid w:val="3CA431D4"/>
    <w:rsid w:val="3CA86B29"/>
    <w:rsid w:val="3CB013F2"/>
    <w:rsid w:val="3CB734A0"/>
    <w:rsid w:val="3CBD03A6"/>
    <w:rsid w:val="3CC17996"/>
    <w:rsid w:val="3CC8720C"/>
    <w:rsid w:val="3CDC27C9"/>
    <w:rsid w:val="3CE068D8"/>
    <w:rsid w:val="3CF21AEE"/>
    <w:rsid w:val="3D0A22D5"/>
    <w:rsid w:val="3D0B5F2D"/>
    <w:rsid w:val="3D114B5C"/>
    <w:rsid w:val="3D13167F"/>
    <w:rsid w:val="3D193B16"/>
    <w:rsid w:val="3D266669"/>
    <w:rsid w:val="3D375A42"/>
    <w:rsid w:val="3D3F2810"/>
    <w:rsid w:val="3D445CB8"/>
    <w:rsid w:val="3D484D37"/>
    <w:rsid w:val="3D495DF7"/>
    <w:rsid w:val="3D746D97"/>
    <w:rsid w:val="3D851633"/>
    <w:rsid w:val="3D875BB8"/>
    <w:rsid w:val="3D911903"/>
    <w:rsid w:val="3DBF1661"/>
    <w:rsid w:val="3DF14ADE"/>
    <w:rsid w:val="3E031C84"/>
    <w:rsid w:val="3E051FCE"/>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8C1E8B"/>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D1564"/>
    <w:rsid w:val="3F403B65"/>
    <w:rsid w:val="3F507482"/>
    <w:rsid w:val="3F5661ED"/>
    <w:rsid w:val="3F5C181E"/>
    <w:rsid w:val="3F610EBC"/>
    <w:rsid w:val="3F6263C0"/>
    <w:rsid w:val="3F700303"/>
    <w:rsid w:val="3F755AF4"/>
    <w:rsid w:val="3F7A035D"/>
    <w:rsid w:val="3F7F2AED"/>
    <w:rsid w:val="3F8568C6"/>
    <w:rsid w:val="3F891574"/>
    <w:rsid w:val="3F895D56"/>
    <w:rsid w:val="3F8B3E3B"/>
    <w:rsid w:val="3F8F0757"/>
    <w:rsid w:val="3F9C6528"/>
    <w:rsid w:val="3FAF7F99"/>
    <w:rsid w:val="3FC24EFB"/>
    <w:rsid w:val="3FC42D5D"/>
    <w:rsid w:val="3FC470DF"/>
    <w:rsid w:val="3FC74891"/>
    <w:rsid w:val="3FD07E53"/>
    <w:rsid w:val="3FDD44BD"/>
    <w:rsid w:val="3FEE4FBE"/>
    <w:rsid w:val="3FF8575E"/>
    <w:rsid w:val="3FFC4473"/>
    <w:rsid w:val="4016105A"/>
    <w:rsid w:val="403D22EE"/>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C448ED"/>
    <w:rsid w:val="40C7040C"/>
    <w:rsid w:val="40D04CE6"/>
    <w:rsid w:val="4109777D"/>
    <w:rsid w:val="41143360"/>
    <w:rsid w:val="411B35D9"/>
    <w:rsid w:val="411F6223"/>
    <w:rsid w:val="41390C96"/>
    <w:rsid w:val="413B683F"/>
    <w:rsid w:val="414145F5"/>
    <w:rsid w:val="41466C95"/>
    <w:rsid w:val="414B6987"/>
    <w:rsid w:val="4158647C"/>
    <w:rsid w:val="41627A2E"/>
    <w:rsid w:val="416B0B98"/>
    <w:rsid w:val="416E7E6D"/>
    <w:rsid w:val="41740777"/>
    <w:rsid w:val="4175321B"/>
    <w:rsid w:val="417D4DB5"/>
    <w:rsid w:val="418F78FA"/>
    <w:rsid w:val="4195768D"/>
    <w:rsid w:val="419F1DDA"/>
    <w:rsid w:val="41CA3305"/>
    <w:rsid w:val="41CC6A6E"/>
    <w:rsid w:val="41D24F42"/>
    <w:rsid w:val="41D46746"/>
    <w:rsid w:val="41D8095C"/>
    <w:rsid w:val="41DB0720"/>
    <w:rsid w:val="41DC58DF"/>
    <w:rsid w:val="41E50241"/>
    <w:rsid w:val="41E541A8"/>
    <w:rsid w:val="41ED6B4B"/>
    <w:rsid w:val="42065175"/>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9327D"/>
    <w:rsid w:val="42CC28E0"/>
    <w:rsid w:val="42E2679D"/>
    <w:rsid w:val="42FD403F"/>
    <w:rsid w:val="43036ACD"/>
    <w:rsid w:val="43037BB1"/>
    <w:rsid w:val="4308583C"/>
    <w:rsid w:val="43096B40"/>
    <w:rsid w:val="430B476E"/>
    <w:rsid w:val="433E40E3"/>
    <w:rsid w:val="43412EFA"/>
    <w:rsid w:val="43486DC6"/>
    <w:rsid w:val="434C15A3"/>
    <w:rsid w:val="434D4AE8"/>
    <w:rsid w:val="43512BF1"/>
    <w:rsid w:val="435448CE"/>
    <w:rsid w:val="435643A5"/>
    <w:rsid w:val="43572820"/>
    <w:rsid w:val="435A4BE6"/>
    <w:rsid w:val="435C3448"/>
    <w:rsid w:val="436B0A40"/>
    <w:rsid w:val="43715519"/>
    <w:rsid w:val="437B4FA4"/>
    <w:rsid w:val="437B5074"/>
    <w:rsid w:val="437E400B"/>
    <w:rsid w:val="43834A3E"/>
    <w:rsid w:val="43875ECA"/>
    <w:rsid w:val="43893B9F"/>
    <w:rsid w:val="43993698"/>
    <w:rsid w:val="43B31196"/>
    <w:rsid w:val="43BB720C"/>
    <w:rsid w:val="43BC335F"/>
    <w:rsid w:val="43C92B32"/>
    <w:rsid w:val="43EB7ACC"/>
    <w:rsid w:val="43F21C60"/>
    <w:rsid w:val="43FC1AB4"/>
    <w:rsid w:val="44183DDC"/>
    <w:rsid w:val="442A1993"/>
    <w:rsid w:val="442F4C28"/>
    <w:rsid w:val="44402F95"/>
    <w:rsid w:val="444C6BA7"/>
    <w:rsid w:val="444F3DF2"/>
    <w:rsid w:val="447D407D"/>
    <w:rsid w:val="448A0E5D"/>
    <w:rsid w:val="448C665C"/>
    <w:rsid w:val="449231FF"/>
    <w:rsid w:val="449D45F7"/>
    <w:rsid w:val="44A435AA"/>
    <w:rsid w:val="44A872EC"/>
    <w:rsid w:val="44A91136"/>
    <w:rsid w:val="44AA7083"/>
    <w:rsid w:val="44AE2F64"/>
    <w:rsid w:val="44BC0A03"/>
    <w:rsid w:val="44C07EB7"/>
    <w:rsid w:val="44C41CD0"/>
    <w:rsid w:val="44EB55BF"/>
    <w:rsid w:val="4516216D"/>
    <w:rsid w:val="451F0B3D"/>
    <w:rsid w:val="45282B19"/>
    <w:rsid w:val="452D2698"/>
    <w:rsid w:val="453A0233"/>
    <w:rsid w:val="454E3658"/>
    <w:rsid w:val="45692880"/>
    <w:rsid w:val="45836B41"/>
    <w:rsid w:val="45882E34"/>
    <w:rsid w:val="458E1594"/>
    <w:rsid w:val="45957630"/>
    <w:rsid w:val="45961CB0"/>
    <w:rsid w:val="45BA3A93"/>
    <w:rsid w:val="45D32B9D"/>
    <w:rsid w:val="45D33468"/>
    <w:rsid w:val="45D51F09"/>
    <w:rsid w:val="45E30C19"/>
    <w:rsid w:val="45E335B5"/>
    <w:rsid w:val="45F471EB"/>
    <w:rsid w:val="46010F1F"/>
    <w:rsid w:val="4605790B"/>
    <w:rsid w:val="46072FDC"/>
    <w:rsid w:val="46103781"/>
    <w:rsid w:val="46144FA7"/>
    <w:rsid w:val="4615521A"/>
    <w:rsid w:val="461834F9"/>
    <w:rsid w:val="46197399"/>
    <w:rsid w:val="461F3C01"/>
    <w:rsid w:val="462231A7"/>
    <w:rsid w:val="462D4AD7"/>
    <w:rsid w:val="463E6D3E"/>
    <w:rsid w:val="464A62B4"/>
    <w:rsid w:val="46566AA9"/>
    <w:rsid w:val="46661558"/>
    <w:rsid w:val="466A3548"/>
    <w:rsid w:val="466C4AED"/>
    <w:rsid w:val="466D7257"/>
    <w:rsid w:val="466E2F34"/>
    <w:rsid w:val="467976DF"/>
    <w:rsid w:val="468E4758"/>
    <w:rsid w:val="46967F5B"/>
    <w:rsid w:val="469B3FAE"/>
    <w:rsid w:val="46B35E11"/>
    <w:rsid w:val="46B8421A"/>
    <w:rsid w:val="46B8581B"/>
    <w:rsid w:val="46BA27BC"/>
    <w:rsid w:val="46BC6770"/>
    <w:rsid w:val="46CF7E90"/>
    <w:rsid w:val="46D13DB8"/>
    <w:rsid w:val="471C6FA1"/>
    <w:rsid w:val="47240834"/>
    <w:rsid w:val="472E4C7C"/>
    <w:rsid w:val="473A45AB"/>
    <w:rsid w:val="473E07A9"/>
    <w:rsid w:val="47485F2E"/>
    <w:rsid w:val="474D153E"/>
    <w:rsid w:val="47546CCD"/>
    <w:rsid w:val="475567CD"/>
    <w:rsid w:val="476D18A9"/>
    <w:rsid w:val="478039D4"/>
    <w:rsid w:val="479E642E"/>
    <w:rsid w:val="47A12FBD"/>
    <w:rsid w:val="47A20A59"/>
    <w:rsid w:val="47B5458F"/>
    <w:rsid w:val="47C1238D"/>
    <w:rsid w:val="47CB0AA5"/>
    <w:rsid w:val="47CE18E3"/>
    <w:rsid w:val="47E246F7"/>
    <w:rsid w:val="47E76F91"/>
    <w:rsid w:val="47FF0DAF"/>
    <w:rsid w:val="48030380"/>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2163F"/>
    <w:rsid w:val="48936FC5"/>
    <w:rsid w:val="489414DE"/>
    <w:rsid w:val="48A61185"/>
    <w:rsid w:val="48C440BD"/>
    <w:rsid w:val="48C76E11"/>
    <w:rsid w:val="48D16ECE"/>
    <w:rsid w:val="48D17B15"/>
    <w:rsid w:val="48DA77C2"/>
    <w:rsid w:val="48F14EB5"/>
    <w:rsid w:val="48F814A8"/>
    <w:rsid w:val="490E0610"/>
    <w:rsid w:val="491171A1"/>
    <w:rsid w:val="4927647B"/>
    <w:rsid w:val="492B0703"/>
    <w:rsid w:val="492C5797"/>
    <w:rsid w:val="4942668D"/>
    <w:rsid w:val="495561DE"/>
    <w:rsid w:val="495F48E7"/>
    <w:rsid w:val="49780AA5"/>
    <w:rsid w:val="497C4A7C"/>
    <w:rsid w:val="49863AD0"/>
    <w:rsid w:val="499C2D6D"/>
    <w:rsid w:val="499D3582"/>
    <w:rsid w:val="49A22B04"/>
    <w:rsid w:val="49A7531A"/>
    <w:rsid w:val="49BF7880"/>
    <w:rsid w:val="49C82B49"/>
    <w:rsid w:val="49D56C49"/>
    <w:rsid w:val="49D855C7"/>
    <w:rsid w:val="49EC4258"/>
    <w:rsid w:val="49F80512"/>
    <w:rsid w:val="4A21436D"/>
    <w:rsid w:val="4A263F01"/>
    <w:rsid w:val="4A2F2F33"/>
    <w:rsid w:val="4A3C5435"/>
    <w:rsid w:val="4A4658CB"/>
    <w:rsid w:val="4A4C1CC9"/>
    <w:rsid w:val="4A5F0C28"/>
    <w:rsid w:val="4A624F55"/>
    <w:rsid w:val="4A6C4E2F"/>
    <w:rsid w:val="4A797C10"/>
    <w:rsid w:val="4A7F1D52"/>
    <w:rsid w:val="4A854E3F"/>
    <w:rsid w:val="4A953B1E"/>
    <w:rsid w:val="4AAB146E"/>
    <w:rsid w:val="4AC20065"/>
    <w:rsid w:val="4ACF2903"/>
    <w:rsid w:val="4AFB4F34"/>
    <w:rsid w:val="4B0F757E"/>
    <w:rsid w:val="4B130467"/>
    <w:rsid w:val="4B1338CC"/>
    <w:rsid w:val="4B172B12"/>
    <w:rsid w:val="4B1E7CCA"/>
    <w:rsid w:val="4B1F0138"/>
    <w:rsid w:val="4B242A8A"/>
    <w:rsid w:val="4B262EBA"/>
    <w:rsid w:val="4B361DA2"/>
    <w:rsid w:val="4B402146"/>
    <w:rsid w:val="4B435D76"/>
    <w:rsid w:val="4B531F8D"/>
    <w:rsid w:val="4B5F63D8"/>
    <w:rsid w:val="4B6139D5"/>
    <w:rsid w:val="4B662E8B"/>
    <w:rsid w:val="4B73166D"/>
    <w:rsid w:val="4B7B3BAB"/>
    <w:rsid w:val="4B82772E"/>
    <w:rsid w:val="4B8677CF"/>
    <w:rsid w:val="4B870F18"/>
    <w:rsid w:val="4B8D450C"/>
    <w:rsid w:val="4B943B21"/>
    <w:rsid w:val="4B9A718E"/>
    <w:rsid w:val="4BAB096B"/>
    <w:rsid w:val="4BAF7E06"/>
    <w:rsid w:val="4BBB3716"/>
    <w:rsid w:val="4BBD0359"/>
    <w:rsid w:val="4BD46636"/>
    <w:rsid w:val="4BDF22F8"/>
    <w:rsid w:val="4BEE45CB"/>
    <w:rsid w:val="4BF326C8"/>
    <w:rsid w:val="4BFB0AE6"/>
    <w:rsid w:val="4C03036E"/>
    <w:rsid w:val="4C082496"/>
    <w:rsid w:val="4C08678F"/>
    <w:rsid w:val="4C1017DC"/>
    <w:rsid w:val="4C165F9F"/>
    <w:rsid w:val="4C1B5AC4"/>
    <w:rsid w:val="4C1D632B"/>
    <w:rsid w:val="4C1F35E6"/>
    <w:rsid w:val="4C396B73"/>
    <w:rsid w:val="4C426781"/>
    <w:rsid w:val="4C4C5496"/>
    <w:rsid w:val="4C6A1CEF"/>
    <w:rsid w:val="4C6C3432"/>
    <w:rsid w:val="4C810AEE"/>
    <w:rsid w:val="4C854697"/>
    <w:rsid w:val="4C8A5FB4"/>
    <w:rsid w:val="4C8C21FB"/>
    <w:rsid w:val="4C9153FC"/>
    <w:rsid w:val="4C922D42"/>
    <w:rsid w:val="4C923F22"/>
    <w:rsid w:val="4C984D6C"/>
    <w:rsid w:val="4C9D08B4"/>
    <w:rsid w:val="4CA66198"/>
    <w:rsid w:val="4CAA102F"/>
    <w:rsid w:val="4CB14655"/>
    <w:rsid w:val="4CB33E17"/>
    <w:rsid w:val="4CB34196"/>
    <w:rsid w:val="4CC477B4"/>
    <w:rsid w:val="4CC80B92"/>
    <w:rsid w:val="4CC92C3A"/>
    <w:rsid w:val="4CD6689C"/>
    <w:rsid w:val="4CE01489"/>
    <w:rsid w:val="4CEB74B6"/>
    <w:rsid w:val="4CF71ECA"/>
    <w:rsid w:val="4CF8202F"/>
    <w:rsid w:val="4CFD4AAA"/>
    <w:rsid w:val="4D182801"/>
    <w:rsid w:val="4D1836FB"/>
    <w:rsid w:val="4D4674EF"/>
    <w:rsid w:val="4D745491"/>
    <w:rsid w:val="4D79073E"/>
    <w:rsid w:val="4D7B0185"/>
    <w:rsid w:val="4D801F16"/>
    <w:rsid w:val="4D9E34B9"/>
    <w:rsid w:val="4DBF6851"/>
    <w:rsid w:val="4DC70EF4"/>
    <w:rsid w:val="4DC90683"/>
    <w:rsid w:val="4DC94ACF"/>
    <w:rsid w:val="4DD61D2A"/>
    <w:rsid w:val="4DDA1E45"/>
    <w:rsid w:val="4DE54991"/>
    <w:rsid w:val="4DF05258"/>
    <w:rsid w:val="4E082C17"/>
    <w:rsid w:val="4E252D2A"/>
    <w:rsid w:val="4E284237"/>
    <w:rsid w:val="4E290153"/>
    <w:rsid w:val="4E3D2E04"/>
    <w:rsid w:val="4E3F795C"/>
    <w:rsid w:val="4E40707C"/>
    <w:rsid w:val="4E42373A"/>
    <w:rsid w:val="4E507D99"/>
    <w:rsid w:val="4E58232B"/>
    <w:rsid w:val="4E8D2056"/>
    <w:rsid w:val="4E995A32"/>
    <w:rsid w:val="4E9B465E"/>
    <w:rsid w:val="4EA76741"/>
    <w:rsid w:val="4EBB286E"/>
    <w:rsid w:val="4EC632AF"/>
    <w:rsid w:val="4ED024B6"/>
    <w:rsid w:val="4ED21F42"/>
    <w:rsid w:val="4EDA5370"/>
    <w:rsid w:val="4EE07940"/>
    <w:rsid w:val="4EF647A8"/>
    <w:rsid w:val="4F093E78"/>
    <w:rsid w:val="4F1E444B"/>
    <w:rsid w:val="4F2A5268"/>
    <w:rsid w:val="4F2B223C"/>
    <w:rsid w:val="4F2C416E"/>
    <w:rsid w:val="4F3B0396"/>
    <w:rsid w:val="4F3B0E3C"/>
    <w:rsid w:val="4F4D0E89"/>
    <w:rsid w:val="4F5464CE"/>
    <w:rsid w:val="4F55307E"/>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5A1F86"/>
    <w:rsid w:val="508F60CA"/>
    <w:rsid w:val="50981162"/>
    <w:rsid w:val="50BC7B28"/>
    <w:rsid w:val="50C06385"/>
    <w:rsid w:val="50CA3636"/>
    <w:rsid w:val="50CE6418"/>
    <w:rsid w:val="50D40BCA"/>
    <w:rsid w:val="50D70E9D"/>
    <w:rsid w:val="50D75D0F"/>
    <w:rsid w:val="50F35D93"/>
    <w:rsid w:val="50FA44CD"/>
    <w:rsid w:val="5105303B"/>
    <w:rsid w:val="51114085"/>
    <w:rsid w:val="511216F1"/>
    <w:rsid w:val="512A1CE3"/>
    <w:rsid w:val="512F7B18"/>
    <w:rsid w:val="51343285"/>
    <w:rsid w:val="51392F3A"/>
    <w:rsid w:val="514516F1"/>
    <w:rsid w:val="51505700"/>
    <w:rsid w:val="51545650"/>
    <w:rsid w:val="5156697B"/>
    <w:rsid w:val="516E7D73"/>
    <w:rsid w:val="5180209A"/>
    <w:rsid w:val="51871567"/>
    <w:rsid w:val="51897721"/>
    <w:rsid w:val="518F4D7D"/>
    <w:rsid w:val="519667AD"/>
    <w:rsid w:val="51973EE4"/>
    <w:rsid w:val="51A84D41"/>
    <w:rsid w:val="51AA2482"/>
    <w:rsid w:val="51B1317F"/>
    <w:rsid w:val="51C23429"/>
    <w:rsid w:val="51D560F8"/>
    <w:rsid w:val="51DB1E92"/>
    <w:rsid w:val="51E14E39"/>
    <w:rsid w:val="51E36D50"/>
    <w:rsid w:val="51ED757F"/>
    <w:rsid w:val="51EE7A0F"/>
    <w:rsid w:val="51F5689F"/>
    <w:rsid w:val="52000D9C"/>
    <w:rsid w:val="5211091B"/>
    <w:rsid w:val="52150A7D"/>
    <w:rsid w:val="52414306"/>
    <w:rsid w:val="52457AEB"/>
    <w:rsid w:val="52564EE5"/>
    <w:rsid w:val="52632A25"/>
    <w:rsid w:val="52650E48"/>
    <w:rsid w:val="52666F95"/>
    <w:rsid w:val="526763FB"/>
    <w:rsid w:val="527251A2"/>
    <w:rsid w:val="52740A71"/>
    <w:rsid w:val="52741EC2"/>
    <w:rsid w:val="52816BB6"/>
    <w:rsid w:val="529F6044"/>
    <w:rsid w:val="52B7391B"/>
    <w:rsid w:val="52DA1C10"/>
    <w:rsid w:val="53336AAE"/>
    <w:rsid w:val="533A136C"/>
    <w:rsid w:val="53480B19"/>
    <w:rsid w:val="5355264E"/>
    <w:rsid w:val="535F2BBA"/>
    <w:rsid w:val="536254F1"/>
    <w:rsid w:val="537C67BA"/>
    <w:rsid w:val="538173E0"/>
    <w:rsid w:val="5396454F"/>
    <w:rsid w:val="53AF337A"/>
    <w:rsid w:val="53B26284"/>
    <w:rsid w:val="53B759F4"/>
    <w:rsid w:val="53D225A4"/>
    <w:rsid w:val="53DF4479"/>
    <w:rsid w:val="53E33790"/>
    <w:rsid w:val="54157C9B"/>
    <w:rsid w:val="54163A8A"/>
    <w:rsid w:val="54186AD3"/>
    <w:rsid w:val="54213F74"/>
    <w:rsid w:val="54371F77"/>
    <w:rsid w:val="543B112A"/>
    <w:rsid w:val="544646DA"/>
    <w:rsid w:val="54477CC6"/>
    <w:rsid w:val="54547B86"/>
    <w:rsid w:val="545E0121"/>
    <w:rsid w:val="54620B37"/>
    <w:rsid w:val="546A3396"/>
    <w:rsid w:val="54760B52"/>
    <w:rsid w:val="5481317B"/>
    <w:rsid w:val="548B620F"/>
    <w:rsid w:val="5494027A"/>
    <w:rsid w:val="54A21918"/>
    <w:rsid w:val="54AA76FF"/>
    <w:rsid w:val="54B92F65"/>
    <w:rsid w:val="54CD732E"/>
    <w:rsid w:val="54CE5C12"/>
    <w:rsid w:val="54DA00AC"/>
    <w:rsid w:val="54DB33E0"/>
    <w:rsid w:val="54DE5937"/>
    <w:rsid w:val="54E05AE9"/>
    <w:rsid w:val="54E82ECC"/>
    <w:rsid w:val="54EA31C7"/>
    <w:rsid w:val="54F02286"/>
    <w:rsid w:val="54FB3C17"/>
    <w:rsid w:val="55016184"/>
    <w:rsid w:val="55072E0B"/>
    <w:rsid w:val="551E5DD3"/>
    <w:rsid w:val="55220DA5"/>
    <w:rsid w:val="55272CCA"/>
    <w:rsid w:val="552B579B"/>
    <w:rsid w:val="55303C1E"/>
    <w:rsid w:val="553C6410"/>
    <w:rsid w:val="55487F01"/>
    <w:rsid w:val="555C6E60"/>
    <w:rsid w:val="556B7BE3"/>
    <w:rsid w:val="556E313D"/>
    <w:rsid w:val="556E398A"/>
    <w:rsid w:val="558114B8"/>
    <w:rsid w:val="55910F8E"/>
    <w:rsid w:val="559E2213"/>
    <w:rsid w:val="55AB500F"/>
    <w:rsid w:val="55B256C0"/>
    <w:rsid w:val="55C73811"/>
    <w:rsid w:val="55DF257C"/>
    <w:rsid w:val="55DF79E5"/>
    <w:rsid w:val="55E81EDA"/>
    <w:rsid w:val="55FC0E2B"/>
    <w:rsid w:val="5611384C"/>
    <w:rsid w:val="561616E2"/>
    <w:rsid w:val="561B28DD"/>
    <w:rsid w:val="561D05FE"/>
    <w:rsid w:val="562137E1"/>
    <w:rsid w:val="562163E5"/>
    <w:rsid w:val="56243972"/>
    <w:rsid w:val="5625542E"/>
    <w:rsid w:val="5635520A"/>
    <w:rsid w:val="563B420E"/>
    <w:rsid w:val="564846E1"/>
    <w:rsid w:val="565D15F1"/>
    <w:rsid w:val="566056C5"/>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80DC8"/>
    <w:rsid w:val="5725410D"/>
    <w:rsid w:val="57305E26"/>
    <w:rsid w:val="57314C5A"/>
    <w:rsid w:val="574A5794"/>
    <w:rsid w:val="574D13EC"/>
    <w:rsid w:val="57545A0C"/>
    <w:rsid w:val="575A261C"/>
    <w:rsid w:val="57A6426A"/>
    <w:rsid w:val="57AC40B2"/>
    <w:rsid w:val="57B82816"/>
    <w:rsid w:val="57B87D1E"/>
    <w:rsid w:val="57E01724"/>
    <w:rsid w:val="57F307C1"/>
    <w:rsid w:val="57FA2BAA"/>
    <w:rsid w:val="580162E5"/>
    <w:rsid w:val="58041F34"/>
    <w:rsid w:val="5815497A"/>
    <w:rsid w:val="581C6799"/>
    <w:rsid w:val="581F4620"/>
    <w:rsid w:val="5843063F"/>
    <w:rsid w:val="584F286F"/>
    <w:rsid w:val="585D149C"/>
    <w:rsid w:val="586621B6"/>
    <w:rsid w:val="587D65EC"/>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A1A9E"/>
    <w:rsid w:val="594E5246"/>
    <w:rsid w:val="59540A82"/>
    <w:rsid w:val="59594578"/>
    <w:rsid w:val="59631729"/>
    <w:rsid w:val="596522DF"/>
    <w:rsid w:val="596815A4"/>
    <w:rsid w:val="59771406"/>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1537E"/>
    <w:rsid w:val="5A572876"/>
    <w:rsid w:val="5A5A0BE4"/>
    <w:rsid w:val="5A5D74BC"/>
    <w:rsid w:val="5A6E0714"/>
    <w:rsid w:val="5A7C5C8F"/>
    <w:rsid w:val="5A90403D"/>
    <w:rsid w:val="5A93572D"/>
    <w:rsid w:val="5A94483F"/>
    <w:rsid w:val="5A9D71ED"/>
    <w:rsid w:val="5AA03918"/>
    <w:rsid w:val="5AAA3B25"/>
    <w:rsid w:val="5AB04EDE"/>
    <w:rsid w:val="5AC64C86"/>
    <w:rsid w:val="5ACF4A76"/>
    <w:rsid w:val="5AD51064"/>
    <w:rsid w:val="5ADE295C"/>
    <w:rsid w:val="5AE61198"/>
    <w:rsid w:val="5AF8170C"/>
    <w:rsid w:val="5B05555C"/>
    <w:rsid w:val="5B0A4BC8"/>
    <w:rsid w:val="5B1649CC"/>
    <w:rsid w:val="5B1716E1"/>
    <w:rsid w:val="5B244DD8"/>
    <w:rsid w:val="5B2717CA"/>
    <w:rsid w:val="5B295890"/>
    <w:rsid w:val="5B2D7342"/>
    <w:rsid w:val="5B3879B9"/>
    <w:rsid w:val="5B436EF0"/>
    <w:rsid w:val="5B460BA7"/>
    <w:rsid w:val="5B4D2B80"/>
    <w:rsid w:val="5B4F6032"/>
    <w:rsid w:val="5B550806"/>
    <w:rsid w:val="5B584E65"/>
    <w:rsid w:val="5B63588F"/>
    <w:rsid w:val="5B731FC6"/>
    <w:rsid w:val="5B7B09B1"/>
    <w:rsid w:val="5B7B185E"/>
    <w:rsid w:val="5B893F6C"/>
    <w:rsid w:val="5B9F1B41"/>
    <w:rsid w:val="5BA242CD"/>
    <w:rsid w:val="5BA37F28"/>
    <w:rsid w:val="5BA85D72"/>
    <w:rsid w:val="5BAE24A8"/>
    <w:rsid w:val="5BB117B1"/>
    <w:rsid w:val="5BB9244E"/>
    <w:rsid w:val="5BBC287B"/>
    <w:rsid w:val="5BBE3012"/>
    <w:rsid w:val="5BC51BF0"/>
    <w:rsid w:val="5BCF26D8"/>
    <w:rsid w:val="5BDB5149"/>
    <w:rsid w:val="5BE86470"/>
    <w:rsid w:val="5BEC2BFA"/>
    <w:rsid w:val="5BF5538D"/>
    <w:rsid w:val="5C0B7CEE"/>
    <w:rsid w:val="5C1333BB"/>
    <w:rsid w:val="5C205F58"/>
    <w:rsid w:val="5C44015E"/>
    <w:rsid w:val="5C4D41F0"/>
    <w:rsid w:val="5C554BC5"/>
    <w:rsid w:val="5C636253"/>
    <w:rsid w:val="5C7509E6"/>
    <w:rsid w:val="5C7B78A0"/>
    <w:rsid w:val="5C7D3D43"/>
    <w:rsid w:val="5C882C4F"/>
    <w:rsid w:val="5C887DF1"/>
    <w:rsid w:val="5C8962BA"/>
    <w:rsid w:val="5C8B00F3"/>
    <w:rsid w:val="5CA70B0A"/>
    <w:rsid w:val="5CBD523A"/>
    <w:rsid w:val="5CCD31A9"/>
    <w:rsid w:val="5CD2475E"/>
    <w:rsid w:val="5CF86CAE"/>
    <w:rsid w:val="5D0B3776"/>
    <w:rsid w:val="5D1E3E8B"/>
    <w:rsid w:val="5D2A4FA4"/>
    <w:rsid w:val="5D443020"/>
    <w:rsid w:val="5D47572E"/>
    <w:rsid w:val="5D485FD5"/>
    <w:rsid w:val="5D487E79"/>
    <w:rsid w:val="5D516A2D"/>
    <w:rsid w:val="5D627A8E"/>
    <w:rsid w:val="5D65410C"/>
    <w:rsid w:val="5D7D662C"/>
    <w:rsid w:val="5D7F6B77"/>
    <w:rsid w:val="5D954FBB"/>
    <w:rsid w:val="5D9E1657"/>
    <w:rsid w:val="5DE847B7"/>
    <w:rsid w:val="5DEE25F8"/>
    <w:rsid w:val="5E0779FA"/>
    <w:rsid w:val="5E131AC2"/>
    <w:rsid w:val="5E1D5BB1"/>
    <w:rsid w:val="5E1D5F77"/>
    <w:rsid w:val="5E234035"/>
    <w:rsid w:val="5E4F7B9F"/>
    <w:rsid w:val="5E632DB0"/>
    <w:rsid w:val="5E6B12A5"/>
    <w:rsid w:val="5E751A3D"/>
    <w:rsid w:val="5E7762CF"/>
    <w:rsid w:val="5E791BB2"/>
    <w:rsid w:val="5E8460C1"/>
    <w:rsid w:val="5E8C768A"/>
    <w:rsid w:val="5E8D61CD"/>
    <w:rsid w:val="5E92367E"/>
    <w:rsid w:val="5EBD47B9"/>
    <w:rsid w:val="5EBF574D"/>
    <w:rsid w:val="5EC9135A"/>
    <w:rsid w:val="5ED14E5B"/>
    <w:rsid w:val="5EDC1529"/>
    <w:rsid w:val="5EE97168"/>
    <w:rsid w:val="5EF04B7B"/>
    <w:rsid w:val="5EFF2135"/>
    <w:rsid w:val="5EFF3DE0"/>
    <w:rsid w:val="5F106EAF"/>
    <w:rsid w:val="5F283CA5"/>
    <w:rsid w:val="5F305F32"/>
    <w:rsid w:val="5F414203"/>
    <w:rsid w:val="5F425A26"/>
    <w:rsid w:val="5F4B0940"/>
    <w:rsid w:val="5F4E3CB5"/>
    <w:rsid w:val="5F5E2546"/>
    <w:rsid w:val="5F7D1E64"/>
    <w:rsid w:val="5F9374D0"/>
    <w:rsid w:val="5F962899"/>
    <w:rsid w:val="5FB76990"/>
    <w:rsid w:val="5FC334A7"/>
    <w:rsid w:val="5FCC1B18"/>
    <w:rsid w:val="5FD86134"/>
    <w:rsid w:val="5FDA48B5"/>
    <w:rsid w:val="5FE25384"/>
    <w:rsid w:val="5FE875BC"/>
    <w:rsid w:val="601A1126"/>
    <w:rsid w:val="60213F74"/>
    <w:rsid w:val="603D6662"/>
    <w:rsid w:val="60425813"/>
    <w:rsid w:val="60671E65"/>
    <w:rsid w:val="60682A3E"/>
    <w:rsid w:val="60747F81"/>
    <w:rsid w:val="607562A7"/>
    <w:rsid w:val="60786235"/>
    <w:rsid w:val="608429EC"/>
    <w:rsid w:val="608664A5"/>
    <w:rsid w:val="608C7B28"/>
    <w:rsid w:val="608F41F2"/>
    <w:rsid w:val="609E6925"/>
    <w:rsid w:val="60A438E2"/>
    <w:rsid w:val="60BA77CD"/>
    <w:rsid w:val="60C63F24"/>
    <w:rsid w:val="60CA2B58"/>
    <w:rsid w:val="60CE43E2"/>
    <w:rsid w:val="60CF7B01"/>
    <w:rsid w:val="60E6750C"/>
    <w:rsid w:val="60F80C2F"/>
    <w:rsid w:val="610B0872"/>
    <w:rsid w:val="610D5E32"/>
    <w:rsid w:val="613468C2"/>
    <w:rsid w:val="613A48D5"/>
    <w:rsid w:val="613C191C"/>
    <w:rsid w:val="61402768"/>
    <w:rsid w:val="61441213"/>
    <w:rsid w:val="61444191"/>
    <w:rsid w:val="61487E7F"/>
    <w:rsid w:val="614C4BCD"/>
    <w:rsid w:val="614F6149"/>
    <w:rsid w:val="6151253D"/>
    <w:rsid w:val="61531878"/>
    <w:rsid w:val="61572E4F"/>
    <w:rsid w:val="616128EC"/>
    <w:rsid w:val="61621D15"/>
    <w:rsid w:val="616720C6"/>
    <w:rsid w:val="617E294F"/>
    <w:rsid w:val="618604D6"/>
    <w:rsid w:val="618649E8"/>
    <w:rsid w:val="61882ACA"/>
    <w:rsid w:val="618D2935"/>
    <w:rsid w:val="61A9585F"/>
    <w:rsid w:val="61AB7C65"/>
    <w:rsid w:val="61B20F7D"/>
    <w:rsid w:val="61BA0C01"/>
    <w:rsid w:val="61C3512C"/>
    <w:rsid w:val="61D50E0A"/>
    <w:rsid w:val="61DB7979"/>
    <w:rsid w:val="61E513E8"/>
    <w:rsid w:val="61F96BC2"/>
    <w:rsid w:val="62073433"/>
    <w:rsid w:val="620B3059"/>
    <w:rsid w:val="620D753C"/>
    <w:rsid w:val="620F2303"/>
    <w:rsid w:val="62160B22"/>
    <w:rsid w:val="62162122"/>
    <w:rsid w:val="62181D46"/>
    <w:rsid w:val="624E0D77"/>
    <w:rsid w:val="62503D14"/>
    <w:rsid w:val="6253214A"/>
    <w:rsid w:val="625374B6"/>
    <w:rsid w:val="62554002"/>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73481"/>
    <w:rsid w:val="62ED42C9"/>
    <w:rsid w:val="62FA55D0"/>
    <w:rsid w:val="630D50D7"/>
    <w:rsid w:val="631A7E52"/>
    <w:rsid w:val="63234C0F"/>
    <w:rsid w:val="63355D34"/>
    <w:rsid w:val="634B4DB7"/>
    <w:rsid w:val="634C01CF"/>
    <w:rsid w:val="634C5226"/>
    <w:rsid w:val="635134EB"/>
    <w:rsid w:val="635665B8"/>
    <w:rsid w:val="635B1B3D"/>
    <w:rsid w:val="6361250B"/>
    <w:rsid w:val="636C1B2F"/>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8554A8"/>
    <w:rsid w:val="648A6387"/>
    <w:rsid w:val="64BB0AF6"/>
    <w:rsid w:val="64BE68C0"/>
    <w:rsid w:val="64C4485F"/>
    <w:rsid w:val="64CB611E"/>
    <w:rsid w:val="64DA076B"/>
    <w:rsid w:val="64DA4014"/>
    <w:rsid w:val="64DD016C"/>
    <w:rsid w:val="64E36924"/>
    <w:rsid w:val="64E9112D"/>
    <w:rsid w:val="64FA59F0"/>
    <w:rsid w:val="65014155"/>
    <w:rsid w:val="65142B38"/>
    <w:rsid w:val="651C15EB"/>
    <w:rsid w:val="6520621E"/>
    <w:rsid w:val="653D68E6"/>
    <w:rsid w:val="654923F7"/>
    <w:rsid w:val="65517FD2"/>
    <w:rsid w:val="655E1F51"/>
    <w:rsid w:val="655E7181"/>
    <w:rsid w:val="656A3683"/>
    <w:rsid w:val="656A7144"/>
    <w:rsid w:val="656E05D2"/>
    <w:rsid w:val="65787D37"/>
    <w:rsid w:val="657B048C"/>
    <w:rsid w:val="657E3E58"/>
    <w:rsid w:val="657F70B1"/>
    <w:rsid w:val="65865107"/>
    <w:rsid w:val="65883F22"/>
    <w:rsid w:val="659242EE"/>
    <w:rsid w:val="65B0069A"/>
    <w:rsid w:val="65B34F87"/>
    <w:rsid w:val="65B61ED7"/>
    <w:rsid w:val="65F60288"/>
    <w:rsid w:val="65F93869"/>
    <w:rsid w:val="660B2971"/>
    <w:rsid w:val="660B5D8E"/>
    <w:rsid w:val="66101EAA"/>
    <w:rsid w:val="66224F9D"/>
    <w:rsid w:val="6632531C"/>
    <w:rsid w:val="665B45D9"/>
    <w:rsid w:val="665F160B"/>
    <w:rsid w:val="66681EB0"/>
    <w:rsid w:val="667237CD"/>
    <w:rsid w:val="667A559E"/>
    <w:rsid w:val="667B1845"/>
    <w:rsid w:val="66953E2E"/>
    <w:rsid w:val="669566DC"/>
    <w:rsid w:val="669C0D67"/>
    <w:rsid w:val="66AE39AD"/>
    <w:rsid w:val="66B00768"/>
    <w:rsid w:val="66C84D0F"/>
    <w:rsid w:val="66DA2D4C"/>
    <w:rsid w:val="66DE6544"/>
    <w:rsid w:val="66EB20DA"/>
    <w:rsid w:val="66F40EB6"/>
    <w:rsid w:val="66FB73E6"/>
    <w:rsid w:val="67066B57"/>
    <w:rsid w:val="670A4B9E"/>
    <w:rsid w:val="67171C12"/>
    <w:rsid w:val="671C012D"/>
    <w:rsid w:val="672E507D"/>
    <w:rsid w:val="673936D7"/>
    <w:rsid w:val="67517AFA"/>
    <w:rsid w:val="675235C1"/>
    <w:rsid w:val="676C58B2"/>
    <w:rsid w:val="67805AAD"/>
    <w:rsid w:val="67921D1E"/>
    <w:rsid w:val="67925682"/>
    <w:rsid w:val="67A838AD"/>
    <w:rsid w:val="67A90BCA"/>
    <w:rsid w:val="67AB1B26"/>
    <w:rsid w:val="67B265D1"/>
    <w:rsid w:val="67B30E44"/>
    <w:rsid w:val="67B445B8"/>
    <w:rsid w:val="67C23B71"/>
    <w:rsid w:val="67C501C3"/>
    <w:rsid w:val="67E32310"/>
    <w:rsid w:val="67E55296"/>
    <w:rsid w:val="67E64840"/>
    <w:rsid w:val="67E87F7F"/>
    <w:rsid w:val="68080A2F"/>
    <w:rsid w:val="681E7CFD"/>
    <w:rsid w:val="68221B5F"/>
    <w:rsid w:val="68260669"/>
    <w:rsid w:val="682633F9"/>
    <w:rsid w:val="68270406"/>
    <w:rsid w:val="68273145"/>
    <w:rsid w:val="682A5BF7"/>
    <w:rsid w:val="68511371"/>
    <w:rsid w:val="68535738"/>
    <w:rsid w:val="68721156"/>
    <w:rsid w:val="687C0A61"/>
    <w:rsid w:val="687C423F"/>
    <w:rsid w:val="68A6107A"/>
    <w:rsid w:val="68BB024A"/>
    <w:rsid w:val="68C25D28"/>
    <w:rsid w:val="68C56A94"/>
    <w:rsid w:val="68D033F3"/>
    <w:rsid w:val="68D50A2F"/>
    <w:rsid w:val="68DC689F"/>
    <w:rsid w:val="68E0170A"/>
    <w:rsid w:val="690C4305"/>
    <w:rsid w:val="690F7F4C"/>
    <w:rsid w:val="69141C2E"/>
    <w:rsid w:val="69184264"/>
    <w:rsid w:val="69430710"/>
    <w:rsid w:val="695479FA"/>
    <w:rsid w:val="69577732"/>
    <w:rsid w:val="696F1E02"/>
    <w:rsid w:val="69762AAC"/>
    <w:rsid w:val="697826BD"/>
    <w:rsid w:val="697850F1"/>
    <w:rsid w:val="6979098F"/>
    <w:rsid w:val="69874F79"/>
    <w:rsid w:val="69997553"/>
    <w:rsid w:val="69AA23F5"/>
    <w:rsid w:val="69BF7EC3"/>
    <w:rsid w:val="69C174CB"/>
    <w:rsid w:val="69CD5383"/>
    <w:rsid w:val="69D330B4"/>
    <w:rsid w:val="69DA268E"/>
    <w:rsid w:val="69E80552"/>
    <w:rsid w:val="69F432B5"/>
    <w:rsid w:val="6A083959"/>
    <w:rsid w:val="6A2835EC"/>
    <w:rsid w:val="6A291175"/>
    <w:rsid w:val="6A2C34AA"/>
    <w:rsid w:val="6A332FC7"/>
    <w:rsid w:val="6A5617E0"/>
    <w:rsid w:val="6A571043"/>
    <w:rsid w:val="6A6459AF"/>
    <w:rsid w:val="6A6A6DC2"/>
    <w:rsid w:val="6A820F91"/>
    <w:rsid w:val="6A824374"/>
    <w:rsid w:val="6A87407F"/>
    <w:rsid w:val="6A884A17"/>
    <w:rsid w:val="6A99127D"/>
    <w:rsid w:val="6A9B6C4A"/>
    <w:rsid w:val="6AB43706"/>
    <w:rsid w:val="6AB8004E"/>
    <w:rsid w:val="6AB861B4"/>
    <w:rsid w:val="6AD96CB7"/>
    <w:rsid w:val="6AE93F76"/>
    <w:rsid w:val="6AE94B94"/>
    <w:rsid w:val="6B0F3C1E"/>
    <w:rsid w:val="6B13077A"/>
    <w:rsid w:val="6B1424DD"/>
    <w:rsid w:val="6B1E5F0E"/>
    <w:rsid w:val="6B221E5F"/>
    <w:rsid w:val="6B272595"/>
    <w:rsid w:val="6B2B1CE6"/>
    <w:rsid w:val="6B2F5E6F"/>
    <w:rsid w:val="6B4629BA"/>
    <w:rsid w:val="6B4C3CF7"/>
    <w:rsid w:val="6B5F4252"/>
    <w:rsid w:val="6B6B5CD2"/>
    <w:rsid w:val="6B711394"/>
    <w:rsid w:val="6B7C0E69"/>
    <w:rsid w:val="6B857B5D"/>
    <w:rsid w:val="6B882178"/>
    <w:rsid w:val="6B9541FA"/>
    <w:rsid w:val="6BA078E7"/>
    <w:rsid w:val="6BB36B04"/>
    <w:rsid w:val="6BBD490E"/>
    <w:rsid w:val="6BC576AE"/>
    <w:rsid w:val="6BCC1277"/>
    <w:rsid w:val="6BCE51E5"/>
    <w:rsid w:val="6BD05062"/>
    <w:rsid w:val="6BEA1F9C"/>
    <w:rsid w:val="6BF279A0"/>
    <w:rsid w:val="6BF712FB"/>
    <w:rsid w:val="6BFC4F57"/>
    <w:rsid w:val="6BFD1BE4"/>
    <w:rsid w:val="6C066239"/>
    <w:rsid w:val="6C1F76C2"/>
    <w:rsid w:val="6C263683"/>
    <w:rsid w:val="6C283176"/>
    <w:rsid w:val="6C3148E6"/>
    <w:rsid w:val="6C372744"/>
    <w:rsid w:val="6C4E1244"/>
    <w:rsid w:val="6C5B6EEC"/>
    <w:rsid w:val="6C5D2D2B"/>
    <w:rsid w:val="6C6E3EA2"/>
    <w:rsid w:val="6C7765FE"/>
    <w:rsid w:val="6C8008DC"/>
    <w:rsid w:val="6C9B3F28"/>
    <w:rsid w:val="6C9B7ADA"/>
    <w:rsid w:val="6CAA5E4D"/>
    <w:rsid w:val="6CB90C9F"/>
    <w:rsid w:val="6CBA6387"/>
    <w:rsid w:val="6CC60DC9"/>
    <w:rsid w:val="6CD44DB3"/>
    <w:rsid w:val="6CDC7845"/>
    <w:rsid w:val="6D000FC4"/>
    <w:rsid w:val="6D0222AE"/>
    <w:rsid w:val="6D031778"/>
    <w:rsid w:val="6D08005D"/>
    <w:rsid w:val="6D0A7C83"/>
    <w:rsid w:val="6D106FB7"/>
    <w:rsid w:val="6D1C3F9C"/>
    <w:rsid w:val="6D2B7848"/>
    <w:rsid w:val="6D4A67A4"/>
    <w:rsid w:val="6D507B9E"/>
    <w:rsid w:val="6D517127"/>
    <w:rsid w:val="6D5D5CC1"/>
    <w:rsid w:val="6D6B744D"/>
    <w:rsid w:val="6D6E2003"/>
    <w:rsid w:val="6D782946"/>
    <w:rsid w:val="6D88460B"/>
    <w:rsid w:val="6D9961FC"/>
    <w:rsid w:val="6DA07DE7"/>
    <w:rsid w:val="6DA721E6"/>
    <w:rsid w:val="6DB22643"/>
    <w:rsid w:val="6DBE5CD2"/>
    <w:rsid w:val="6DD17765"/>
    <w:rsid w:val="6DE374BA"/>
    <w:rsid w:val="6DEC6B1D"/>
    <w:rsid w:val="6E0B3AA3"/>
    <w:rsid w:val="6E1A3D81"/>
    <w:rsid w:val="6E20601C"/>
    <w:rsid w:val="6E2A5041"/>
    <w:rsid w:val="6E2C4FDA"/>
    <w:rsid w:val="6E3A38A7"/>
    <w:rsid w:val="6E4660D0"/>
    <w:rsid w:val="6E4814BD"/>
    <w:rsid w:val="6E49556F"/>
    <w:rsid w:val="6E4A043D"/>
    <w:rsid w:val="6E5409EA"/>
    <w:rsid w:val="6E5D124F"/>
    <w:rsid w:val="6E64455F"/>
    <w:rsid w:val="6E6F129A"/>
    <w:rsid w:val="6E73676F"/>
    <w:rsid w:val="6E746A64"/>
    <w:rsid w:val="6E8C7E9A"/>
    <w:rsid w:val="6EA7226C"/>
    <w:rsid w:val="6EB10489"/>
    <w:rsid w:val="6EB13143"/>
    <w:rsid w:val="6EBF0F07"/>
    <w:rsid w:val="6EBF51FD"/>
    <w:rsid w:val="6EC3545C"/>
    <w:rsid w:val="6ECA78B1"/>
    <w:rsid w:val="6ED3082D"/>
    <w:rsid w:val="6ED802BA"/>
    <w:rsid w:val="6EEE6187"/>
    <w:rsid w:val="6EFD5C0F"/>
    <w:rsid w:val="6F0211AE"/>
    <w:rsid w:val="6F0761D1"/>
    <w:rsid w:val="6F081FAF"/>
    <w:rsid w:val="6F185436"/>
    <w:rsid w:val="6F252E0D"/>
    <w:rsid w:val="6F257D94"/>
    <w:rsid w:val="6F356A75"/>
    <w:rsid w:val="6F6A055F"/>
    <w:rsid w:val="6F6A09C1"/>
    <w:rsid w:val="6F733EF8"/>
    <w:rsid w:val="6F7478CD"/>
    <w:rsid w:val="6F7E56AF"/>
    <w:rsid w:val="6F8310B0"/>
    <w:rsid w:val="6FAF4A0F"/>
    <w:rsid w:val="6FB917DB"/>
    <w:rsid w:val="6FC16844"/>
    <w:rsid w:val="6FC80B1A"/>
    <w:rsid w:val="6FD412E1"/>
    <w:rsid w:val="6FE649D7"/>
    <w:rsid w:val="6FEA1D9F"/>
    <w:rsid w:val="6FEE7DF4"/>
    <w:rsid w:val="6FF43A17"/>
    <w:rsid w:val="6FF473BA"/>
    <w:rsid w:val="6FFC588A"/>
    <w:rsid w:val="70107D6D"/>
    <w:rsid w:val="70233526"/>
    <w:rsid w:val="70306C17"/>
    <w:rsid w:val="7032775A"/>
    <w:rsid w:val="705E46D3"/>
    <w:rsid w:val="70754C0A"/>
    <w:rsid w:val="70810F20"/>
    <w:rsid w:val="70861530"/>
    <w:rsid w:val="70984F7D"/>
    <w:rsid w:val="709970EF"/>
    <w:rsid w:val="709C1A8C"/>
    <w:rsid w:val="709E0303"/>
    <w:rsid w:val="70A66E2A"/>
    <w:rsid w:val="70B27B70"/>
    <w:rsid w:val="70B42928"/>
    <w:rsid w:val="70C27D98"/>
    <w:rsid w:val="70CE09C3"/>
    <w:rsid w:val="70D5302A"/>
    <w:rsid w:val="70D66B5B"/>
    <w:rsid w:val="70E41A32"/>
    <w:rsid w:val="70EC22DD"/>
    <w:rsid w:val="71135B6C"/>
    <w:rsid w:val="71147566"/>
    <w:rsid w:val="71187E91"/>
    <w:rsid w:val="711D51A6"/>
    <w:rsid w:val="711E5597"/>
    <w:rsid w:val="71287630"/>
    <w:rsid w:val="712C1AEB"/>
    <w:rsid w:val="713148BC"/>
    <w:rsid w:val="71371CF9"/>
    <w:rsid w:val="713E5AE7"/>
    <w:rsid w:val="714D242D"/>
    <w:rsid w:val="71553110"/>
    <w:rsid w:val="71595F60"/>
    <w:rsid w:val="716F1C44"/>
    <w:rsid w:val="717E7A69"/>
    <w:rsid w:val="71806D32"/>
    <w:rsid w:val="71AD6FAE"/>
    <w:rsid w:val="71AE30B5"/>
    <w:rsid w:val="71C27EC8"/>
    <w:rsid w:val="71C33DD0"/>
    <w:rsid w:val="71C47A3E"/>
    <w:rsid w:val="71E66B42"/>
    <w:rsid w:val="71FE1EF5"/>
    <w:rsid w:val="71FE6B1E"/>
    <w:rsid w:val="72005AE6"/>
    <w:rsid w:val="72082326"/>
    <w:rsid w:val="72104AC2"/>
    <w:rsid w:val="72124041"/>
    <w:rsid w:val="72135B21"/>
    <w:rsid w:val="721601E1"/>
    <w:rsid w:val="72190667"/>
    <w:rsid w:val="722D47E9"/>
    <w:rsid w:val="72337620"/>
    <w:rsid w:val="72390483"/>
    <w:rsid w:val="723F5BDB"/>
    <w:rsid w:val="725226FE"/>
    <w:rsid w:val="72570EA7"/>
    <w:rsid w:val="725B686D"/>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C66DC"/>
    <w:rsid w:val="731F34BA"/>
    <w:rsid w:val="733C616F"/>
    <w:rsid w:val="7340334A"/>
    <w:rsid w:val="734A7EB9"/>
    <w:rsid w:val="73586DC3"/>
    <w:rsid w:val="735B05AA"/>
    <w:rsid w:val="736811C4"/>
    <w:rsid w:val="73725CC7"/>
    <w:rsid w:val="738F08AE"/>
    <w:rsid w:val="739448F8"/>
    <w:rsid w:val="739B35DE"/>
    <w:rsid w:val="73A373C8"/>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8424A"/>
    <w:rsid w:val="7497088D"/>
    <w:rsid w:val="74A30572"/>
    <w:rsid w:val="74AA7244"/>
    <w:rsid w:val="74C6304D"/>
    <w:rsid w:val="74C6592A"/>
    <w:rsid w:val="74C73FE3"/>
    <w:rsid w:val="74D752B2"/>
    <w:rsid w:val="74DC5A55"/>
    <w:rsid w:val="74E71A82"/>
    <w:rsid w:val="74F64E3F"/>
    <w:rsid w:val="74FD1B30"/>
    <w:rsid w:val="751D0E17"/>
    <w:rsid w:val="752C6162"/>
    <w:rsid w:val="75360A99"/>
    <w:rsid w:val="754A05DC"/>
    <w:rsid w:val="754D0AC8"/>
    <w:rsid w:val="754E71FA"/>
    <w:rsid w:val="755A3164"/>
    <w:rsid w:val="755A7CE3"/>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5512FB"/>
    <w:rsid w:val="766477E6"/>
    <w:rsid w:val="76687032"/>
    <w:rsid w:val="7672045B"/>
    <w:rsid w:val="76766B2A"/>
    <w:rsid w:val="767F2D37"/>
    <w:rsid w:val="76895AED"/>
    <w:rsid w:val="7698131F"/>
    <w:rsid w:val="76984EB1"/>
    <w:rsid w:val="76991A17"/>
    <w:rsid w:val="76BA50E5"/>
    <w:rsid w:val="76D114B9"/>
    <w:rsid w:val="76D42781"/>
    <w:rsid w:val="76D801ED"/>
    <w:rsid w:val="76D81D5A"/>
    <w:rsid w:val="76FF6865"/>
    <w:rsid w:val="77067FBD"/>
    <w:rsid w:val="77190179"/>
    <w:rsid w:val="77236D53"/>
    <w:rsid w:val="77295D03"/>
    <w:rsid w:val="772A5AB9"/>
    <w:rsid w:val="772B4368"/>
    <w:rsid w:val="77342FB5"/>
    <w:rsid w:val="774D3DC3"/>
    <w:rsid w:val="776D6580"/>
    <w:rsid w:val="778C04E9"/>
    <w:rsid w:val="778D0EB5"/>
    <w:rsid w:val="778F2765"/>
    <w:rsid w:val="778F2F65"/>
    <w:rsid w:val="77B12CB1"/>
    <w:rsid w:val="77B360B7"/>
    <w:rsid w:val="77C06A18"/>
    <w:rsid w:val="77E22291"/>
    <w:rsid w:val="77EE5F0C"/>
    <w:rsid w:val="78037E72"/>
    <w:rsid w:val="78081284"/>
    <w:rsid w:val="780820AC"/>
    <w:rsid w:val="78125407"/>
    <w:rsid w:val="78163E0D"/>
    <w:rsid w:val="7816691F"/>
    <w:rsid w:val="78300AEE"/>
    <w:rsid w:val="784E49B9"/>
    <w:rsid w:val="784F14F7"/>
    <w:rsid w:val="78507637"/>
    <w:rsid w:val="78570A15"/>
    <w:rsid w:val="7859168E"/>
    <w:rsid w:val="7867796C"/>
    <w:rsid w:val="787E62E4"/>
    <w:rsid w:val="787F40EE"/>
    <w:rsid w:val="788E133E"/>
    <w:rsid w:val="78985EAB"/>
    <w:rsid w:val="789A27B0"/>
    <w:rsid w:val="789E5F80"/>
    <w:rsid w:val="78B57BD3"/>
    <w:rsid w:val="78C14DB7"/>
    <w:rsid w:val="78C243BF"/>
    <w:rsid w:val="78D81144"/>
    <w:rsid w:val="78DB60EA"/>
    <w:rsid w:val="78EF1AB2"/>
    <w:rsid w:val="78F3376F"/>
    <w:rsid w:val="78F669DD"/>
    <w:rsid w:val="78F93BF1"/>
    <w:rsid w:val="79047D24"/>
    <w:rsid w:val="790D74C3"/>
    <w:rsid w:val="792073FF"/>
    <w:rsid w:val="79255B1E"/>
    <w:rsid w:val="79327BE3"/>
    <w:rsid w:val="79333591"/>
    <w:rsid w:val="793423B9"/>
    <w:rsid w:val="793E711F"/>
    <w:rsid w:val="794674FF"/>
    <w:rsid w:val="794F5E9D"/>
    <w:rsid w:val="7950305C"/>
    <w:rsid w:val="79596ED9"/>
    <w:rsid w:val="796606AB"/>
    <w:rsid w:val="797279F9"/>
    <w:rsid w:val="797B05F4"/>
    <w:rsid w:val="798B6440"/>
    <w:rsid w:val="79976759"/>
    <w:rsid w:val="799C0BFC"/>
    <w:rsid w:val="79A23D4A"/>
    <w:rsid w:val="79B50C6F"/>
    <w:rsid w:val="79C97C3D"/>
    <w:rsid w:val="79D319E8"/>
    <w:rsid w:val="79D63957"/>
    <w:rsid w:val="79E06AB0"/>
    <w:rsid w:val="7A0527D6"/>
    <w:rsid w:val="7A073B40"/>
    <w:rsid w:val="7A161DCC"/>
    <w:rsid w:val="7A1D1EDB"/>
    <w:rsid w:val="7A1E66A7"/>
    <w:rsid w:val="7A230AF8"/>
    <w:rsid w:val="7A2B24E9"/>
    <w:rsid w:val="7A3626DC"/>
    <w:rsid w:val="7A3E3C86"/>
    <w:rsid w:val="7A421F6B"/>
    <w:rsid w:val="7A66124D"/>
    <w:rsid w:val="7A807287"/>
    <w:rsid w:val="7A8A4BE4"/>
    <w:rsid w:val="7A9C129D"/>
    <w:rsid w:val="7AA44BF9"/>
    <w:rsid w:val="7AAC617C"/>
    <w:rsid w:val="7ABE7A74"/>
    <w:rsid w:val="7AC3193E"/>
    <w:rsid w:val="7AD825ED"/>
    <w:rsid w:val="7ADC141C"/>
    <w:rsid w:val="7ADE35C4"/>
    <w:rsid w:val="7AE7522B"/>
    <w:rsid w:val="7AED7CA7"/>
    <w:rsid w:val="7AFC756B"/>
    <w:rsid w:val="7B034900"/>
    <w:rsid w:val="7B0A616D"/>
    <w:rsid w:val="7B1125B1"/>
    <w:rsid w:val="7B1530FA"/>
    <w:rsid w:val="7B2373FC"/>
    <w:rsid w:val="7B296957"/>
    <w:rsid w:val="7B60686C"/>
    <w:rsid w:val="7B691F83"/>
    <w:rsid w:val="7B6A65F9"/>
    <w:rsid w:val="7B73525D"/>
    <w:rsid w:val="7B831E93"/>
    <w:rsid w:val="7B841502"/>
    <w:rsid w:val="7B856B69"/>
    <w:rsid w:val="7B8B6875"/>
    <w:rsid w:val="7BA51FAA"/>
    <w:rsid w:val="7BA71431"/>
    <w:rsid w:val="7BA84EEF"/>
    <w:rsid w:val="7BAA325D"/>
    <w:rsid w:val="7BAB65F0"/>
    <w:rsid w:val="7BC5601A"/>
    <w:rsid w:val="7BE067C0"/>
    <w:rsid w:val="7BED7D90"/>
    <w:rsid w:val="7BF434DE"/>
    <w:rsid w:val="7C041716"/>
    <w:rsid w:val="7C0D7EE2"/>
    <w:rsid w:val="7C0F1C2F"/>
    <w:rsid w:val="7C0F6F8D"/>
    <w:rsid w:val="7C1832E2"/>
    <w:rsid w:val="7C1C3EEC"/>
    <w:rsid w:val="7C2C3168"/>
    <w:rsid w:val="7C4113FD"/>
    <w:rsid w:val="7C60764A"/>
    <w:rsid w:val="7C7F077B"/>
    <w:rsid w:val="7C924E6B"/>
    <w:rsid w:val="7C945C5D"/>
    <w:rsid w:val="7CA750E2"/>
    <w:rsid w:val="7CA76A30"/>
    <w:rsid w:val="7CB570A3"/>
    <w:rsid w:val="7CC85D2E"/>
    <w:rsid w:val="7CEE26B4"/>
    <w:rsid w:val="7CFA0A3C"/>
    <w:rsid w:val="7CFB25C5"/>
    <w:rsid w:val="7CFE04F4"/>
    <w:rsid w:val="7D024938"/>
    <w:rsid w:val="7D0432EA"/>
    <w:rsid w:val="7D071A67"/>
    <w:rsid w:val="7D08106A"/>
    <w:rsid w:val="7D1009C2"/>
    <w:rsid w:val="7D120B85"/>
    <w:rsid w:val="7D153027"/>
    <w:rsid w:val="7D240558"/>
    <w:rsid w:val="7D265B72"/>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E122502"/>
    <w:rsid w:val="7E123900"/>
    <w:rsid w:val="7E2D277B"/>
    <w:rsid w:val="7E2F58AE"/>
    <w:rsid w:val="7E464EB2"/>
    <w:rsid w:val="7E515BE0"/>
    <w:rsid w:val="7E5724CE"/>
    <w:rsid w:val="7E5B4BE3"/>
    <w:rsid w:val="7E6C79E8"/>
    <w:rsid w:val="7E6E14DC"/>
    <w:rsid w:val="7E7D6BF3"/>
    <w:rsid w:val="7E8F2FE1"/>
    <w:rsid w:val="7EB35B91"/>
    <w:rsid w:val="7EB90785"/>
    <w:rsid w:val="7EE2181E"/>
    <w:rsid w:val="7EE97E69"/>
    <w:rsid w:val="7EEF15E6"/>
    <w:rsid w:val="7EFB7E48"/>
    <w:rsid w:val="7F0F3C4C"/>
    <w:rsid w:val="7F102E25"/>
    <w:rsid w:val="7F1A7C06"/>
    <w:rsid w:val="7F1F0D0A"/>
    <w:rsid w:val="7F2235DD"/>
    <w:rsid w:val="7F2B3490"/>
    <w:rsid w:val="7F4C3B9B"/>
    <w:rsid w:val="7F680EF6"/>
    <w:rsid w:val="7F81479C"/>
    <w:rsid w:val="7F9511E2"/>
    <w:rsid w:val="7F961536"/>
    <w:rsid w:val="7FAB72FA"/>
    <w:rsid w:val="7FB62697"/>
    <w:rsid w:val="7FB772DD"/>
    <w:rsid w:val="7FCD364A"/>
    <w:rsid w:val="7FD5728C"/>
    <w:rsid w:val="7FDF1D58"/>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33"/>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ind w:firstLine="0" w:firstLineChars="0"/>
      <w:outlineLvl w:val="2"/>
    </w:pPr>
    <w:rPr>
      <w:rFonts w:ascii="宋体" w:hAnsi="宋体" w:eastAsia="黑体"/>
      <w:bCs/>
      <w:sz w:val="24"/>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line="240" w:lineRule="auto"/>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10"/>
    <w:qFormat/>
    <w:uiPriority w:val="0"/>
    <w:pPr>
      <w:spacing w:after="120"/>
      <w:ind w:left="420" w:leftChars="200" w:firstLine="420" w:firstLineChars="200"/>
    </w:pPr>
    <w:rPr>
      <w:rFonts w:ascii="Calibri" w:hAnsi="Calibri"/>
      <w:kern w:val="2"/>
      <w:sz w:val="21"/>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Hyperlink"/>
    <w:basedOn w:val="22"/>
    <w:qFormat/>
    <w:uiPriority w:val="0"/>
    <w:rPr>
      <w:color w:val="333333"/>
      <w:u w:val="non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0">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31">
    <w:name w:val="正文 题目"/>
    <w:basedOn w:val="1"/>
    <w:qFormat/>
    <w:uiPriority w:val="0"/>
    <w:pPr>
      <w:ind w:firstLine="0" w:firstLineChars="0"/>
      <w:jc w:val="center"/>
    </w:pPr>
    <w:rPr>
      <w:rFonts w:ascii="黑体" w:hAnsi="黑体" w:eastAsia="黑体"/>
      <w:sz w:val="28"/>
    </w:rPr>
  </w:style>
  <w:style w:type="paragraph" w:customStyle="1" w:styleId="32">
    <w:name w:val="列出段落1"/>
    <w:basedOn w:val="1"/>
    <w:qFormat/>
    <w:uiPriority w:val="99"/>
    <w:rPr>
      <w:rFonts w:ascii="Times New Roman" w:hAnsi="Times New Roman"/>
    </w:rPr>
  </w:style>
  <w:style w:type="character" w:customStyle="1" w:styleId="33">
    <w:name w:val="标题 2 Char"/>
    <w:link w:val="5"/>
    <w:qFormat/>
    <w:uiPriority w:val="0"/>
    <w:rPr>
      <w:rFonts w:ascii="Arial" w:hAnsi="Arial"/>
      <w:b/>
      <w:bCs/>
      <w:sz w:val="28"/>
      <w:szCs w:val="32"/>
    </w:rPr>
  </w:style>
  <w:style w:type="paragraph" w:customStyle="1" w:styleId="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character" w:customStyle="1" w:styleId="37">
    <w:name w:val="font21"/>
    <w:basedOn w:val="22"/>
    <w:qFormat/>
    <w:uiPriority w:val="0"/>
    <w:rPr>
      <w:rFonts w:hint="eastAsia" w:ascii="宋体" w:hAnsi="宋体" w:eastAsia="宋体" w:cs="宋体"/>
      <w:color w:val="000000"/>
      <w:sz w:val="24"/>
      <w:szCs w:val="24"/>
      <w:u w:val="none"/>
    </w:rPr>
  </w:style>
  <w:style w:type="character" w:customStyle="1" w:styleId="38">
    <w:name w:val="font01"/>
    <w:basedOn w:val="22"/>
    <w:qFormat/>
    <w:uiPriority w:val="0"/>
    <w:rPr>
      <w:rFonts w:hint="default" w:ascii="Times New Roman" w:hAnsi="Times New Roman" w:cs="Times New Roman"/>
      <w:color w:val="000000"/>
      <w:sz w:val="24"/>
      <w:szCs w:val="24"/>
      <w:u w:val="none"/>
    </w:rPr>
  </w:style>
  <w:style w:type="character" w:customStyle="1" w:styleId="39">
    <w:name w:val="font11"/>
    <w:basedOn w:val="22"/>
    <w:qFormat/>
    <w:uiPriority w:val="0"/>
    <w:rPr>
      <w:rFonts w:hint="default" w:ascii="Times New Roman" w:hAnsi="Times New Roman" w:cs="Times New Roman"/>
      <w:color w:val="000000"/>
      <w:sz w:val="20"/>
      <w:szCs w:val="20"/>
      <w:u w:val="none"/>
    </w:rPr>
  </w:style>
  <w:style w:type="character" w:customStyle="1" w:styleId="40">
    <w:name w:val="font31"/>
    <w:basedOn w:val="22"/>
    <w:qFormat/>
    <w:uiPriority w:val="0"/>
    <w:rPr>
      <w:rFonts w:hint="eastAsia" w:ascii="宋体" w:hAnsi="宋体" w:eastAsia="宋体" w:cs="宋体"/>
      <w:color w:val="000000"/>
      <w:sz w:val="20"/>
      <w:szCs w:val="20"/>
      <w:u w:val="none"/>
    </w:rPr>
  </w:style>
  <w:style w:type="paragraph" w:customStyle="1" w:styleId="41">
    <w:name w:val="附件标题"/>
    <w:basedOn w:val="5"/>
    <w:next w:val="1"/>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paragraph" w:customStyle="1" w:styleId="42">
    <w:name w:val="Table Paragraph"/>
    <w:basedOn w:val="1"/>
    <w:qFormat/>
    <w:uiPriority w:val="1"/>
    <w:rPr>
      <w:rFonts w:ascii="宋体" w:hAnsi="宋体" w:eastAsia="宋体" w:cs="宋体"/>
      <w:lang w:val="zh-CN" w:eastAsia="zh-CN" w:bidi="zh-CN"/>
    </w:rPr>
  </w:style>
  <w:style w:type="character" w:customStyle="1" w:styleId="43">
    <w:name w:val="font91"/>
    <w:qFormat/>
    <w:uiPriority w:val="0"/>
    <w:rPr>
      <w:rFonts w:hint="eastAsia" w:ascii="宋体" w:hAnsi="宋体" w:eastAsia="宋体" w:cs="宋体"/>
      <w:color w:val="000000"/>
      <w:sz w:val="21"/>
      <w:szCs w:val="21"/>
      <w:u w:val="none"/>
    </w:rPr>
  </w:style>
  <w:style w:type="character" w:customStyle="1" w:styleId="44">
    <w:name w:val="font51"/>
    <w:qFormat/>
    <w:uiPriority w:val="0"/>
    <w:rPr>
      <w:rFonts w:hint="default" w:ascii="Times New Roman" w:hAnsi="Times New Roman" w:cs="Times New Roman"/>
      <w:color w:val="000000"/>
      <w:sz w:val="21"/>
      <w:szCs w:val="21"/>
      <w:u w:val="none"/>
    </w:rPr>
  </w:style>
  <w:style w:type="character" w:customStyle="1" w:styleId="45">
    <w:name w:val="font101"/>
    <w:qFormat/>
    <w:uiPriority w:val="0"/>
    <w:rPr>
      <w:rFonts w:ascii="Segoe UI Symbol" w:hAnsi="Segoe UI Symbol" w:eastAsia="Segoe UI Symbol" w:cs="Segoe UI Symbo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2a70a-0659-4274-b4fd-0ffe6d43a57a}"/>
        <w:style w:val=""/>
        <w:category>
          <w:name w:val="常规"/>
          <w:gallery w:val="placeholder"/>
        </w:category>
        <w:types>
          <w:type w:val="bbPlcHdr"/>
        </w:types>
        <w:behaviors>
          <w:behavior w:val="content"/>
        </w:behaviors>
        <w:description w:val=""/>
        <w:guid w:val="{9f12a70a-0659-4274-b4fd-0ffe6d43a57a}"/>
      </w:docPartPr>
      <w:docPartBody>
        <w:p>
          <w:r>
            <w:rPr>
              <w:color w:val="808080"/>
            </w:rPr>
            <w:t>单击此处输入文字。</w:t>
          </w:r>
        </w:p>
      </w:docPartBody>
    </w:docPart>
    <w:docPart>
      <w:docPartPr>
        <w:name w:val="{46a56cc3-7b90-4249-b4ac-b726a8ff0fee}"/>
        <w:style w:val=""/>
        <w:category>
          <w:name w:val="常规"/>
          <w:gallery w:val="placeholder"/>
        </w:category>
        <w:types>
          <w:type w:val="bbPlcHdr"/>
        </w:types>
        <w:behaviors>
          <w:behavior w:val="content"/>
        </w:behaviors>
        <w:description w:val=""/>
        <w:guid w:val="{46a56cc3-7b90-4249-b4ac-b726a8ff0fee}"/>
      </w:docPartPr>
      <w:docPartBody>
        <w:p>
          <w:r>
            <w:rPr>
              <w:color w:val="808080"/>
            </w:rPr>
            <w:t>单击此处输入文字。</w:t>
          </w:r>
        </w:p>
      </w:docPartBody>
    </w:docPart>
    <w:docPart>
      <w:docPartPr>
        <w:name w:val="{d7ca3874-a5d7-46f2-a9a5-83b3012ed8eb}"/>
        <w:style w:val=""/>
        <w:category>
          <w:name w:val="常规"/>
          <w:gallery w:val="placeholder"/>
        </w:category>
        <w:types>
          <w:type w:val="bbPlcHdr"/>
        </w:types>
        <w:behaviors>
          <w:behavior w:val="content"/>
        </w:behaviors>
        <w:description w:val=""/>
        <w:guid w:val="{d7ca3874-a5d7-46f2-a9a5-83b3012ed8eb}"/>
      </w:docPartPr>
      <w:docPartBody>
        <w:p>
          <w:r>
            <w:rPr>
              <w:color w:val="808080"/>
            </w:rPr>
            <w:t>单击此处输入文字。</w:t>
          </w:r>
        </w:p>
      </w:docPartBody>
    </w:docPart>
    <w:docPart>
      <w:docPartPr>
        <w:name w:val="{12a0c8dc-eeb1-4b5a-a611-8533d8386728}"/>
        <w:style w:val=""/>
        <w:category>
          <w:name w:val="常规"/>
          <w:gallery w:val="placeholder"/>
        </w:category>
        <w:types>
          <w:type w:val="bbPlcHdr"/>
        </w:types>
        <w:behaviors>
          <w:behavior w:val="content"/>
        </w:behaviors>
        <w:description w:val=""/>
        <w:guid w:val="{12a0c8dc-eeb1-4b5a-a611-8533d8386728}"/>
      </w:docPartPr>
      <w:docPartBody>
        <w:p>
          <w:r>
            <w:rPr>
              <w:color w:val="808080"/>
            </w:rPr>
            <w:t>单击此处输入文字。</w:t>
          </w:r>
        </w:p>
      </w:docPartBody>
    </w:docPart>
    <w:docPart>
      <w:docPartPr>
        <w:name w:val="{c6e64ec1-9337-41fe-991c-e352c64ec5e4}"/>
        <w:style w:val=""/>
        <w:category>
          <w:name w:val="常规"/>
          <w:gallery w:val="placeholder"/>
        </w:category>
        <w:types>
          <w:type w:val="bbPlcHdr"/>
        </w:types>
        <w:behaviors>
          <w:behavior w:val="content"/>
        </w:behaviors>
        <w:description w:val=""/>
        <w:guid w:val="{c6e64ec1-9337-41fe-991c-e352c64ec5e4}"/>
      </w:docPartPr>
      <w:docPartBody>
        <w:p>
          <w:r>
            <w:rPr>
              <w:color w:val="808080"/>
            </w:rPr>
            <w:t>单击此处输入文字。</w:t>
          </w:r>
        </w:p>
      </w:docPartBody>
    </w:docPart>
    <w:docPart>
      <w:docPartPr>
        <w:name w:val="{50e46119-a1fb-43ac-a648-11741ea53da5}"/>
        <w:style w:val=""/>
        <w:category>
          <w:name w:val="常规"/>
          <w:gallery w:val="placeholder"/>
        </w:category>
        <w:types>
          <w:type w:val="bbPlcHdr"/>
        </w:types>
        <w:behaviors>
          <w:behavior w:val="content"/>
        </w:behaviors>
        <w:description w:val=""/>
        <w:guid w:val="{50e46119-a1fb-43ac-a648-11741ea53d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22219</Words>
  <Characters>26243</Characters>
  <Lines>0</Lines>
  <Paragraphs>0</Paragraphs>
  <TotalTime>10</TotalTime>
  <ScaleCrop>false</ScaleCrop>
  <LinksUpToDate>false</LinksUpToDate>
  <CharactersWithSpaces>28259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秘才垂亚耐</cp:lastModifiedBy>
  <cp:lastPrinted>2022-03-25T05:59:00Z</cp:lastPrinted>
  <dcterms:modified xsi:type="dcterms:W3CDTF">2022-03-29T06:17:39Z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9943F7653E1E44DDAF2785FC512324BE</vt:lpwstr>
  </property>
</Properties>
</file>