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1" w:line="364" w:lineRule="auto"/>
        <w:ind w:left="755" w:right="775"/>
        <w:jc w:val="center"/>
        <w:rPr>
          <w:rFonts w:ascii="宋体" w:eastAsia="宋体"/>
          <w:b/>
          <w:color w:val="auto"/>
          <w:sz w:val="36"/>
          <w:highlight w:val="none"/>
          <w:lang w:val="en-US"/>
        </w:rPr>
      </w:pPr>
      <w:r>
        <w:rPr>
          <w:rFonts w:hint="eastAsia" w:ascii="宋体" w:eastAsia="宋体"/>
          <w:b/>
          <w:color w:val="auto"/>
          <w:sz w:val="36"/>
          <w:highlight w:val="none"/>
          <w:lang w:val="en-US"/>
        </w:rPr>
        <w:t>五河至蒙城高速公路中心试验室</w:t>
      </w:r>
    </w:p>
    <w:p>
      <w:pPr>
        <w:spacing w:before="21" w:line="364" w:lineRule="auto"/>
        <w:ind w:left="755" w:right="775"/>
        <w:jc w:val="center"/>
        <w:rPr>
          <w:rFonts w:hint="default" w:ascii="宋体" w:eastAsia="宋体"/>
          <w:b/>
          <w:color w:val="auto"/>
          <w:sz w:val="36"/>
          <w:highlight w:val="none"/>
          <w:lang w:val="en-US" w:eastAsia="zh-CN"/>
        </w:rPr>
      </w:pPr>
      <w:r>
        <w:rPr>
          <w:rFonts w:hint="eastAsia" w:ascii="宋体" w:eastAsia="宋体"/>
          <w:b/>
          <w:color w:val="auto"/>
          <w:sz w:val="36"/>
          <w:highlight w:val="none"/>
          <w:lang w:val="en-US"/>
        </w:rPr>
        <w:t>路基仪器设备采购</w:t>
      </w:r>
      <w:r>
        <w:rPr>
          <w:rFonts w:hint="eastAsia" w:ascii="宋体" w:eastAsia="宋体"/>
          <w:b/>
          <w:color w:val="auto"/>
          <w:sz w:val="36"/>
          <w:highlight w:val="none"/>
          <w:lang w:val="en-US" w:eastAsia="zh-CN"/>
        </w:rPr>
        <w:t>（二次）</w:t>
      </w:r>
    </w:p>
    <w:p>
      <w:pPr>
        <w:pStyle w:val="2"/>
        <w:rPr>
          <w:b/>
          <w:color w:val="auto"/>
          <w:sz w:val="36"/>
          <w:highlight w:val="none"/>
        </w:rPr>
      </w:pPr>
    </w:p>
    <w:p>
      <w:pPr>
        <w:pStyle w:val="2"/>
        <w:rPr>
          <w:b/>
          <w:color w:val="auto"/>
          <w:sz w:val="36"/>
          <w:highlight w:val="none"/>
        </w:rPr>
      </w:pPr>
    </w:p>
    <w:p>
      <w:pPr>
        <w:pStyle w:val="2"/>
        <w:rPr>
          <w:b/>
          <w:color w:val="auto"/>
          <w:sz w:val="36"/>
          <w:highlight w:val="none"/>
        </w:rPr>
      </w:pPr>
    </w:p>
    <w:p>
      <w:pPr>
        <w:pStyle w:val="2"/>
        <w:rPr>
          <w:b/>
          <w:color w:val="auto"/>
          <w:sz w:val="36"/>
          <w:highlight w:val="none"/>
        </w:rPr>
      </w:pPr>
    </w:p>
    <w:p>
      <w:pPr>
        <w:pStyle w:val="2"/>
        <w:rPr>
          <w:b/>
          <w:color w:val="auto"/>
          <w:sz w:val="36"/>
          <w:highlight w:val="none"/>
        </w:rPr>
      </w:pPr>
    </w:p>
    <w:p>
      <w:pPr>
        <w:pStyle w:val="2"/>
        <w:rPr>
          <w:b/>
          <w:color w:val="auto"/>
          <w:sz w:val="36"/>
          <w:highlight w:val="none"/>
        </w:rPr>
      </w:pPr>
    </w:p>
    <w:p>
      <w:pPr>
        <w:pStyle w:val="2"/>
        <w:spacing w:before="6"/>
        <w:rPr>
          <w:b/>
          <w:color w:val="auto"/>
          <w:sz w:val="41"/>
          <w:highlight w:val="none"/>
        </w:rPr>
      </w:pPr>
    </w:p>
    <w:p>
      <w:pPr>
        <w:tabs>
          <w:tab w:val="left" w:pos="1439"/>
          <w:tab w:val="left" w:pos="2879"/>
          <w:tab w:val="left" w:pos="4319"/>
        </w:tabs>
        <w:ind w:right="21"/>
        <w:jc w:val="center"/>
        <w:rPr>
          <w:color w:val="auto"/>
          <w:sz w:val="72"/>
          <w:highlight w:val="none"/>
        </w:rPr>
      </w:pPr>
      <w:r>
        <w:rPr>
          <w:color w:val="auto"/>
          <w:sz w:val="72"/>
          <w:highlight w:val="none"/>
        </w:rPr>
        <w:t>询</w:t>
      </w:r>
      <w:r>
        <w:rPr>
          <w:color w:val="auto"/>
          <w:sz w:val="72"/>
          <w:highlight w:val="none"/>
        </w:rPr>
        <w:tab/>
      </w:r>
      <w:r>
        <w:rPr>
          <w:color w:val="auto"/>
          <w:sz w:val="72"/>
          <w:highlight w:val="none"/>
        </w:rPr>
        <w:t>比</w:t>
      </w:r>
      <w:r>
        <w:rPr>
          <w:color w:val="auto"/>
          <w:sz w:val="72"/>
          <w:highlight w:val="none"/>
        </w:rPr>
        <w:tab/>
      </w:r>
      <w:r>
        <w:rPr>
          <w:color w:val="auto"/>
          <w:sz w:val="72"/>
          <w:highlight w:val="none"/>
        </w:rPr>
        <w:t>文</w:t>
      </w:r>
      <w:r>
        <w:rPr>
          <w:color w:val="auto"/>
          <w:sz w:val="72"/>
          <w:highlight w:val="none"/>
        </w:rPr>
        <w:tab/>
      </w:r>
      <w:r>
        <w:rPr>
          <w:color w:val="auto"/>
          <w:sz w:val="72"/>
          <w:highlight w:val="none"/>
        </w:rPr>
        <w:t>件</w:t>
      </w:r>
    </w:p>
    <w:p>
      <w:pPr>
        <w:rPr>
          <w:color w:val="auto"/>
          <w:sz w:val="72"/>
          <w:highlight w:val="none"/>
        </w:rPr>
      </w:pPr>
    </w:p>
    <w:p>
      <w:pPr>
        <w:rPr>
          <w:color w:val="auto"/>
          <w:sz w:val="72"/>
          <w:highlight w:val="none"/>
        </w:rPr>
      </w:pPr>
    </w:p>
    <w:p>
      <w:pPr>
        <w:rPr>
          <w:color w:val="auto"/>
          <w:sz w:val="72"/>
          <w:highlight w:val="none"/>
        </w:rPr>
      </w:pPr>
    </w:p>
    <w:p>
      <w:pPr>
        <w:rPr>
          <w:color w:val="auto"/>
          <w:sz w:val="72"/>
          <w:highlight w:val="none"/>
        </w:rPr>
      </w:pPr>
    </w:p>
    <w:p>
      <w:pPr>
        <w:spacing w:before="12"/>
        <w:rPr>
          <w:color w:val="auto"/>
          <w:sz w:val="91"/>
          <w:highlight w:val="none"/>
        </w:rPr>
      </w:pPr>
    </w:p>
    <w:p>
      <w:pPr>
        <w:pStyle w:val="5"/>
        <w:ind w:left="755" w:right="775"/>
        <w:rPr>
          <w:color w:val="auto"/>
          <w:highlight w:val="none"/>
          <w:u w:val="none"/>
        </w:rPr>
      </w:pPr>
      <w:r>
        <w:rPr>
          <w:color w:val="auto"/>
          <w:highlight w:val="none"/>
          <w:u w:val="none"/>
        </w:rPr>
        <w:t>采 购 人：</w:t>
      </w:r>
      <w:r>
        <w:rPr>
          <w:color w:val="auto"/>
          <w:highlight w:val="none"/>
        </w:rPr>
        <w:t>安徽省高速公路试验检测科研中心有限公司</w:t>
      </w:r>
    </w:p>
    <w:p>
      <w:pPr>
        <w:spacing w:before="1"/>
        <w:rPr>
          <w:color w:val="auto"/>
          <w:sz w:val="24"/>
          <w:highlight w:val="none"/>
        </w:rPr>
      </w:pPr>
    </w:p>
    <w:p>
      <w:pPr>
        <w:pStyle w:val="5"/>
        <w:tabs>
          <w:tab w:val="left" w:pos="959"/>
        </w:tabs>
        <w:spacing w:before="64"/>
        <w:rPr>
          <w:rFonts w:ascii="宋体" w:eastAsia="宋体"/>
          <w:color w:val="auto"/>
          <w:highlight w:val="none"/>
          <w:u w:val="none"/>
        </w:rPr>
      </w:pPr>
      <w:r>
        <w:rPr>
          <w:color w:val="auto"/>
          <w:highlight w:val="none"/>
          <w:u w:val="none"/>
        </w:rPr>
        <w:t>日</w:t>
      </w:r>
      <w:r>
        <w:rPr>
          <w:color w:val="auto"/>
          <w:highlight w:val="none"/>
          <w:u w:val="none"/>
        </w:rPr>
        <w:tab/>
      </w:r>
      <w:r>
        <w:rPr>
          <w:color w:val="auto"/>
          <w:highlight w:val="none"/>
          <w:u w:val="none"/>
        </w:rPr>
        <w:t>期</w:t>
      </w:r>
      <w:r>
        <w:rPr>
          <w:rFonts w:hint="eastAsia" w:ascii="宋体" w:eastAsia="宋体"/>
          <w:color w:val="auto"/>
          <w:highlight w:val="none"/>
          <w:u w:val="none"/>
        </w:rPr>
        <w:t>：</w:t>
      </w:r>
      <w:r>
        <w:rPr>
          <w:rFonts w:ascii="Times New Roman" w:eastAsia="Times New Roman"/>
          <w:color w:val="auto"/>
          <w:highlight w:val="none"/>
        </w:rPr>
        <w:t>2022</w:t>
      </w:r>
      <w:r>
        <w:rPr>
          <w:rFonts w:hint="eastAsia" w:ascii="宋体" w:eastAsia="宋体"/>
          <w:color w:val="auto"/>
          <w:highlight w:val="none"/>
          <w:u w:val="none"/>
        </w:rPr>
        <w:t>年</w:t>
      </w:r>
      <w:r>
        <w:rPr>
          <w:rFonts w:hint="eastAsia" w:ascii="Times New Roman" w:eastAsia="宋体"/>
          <w:color w:val="auto"/>
          <w:highlight w:val="none"/>
          <w:lang w:val="en-US"/>
        </w:rPr>
        <w:t>01</w:t>
      </w:r>
      <w:r>
        <w:rPr>
          <w:rFonts w:hint="eastAsia" w:ascii="宋体" w:eastAsia="宋体"/>
          <w:color w:val="auto"/>
          <w:highlight w:val="none"/>
          <w:u w:val="none"/>
        </w:rPr>
        <w:t>月</w:t>
      </w:r>
      <w:r>
        <w:rPr>
          <w:rFonts w:hint="eastAsia" w:ascii="Times New Roman" w:eastAsia="宋体"/>
          <w:color w:val="auto"/>
          <w:highlight w:val="none"/>
          <w:lang w:val="en-US" w:eastAsia="zh-CN"/>
        </w:rPr>
        <w:t>28</w:t>
      </w:r>
      <w:r>
        <w:rPr>
          <w:rFonts w:hint="eastAsia" w:ascii="宋体" w:eastAsia="宋体"/>
          <w:color w:val="auto"/>
          <w:highlight w:val="none"/>
          <w:u w:val="none"/>
        </w:rPr>
        <w:t>日</w:t>
      </w:r>
    </w:p>
    <w:p>
      <w:pPr>
        <w:rPr>
          <w:rFonts w:ascii="宋体" w:eastAsia="宋体"/>
          <w:color w:val="auto"/>
          <w:highlight w:val="none"/>
        </w:rPr>
        <w:sectPr>
          <w:headerReference r:id="rId3" w:type="default"/>
          <w:footerReference r:id="rId4" w:type="default"/>
          <w:type w:val="continuous"/>
          <w:pgSz w:w="11910" w:h="16840"/>
          <w:pgMar w:top="1420" w:right="841" w:bottom="280" w:left="860" w:header="720" w:footer="720" w:gutter="0"/>
          <w:cols w:space="720" w:num="1"/>
        </w:sectPr>
      </w:pPr>
    </w:p>
    <w:p>
      <w:pPr>
        <w:spacing w:before="22"/>
        <w:ind w:left="755" w:right="770"/>
        <w:jc w:val="center"/>
        <w:rPr>
          <w:rFonts w:ascii="宋体" w:eastAsia="宋体"/>
          <w:color w:val="auto"/>
          <w:sz w:val="40"/>
          <w:highlight w:val="none"/>
        </w:rPr>
      </w:pPr>
      <w:r>
        <w:rPr>
          <w:rFonts w:hint="eastAsia" w:ascii="宋体" w:eastAsia="宋体"/>
          <w:color w:val="auto"/>
          <w:sz w:val="40"/>
          <w:highlight w:val="none"/>
        </w:rPr>
        <w:t>目录</w:t>
      </w:r>
    </w:p>
    <w:sdt>
      <w:sdtPr>
        <w:rPr>
          <w:color w:val="auto"/>
          <w:highlight w:val="none"/>
        </w:rPr>
        <w:id w:val="1"/>
        <w:docPartObj>
          <w:docPartGallery w:val="Table of Contents"/>
          <w:docPartUnique/>
        </w:docPartObj>
      </w:sdtPr>
      <w:sdtEndPr>
        <w:rPr>
          <w:color w:val="auto"/>
          <w:highlight w:val="none"/>
        </w:rPr>
      </w:sdtEndPr>
      <w:sdtContent>
        <w:p>
          <w:pPr>
            <w:pStyle w:val="16"/>
            <w:tabs>
              <w:tab w:val="right" w:leader="dot" w:pos="8839"/>
            </w:tabs>
            <w:spacing w:before="442"/>
            <w:rPr>
              <w:rFonts w:ascii="Times New Roman" w:eastAsia="Times New Roman"/>
              <w:color w:val="auto"/>
              <w:highlight w:val="none"/>
            </w:rPr>
          </w:pPr>
          <w:r>
            <w:rPr>
              <w:color w:val="auto"/>
              <w:highlight w:val="none"/>
            </w:rPr>
            <w:fldChar w:fldCharType="begin"/>
          </w:r>
          <w:r>
            <w:rPr>
              <w:color w:val="auto"/>
              <w:highlight w:val="none"/>
            </w:rPr>
            <w:instrText xml:space="preserve"> HYPERLINK \l "_TOC_250005" </w:instrText>
          </w:r>
          <w:r>
            <w:rPr>
              <w:color w:val="auto"/>
              <w:highlight w:val="none"/>
            </w:rPr>
            <w:fldChar w:fldCharType="separate"/>
          </w:r>
          <w:r>
            <w:rPr>
              <w:color w:val="auto"/>
              <w:highlight w:val="none"/>
            </w:rPr>
            <w:t>第</w:t>
          </w:r>
          <w:r>
            <w:rPr>
              <w:color w:val="auto"/>
              <w:spacing w:val="-3"/>
              <w:highlight w:val="none"/>
            </w:rPr>
            <w:t>一</w:t>
          </w:r>
          <w:r>
            <w:rPr>
              <w:color w:val="auto"/>
              <w:highlight w:val="none"/>
            </w:rPr>
            <w:t>章采</w:t>
          </w:r>
          <w:r>
            <w:rPr>
              <w:color w:val="auto"/>
              <w:spacing w:val="-3"/>
              <w:highlight w:val="none"/>
            </w:rPr>
            <w:t>购</w:t>
          </w:r>
          <w:r>
            <w:rPr>
              <w:color w:val="auto"/>
              <w:highlight w:val="none"/>
            </w:rPr>
            <w:t>公告</w:t>
          </w:r>
          <w:r>
            <w:rPr>
              <w:color w:val="auto"/>
              <w:highlight w:val="none"/>
            </w:rPr>
            <w:tab/>
          </w:r>
          <w:r>
            <w:rPr>
              <w:rFonts w:ascii="Times New Roman" w:eastAsia="Times New Roman"/>
              <w:color w:val="auto"/>
              <w:highlight w:val="none"/>
            </w:rPr>
            <w:t>2</w:t>
          </w:r>
          <w:r>
            <w:rPr>
              <w:rFonts w:ascii="Times New Roman" w:eastAsia="Times New Roman"/>
              <w:color w:val="auto"/>
              <w:highlight w:val="none"/>
            </w:rPr>
            <w:fldChar w:fldCharType="end"/>
          </w:r>
        </w:p>
        <w:p>
          <w:pPr>
            <w:pStyle w:val="16"/>
            <w:tabs>
              <w:tab w:val="right" w:leader="dot" w:pos="8839"/>
            </w:tabs>
            <w:rPr>
              <w:rFonts w:ascii="Times New Roman" w:eastAsia="Times New Roman"/>
              <w:color w:val="auto"/>
              <w:highlight w:val="none"/>
            </w:rPr>
          </w:pPr>
          <w:r>
            <w:rPr>
              <w:color w:val="auto"/>
              <w:highlight w:val="none"/>
            </w:rPr>
            <w:fldChar w:fldCharType="begin"/>
          </w:r>
          <w:r>
            <w:rPr>
              <w:color w:val="auto"/>
              <w:highlight w:val="none"/>
            </w:rPr>
            <w:instrText xml:space="preserve"> HYPERLINK \l "_TOC_250004" </w:instrText>
          </w:r>
          <w:r>
            <w:rPr>
              <w:color w:val="auto"/>
              <w:highlight w:val="none"/>
            </w:rPr>
            <w:fldChar w:fldCharType="separate"/>
          </w:r>
          <w:r>
            <w:rPr>
              <w:color w:val="auto"/>
              <w:highlight w:val="none"/>
            </w:rPr>
            <w:t>第</w:t>
          </w:r>
          <w:r>
            <w:rPr>
              <w:color w:val="auto"/>
              <w:spacing w:val="-3"/>
              <w:highlight w:val="none"/>
            </w:rPr>
            <w:t>二</w:t>
          </w:r>
          <w:r>
            <w:rPr>
              <w:color w:val="auto"/>
              <w:highlight w:val="none"/>
            </w:rPr>
            <w:t>章供</w:t>
          </w:r>
          <w:r>
            <w:rPr>
              <w:color w:val="auto"/>
              <w:spacing w:val="-3"/>
              <w:highlight w:val="none"/>
            </w:rPr>
            <w:t>应</w:t>
          </w:r>
          <w:r>
            <w:rPr>
              <w:color w:val="auto"/>
              <w:highlight w:val="none"/>
            </w:rPr>
            <w:t>商须知</w:t>
          </w:r>
          <w:r>
            <w:rPr>
              <w:color w:val="auto"/>
              <w:highlight w:val="none"/>
            </w:rPr>
            <w:tab/>
          </w:r>
          <w:r>
            <w:rPr>
              <w:rFonts w:ascii="Times New Roman" w:eastAsia="Times New Roman"/>
              <w:color w:val="auto"/>
              <w:highlight w:val="none"/>
            </w:rPr>
            <w:t>5</w:t>
          </w:r>
          <w:r>
            <w:rPr>
              <w:rFonts w:ascii="Times New Roman" w:eastAsia="Times New Roman"/>
              <w:color w:val="auto"/>
              <w:highlight w:val="none"/>
            </w:rPr>
            <w:fldChar w:fldCharType="end"/>
          </w:r>
        </w:p>
        <w:p>
          <w:pPr>
            <w:pStyle w:val="16"/>
            <w:tabs>
              <w:tab w:val="right" w:leader="dot" w:pos="8842"/>
            </w:tabs>
            <w:rPr>
              <w:rFonts w:ascii="Times New Roman" w:eastAsia="Times New Roman"/>
              <w:color w:val="auto"/>
              <w:highlight w:val="none"/>
            </w:rPr>
          </w:pPr>
          <w:r>
            <w:rPr>
              <w:color w:val="auto"/>
              <w:highlight w:val="none"/>
            </w:rPr>
            <w:fldChar w:fldCharType="begin"/>
          </w:r>
          <w:r>
            <w:rPr>
              <w:color w:val="auto"/>
              <w:highlight w:val="none"/>
            </w:rPr>
            <w:instrText xml:space="preserve"> HYPERLINK \l "_TOC_250003" </w:instrText>
          </w:r>
          <w:r>
            <w:rPr>
              <w:color w:val="auto"/>
              <w:highlight w:val="none"/>
            </w:rPr>
            <w:fldChar w:fldCharType="separate"/>
          </w:r>
          <w:r>
            <w:rPr>
              <w:color w:val="auto"/>
              <w:highlight w:val="none"/>
            </w:rPr>
            <w:t>第</w:t>
          </w:r>
          <w:r>
            <w:rPr>
              <w:color w:val="auto"/>
              <w:spacing w:val="-3"/>
              <w:highlight w:val="none"/>
            </w:rPr>
            <w:t>三</w:t>
          </w:r>
          <w:r>
            <w:rPr>
              <w:color w:val="auto"/>
              <w:highlight w:val="none"/>
            </w:rPr>
            <w:t>章评</w:t>
          </w:r>
          <w:r>
            <w:rPr>
              <w:color w:val="auto"/>
              <w:spacing w:val="-3"/>
              <w:highlight w:val="none"/>
            </w:rPr>
            <w:t>审</w:t>
          </w:r>
          <w:r>
            <w:rPr>
              <w:color w:val="auto"/>
              <w:highlight w:val="none"/>
            </w:rPr>
            <w:t>办法</w:t>
          </w:r>
          <w:r>
            <w:rPr>
              <w:color w:val="auto"/>
              <w:highlight w:val="none"/>
            </w:rPr>
            <w:tab/>
          </w:r>
          <w:r>
            <w:rPr>
              <w:rFonts w:ascii="Times New Roman" w:eastAsia="Times New Roman"/>
              <w:color w:val="auto"/>
              <w:highlight w:val="none"/>
            </w:rPr>
            <w:t>12</w:t>
          </w:r>
          <w:r>
            <w:rPr>
              <w:rFonts w:ascii="Times New Roman" w:eastAsia="Times New Roman"/>
              <w:color w:val="auto"/>
              <w:highlight w:val="none"/>
            </w:rPr>
            <w:fldChar w:fldCharType="end"/>
          </w:r>
        </w:p>
        <w:p>
          <w:pPr>
            <w:pStyle w:val="16"/>
            <w:tabs>
              <w:tab w:val="right" w:leader="dot" w:pos="8842"/>
            </w:tabs>
            <w:spacing w:before="184"/>
            <w:rPr>
              <w:rFonts w:ascii="Times New Roman" w:eastAsia="Times New Roman"/>
              <w:color w:val="auto"/>
              <w:highlight w:val="none"/>
            </w:rPr>
          </w:pPr>
          <w:r>
            <w:rPr>
              <w:color w:val="auto"/>
              <w:highlight w:val="none"/>
            </w:rPr>
            <w:fldChar w:fldCharType="begin"/>
          </w:r>
          <w:r>
            <w:rPr>
              <w:color w:val="auto"/>
              <w:highlight w:val="none"/>
            </w:rPr>
            <w:instrText xml:space="preserve"> HYPERLINK \l "_TOC_250002" </w:instrText>
          </w:r>
          <w:r>
            <w:rPr>
              <w:color w:val="auto"/>
              <w:highlight w:val="none"/>
            </w:rPr>
            <w:fldChar w:fldCharType="separate"/>
          </w:r>
          <w:r>
            <w:rPr>
              <w:color w:val="auto"/>
              <w:highlight w:val="none"/>
            </w:rPr>
            <w:t>第</w:t>
          </w:r>
          <w:r>
            <w:rPr>
              <w:color w:val="auto"/>
              <w:spacing w:val="-3"/>
              <w:highlight w:val="none"/>
            </w:rPr>
            <w:t>四</w:t>
          </w:r>
          <w:r>
            <w:rPr>
              <w:color w:val="auto"/>
              <w:highlight w:val="none"/>
            </w:rPr>
            <w:t>章合</w:t>
          </w:r>
          <w:r>
            <w:rPr>
              <w:color w:val="auto"/>
              <w:spacing w:val="-3"/>
              <w:highlight w:val="none"/>
            </w:rPr>
            <w:t>同</w:t>
          </w:r>
          <w:r>
            <w:rPr>
              <w:color w:val="auto"/>
              <w:highlight w:val="none"/>
            </w:rPr>
            <w:t>内容</w:t>
          </w:r>
          <w:r>
            <w:rPr>
              <w:color w:val="auto"/>
              <w:highlight w:val="none"/>
            </w:rPr>
            <w:tab/>
          </w:r>
          <w:r>
            <w:rPr>
              <w:rFonts w:ascii="Times New Roman" w:eastAsia="Times New Roman"/>
              <w:color w:val="auto"/>
              <w:highlight w:val="none"/>
            </w:rPr>
            <w:t>17</w:t>
          </w:r>
          <w:r>
            <w:rPr>
              <w:rFonts w:ascii="Times New Roman" w:eastAsia="Times New Roman"/>
              <w:color w:val="auto"/>
              <w:highlight w:val="none"/>
            </w:rPr>
            <w:fldChar w:fldCharType="end"/>
          </w:r>
        </w:p>
        <w:p>
          <w:pPr>
            <w:pStyle w:val="16"/>
            <w:tabs>
              <w:tab w:val="right" w:leader="dot" w:pos="8842"/>
            </w:tabs>
            <w:rPr>
              <w:rFonts w:ascii="Times New Roman" w:eastAsia="Times New Roman"/>
              <w:color w:val="auto"/>
              <w:highlight w:val="none"/>
            </w:rPr>
          </w:pPr>
          <w:r>
            <w:rPr>
              <w:color w:val="auto"/>
              <w:highlight w:val="none"/>
            </w:rPr>
            <w:fldChar w:fldCharType="begin"/>
          </w:r>
          <w:r>
            <w:rPr>
              <w:color w:val="auto"/>
              <w:highlight w:val="none"/>
            </w:rPr>
            <w:instrText xml:space="preserve"> HYPERLINK \l "_TOC_250001" </w:instrText>
          </w:r>
          <w:r>
            <w:rPr>
              <w:color w:val="auto"/>
              <w:highlight w:val="none"/>
            </w:rPr>
            <w:fldChar w:fldCharType="separate"/>
          </w:r>
          <w:r>
            <w:rPr>
              <w:color w:val="auto"/>
              <w:highlight w:val="none"/>
            </w:rPr>
            <w:t>第</w:t>
          </w:r>
          <w:r>
            <w:rPr>
              <w:color w:val="auto"/>
              <w:spacing w:val="-3"/>
              <w:highlight w:val="none"/>
            </w:rPr>
            <w:t>五</w:t>
          </w:r>
          <w:r>
            <w:rPr>
              <w:color w:val="auto"/>
              <w:highlight w:val="none"/>
            </w:rPr>
            <w:t>章采</w:t>
          </w:r>
          <w:r>
            <w:rPr>
              <w:color w:val="auto"/>
              <w:spacing w:val="-3"/>
              <w:highlight w:val="none"/>
            </w:rPr>
            <w:t>购</w:t>
          </w:r>
          <w:r>
            <w:rPr>
              <w:color w:val="auto"/>
              <w:highlight w:val="none"/>
            </w:rPr>
            <w:t>需求</w:t>
          </w:r>
          <w:r>
            <w:rPr>
              <w:color w:val="auto"/>
              <w:spacing w:val="-3"/>
              <w:highlight w:val="none"/>
            </w:rPr>
            <w:t>及</w:t>
          </w:r>
          <w:r>
            <w:rPr>
              <w:color w:val="auto"/>
              <w:highlight w:val="none"/>
            </w:rPr>
            <w:t>清单</w:t>
          </w:r>
          <w:r>
            <w:rPr>
              <w:color w:val="auto"/>
              <w:highlight w:val="none"/>
            </w:rPr>
            <w:tab/>
          </w:r>
          <w:r>
            <w:rPr>
              <w:rFonts w:ascii="Times New Roman" w:eastAsia="Times New Roman"/>
              <w:color w:val="auto"/>
              <w:highlight w:val="none"/>
            </w:rPr>
            <w:t>24</w:t>
          </w:r>
          <w:r>
            <w:rPr>
              <w:rFonts w:ascii="Times New Roman" w:eastAsia="Times New Roman"/>
              <w:color w:val="auto"/>
              <w:highlight w:val="none"/>
            </w:rPr>
            <w:fldChar w:fldCharType="end"/>
          </w:r>
        </w:p>
        <w:p>
          <w:pPr>
            <w:pStyle w:val="16"/>
            <w:tabs>
              <w:tab w:val="right" w:leader="dot" w:pos="8839"/>
            </w:tabs>
            <w:spacing w:before="188"/>
            <w:rPr>
              <w:rFonts w:ascii="Times New Roman" w:eastAsia="Times New Roman"/>
              <w:color w:val="auto"/>
              <w:highlight w:val="none"/>
            </w:rPr>
          </w:pPr>
          <w:r>
            <w:rPr>
              <w:color w:val="auto"/>
              <w:highlight w:val="none"/>
            </w:rPr>
            <w:fldChar w:fldCharType="begin"/>
          </w:r>
          <w:r>
            <w:rPr>
              <w:color w:val="auto"/>
              <w:highlight w:val="none"/>
            </w:rPr>
            <w:instrText xml:space="preserve"> HYPERLINK \l "_TOC_250000" </w:instrText>
          </w:r>
          <w:r>
            <w:rPr>
              <w:color w:val="auto"/>
              <w:highlight w:val="none"/>
            </w:rPr>
            <w:fldChar w:fldCharType="separate"/>
          </w:r>
          <w:r>
            <w:rPr>
              <w:color w:val="auto"/>
              <w:highlight w:val="none"/>
            </w:rPr>
            <w:t>第</w:t>
          </w:r>
          <w:r>
            <w:rPr>
              <w:color w:val="auto"/>
              <w:spacing w:val="-3"/>
              <w:highlight w:val="none"/>
            </w:rPr>
            <w:t>六</w:t>
          </w:r>
          <w:r>
            <w:rPr>
              <w:color w:val="auto"/>
              <w:highlight w:val="none"/>
            </w:rPr>
            <w:t>章响</w:t>
          </w:r>
          <w:r>
            <w:rPr>
              <w:color w:val="auto"/>
              <w:spacing w:val="-3"/>
              <w:highlight w:val="none"/>
            </w:rPr>
            <w:t>应</w:t>
          </w:r>
          <w:r>
            <w:rPr>
              <w:color w:val="auto"/>
              <w:highlight w:val="none"/>
            </w:rPr>
            <w:t>文件</w:t>
          </w:r>
          <w:r>
            <w:rPr>
              <w:color w:val="auto"/>
              <w:spacing w:val="-3"/>
              <w:highlight w:val="none"/>
            </w:rPr>
            <w:t>格</w:t>
          </w:r>
          <w:r>
            <w:rPr>
              <w:color w:val="auto"/>
              <w:highlight w:val="none"/>
            </w:rPr>
            <w:t>式</w:t>
          </w:r>
          <w:r>
            <w:rPr>
              <w:color w:val="auto"/>
              <w:highlight w:val="none"/>
            </w:rPr>
            <w:tab/>
          </w:r>
          <w:r>
            <w:rPr>
              <w:rFonts w:ascii="Times New Roman" w:eastAsia="Times New Roman"/>
              <w:color w:val="auto"/>
              <w:highlight w:val="none"/>
            </w:rPr>
            <w:t>26</w:t>
          </w:r>
          <w:r>
            <w:rPr>
              <w:rFonts w:ascii="Times New Roman" w:eastAsia="Times New Roman"/>
              <w:color w:val="auto"/>
              <w:highlight w:val="none"/>
            </w:rPr>
            <w:fldChar w:fldCharType="end"/>
          </w:r>
        </w:p>
      </w:sdtContent>
    </w:sdt>
    <w:p>
      <w:pPr>
        <w:rPr>
          <w:rFonts w:ascii="Times New Roman" w:eastAsia="Times New Roman"/>
          <w:color w:val="auto"/>
          <w:highlight w:val="none"/>
        </w:rPr>
        <w:sectPr>
          <w:footerReference r:id="rId5" w:type="default"/>
          <w:pgSz w:w="11910" w:h="16840"/>
          <w:pgMar w:top="1420" w:right="841" w:bottom="1040" w:left="860" w:header="0" w:footer="856" w:gutter="0"/>
          <w:pgNumType w:start="1"/>
          <w:cols w:space="720" w:num="1"/>
        </w:sectPr>
      </w:pPr>
    </w:p>
    <w:p>
      <w:pPr>
        <w:pStyle w:val="4"/>
        <w:spacing w:before="82"/>
        <w:rPr>
          <w:color w:val="auto"/>
          <w:highlight w:val="none"/>
        </w:rPr>
      </w:pPr>
      <w:bookmarkStart w:id="0" w:name="_TOC_250005"/>
      <w:bookmarkEnd w:id="0"/>
      <w:r>
        <w:rPr>
          <w:color w:val="auto"/>
          <w:highlight w:val="none"/>
        </w:rPr>
        <w:t>第一章 采购公告</w:t>
      </w:r>
    </w:p>
    <w:p>
      <w:pPr>
        <w:pStyle w:val="2"/>
        <w:spacing w:before="4"/>
        <w:rPr>
          <w:b/>
          <w:color w:val="auto"/>
          <w:sz w:val="35"/>
          <w:highlight w:val="none"/>
        </w:rPr>
      </w:pPr>
    </w:p>
    <w:p>
      <w:pPr>
        <w:pStyle w:val="9"/>
        <w:numPr>
          <w:ilvl w:val="0"/>
          <w:numId w:val="1"/>
        </w:numPr>
        <w:tabs>
          <w:tab w:val="left" w:pos="1061"/>
        </w:tabs>
        <w:rPr>
          <w:color w:val="auto"/>
          <w:highlight w:val="none"/>
        </w:rPr>
      </w:pPr>
      <w:r>
        <w:rPr>
          <w:color w:val="auto"/>
          <w:highlight w:val="none"/>
        </w:rPr>
        <w:t>项目简介</w:t>
      </w:r>
    </w:p>
    <w:p>
      <w:pPr>
        <w:pStyle w:val="10"/>
        <w:numPr>
          <w:ilvl w:val="1"/>
          <w:numId w:val="2"/>
        </w:numPr>
        <w:tabs>
          <w:tab w:val="left" w:pos="1060"/>
        </w:tabs>
        <w:spacing w:before="158" w:line="360" w:lineRule="auto"/>
        <w:ind w:left="697" w:right="238"/>
        <w:rPr>
          <w:rFonts w:ascii="Times New Roman" w:hAnsi="Times New Roman" w:cs="Times New Roman"/>
          <w:color w:val="auto"/>
          <w:highlight w:val="none"/>
          <w:u w:val="single"/>
          <w:lang w:val="en-US"/>
        </w:rPr>
      </w:pPr>
      <w:r>
        <w:rPr>
          <w:color w:val="auto"/>
          <w:highlight w:val="none"/>
        </w:rPr>
        <w:t>项目名称：</w:t>
      </w:r>
      <w:r>
        <w:rPr>
          <w:rFonts w:hint="eastAsia"/>
          <w:color w:val="auto"/>
          <w:highlight w:val="none"/>
          <w:u w:val="single"/>
          <w:lang w:val="en-US"/>
        </w:rPr>
        <w:t>五河至蒙城高速公路中心试验室路基仪器设备采购</w:t>
      </w:r>
      <w:r>
        <w:rPr>
          <w:rFonts w:hint="eastAsia"/>
          <w:color w:val="auto"/>
          <w:highlight w:val="none"/>
          <w:u w:val="single"/>
          <w:lang w:val="en-US" w:eastAsia="zh-CN"/>
        </w:rPr>
        <w:t>（二次）</w:t>
      </w:r>
    </w:p>
    <w:p>
      <w:pPr>
        <w:pStyle w:val="10"/>
        <w:numPr>
          <w:ilvl w:val="1"/>
          <w:numId w:val="2"/>
        </w:numPr>
        <w:tabs>
          <w:tab w:val="left" w:pos="1060"/>
        </w:tabs>
        <w:spacing w:before="158" w:line="360" w:lineRule="auto"/>
        <w:ind w:left="697" w:right="238"/>
        <w:rPr>
          <w:color w:val="auto"/>
          <w:highlight w:val="none"/>
        </w:rPr>
      </w:pPr>
      <w:r>
        <w:rPr>
          <w:color w:val="auto"/>
          <w:highlight w:val="none"/>
        </w:rPr>
        <w:t>采 购 人：</w:t>
      </w:r>
      <w:r>
        <w:rPr>
          <w:color w:val="auto"/>
          <w:highlight w:val="none"/>
          <w:u w:val="single"/>
        </w:rPr>
        <w:t>安徽省高速公路试验检测科研中心有限公司（以下简称</w:t>
      </w:r>
      <w:r>
        <w:rPr>
          <w:rFonts w:ascii="Times New Roman" w:hAnsi="Times New Roman" w:eastAsia="Times New Roman"/>
          <w:color w:val="auto"/>
          <w:highlight w:val="none"/>
          <w:u w:val="single"/>
        </w:rPr>
        <w:t>“</w:t>
      </w:r>
      <w:r>
        <w:rPr>
          <w:color w:val="auto"/>
          <w:highlight w:val="none"/>
          <w:u w:val="single"/>
        </w:rPr>
        <w:t>高速检测</w:t>
      </w:r>
      <w:r>
        <w:rPr>
          <w:rFonts w:ascii="Times New Roman" w:hAnsi="Times New Roman" w:eastAsia="Times New Roman"/>
          <w:color w:val="auto"/>
          <w:highlight w:val="none"/>
          <w:u w:val="single"/>
        </w:rPr>
        <w:t>”</w:t>
      </w:r>
      <w:r>
        <w:rPr>
          <w:color w:val="auto"/>
          <w:highlight w:val="none"/>
          <w:u w:val="single"/>
        </w:rPr>
        <w:t>）</w:t>
      </w:r>
    </w:p>
    <w:p>
      <w:pPr>
        <w:pStyle w:val="10"/>
        <w:tabs>
          <w:tab w:val="left" w:pos="1120"/>
        </w:tabs>
        <w:spacing w:before="161" w:line="360" w:lineRule="auto"/>
        <w:ind w:left="697" w:right="238"/>
        <w:rPr>
          <w:color w:val="auto"/>
          <w:highlight w:val="none"/>
        </w:rPr>
      </w:pPr>
      <w:r>
        <w:rPr>
          <w:rFonts w:hint="eastAsia"/>
          <w:color w:val="auto"/>
          <w:spacing w:val="-4"/>
          <w:highlight w:val="none"/>
          <w:lang w:val="en-US"/>
        </w:rPr>
        <w:t xml:space="preserve">1.3 </w:t>
      </w:r>
      <w:r>
        <w:rPr>
          <w:color w:val="auto"/>
          <w:spacing w:val="-4"/>
          <w:highlight w:val="none"/>
        </w:rPr>
        <w:t>项目概况：</w:t>
      </w:r>
      <w:r>
        <w:rPr>
          <w:color w:val="auto"/>
          <w:spacing w:val="-2"/>
          <w:highlight w:val="none"/>
          <w:u w:val="single"/>
        </w:rPr>
        <w:t>因</w:t>
      </w:r>
      <w:r>
        <w:rPr>
          <w:rFonts w:hint="eastAsia"/>
          <w:color w:val="auto"/>
          <w:highlight w:val="none"/>
          <w:u w:val="single"/>
          <w:lang w:val="en-US"/>
        </w:rPr>
        <w:t>五河至蒙城高速公路中心试验室</w:t>
      </w:r>
      <w:r>
        <w:rPr>
          <w:rFonts w:ascii="Times New Roman" w:hAnsi="Times New Roman" w:cs="Times New Roman"/>
          <w:color w:val="auto"/>
          <w:highlight w:val="none"/>
          <w:u w:val="single"/>
          <w:lang w:val="en-US"/>
        </w:rPr>
        <w:t>路</w:t>
      </w:r>
      <w:r>
        <w:rPr>
          <w:rFonts w:hint="eastAsia" w:ascii="Times New Roman" w:hAnsi="Times New Roman" w:cs="Times New Roman"/>
          <w:color w:val="auto"/>
          <w:highlight w:val="none"/>
          <w:u w:val="single"/>
          <w:lang w:val="en-US"/>
        </w:rPr>
        <w:t>基</w:t>
      </w:r>
      <w:r>
        <w:rPr>
          <w:rFonts w:ascii="Times New Roman" w:hAnsi="Times New Roman" w:cs="Times New Roman"/>
          <w:color w:val="auto"/>
          <w:highlight w:val="none"/>
          <w:u w:val="single"/>
          <w:lang w:val="en-US"/>
        </w:rPr>
        <w:t>试验功能室</w:t>
      </w:r>
      <w:r>
        <w:rPr>
          <w:rFonts w:hint="eastAsia" w:ascii="Times New Roman" w:hAnsi="Times New Roman" w:cs="Times New Roman"/>
          <w:color w:val="auto"/>
          <w:highlight w:val="none"/>
          <w:u w:val="single"/>
          <w:lang w:val="en-US"/>
        </w:rPr>
        <w:t>的驻地</w:t>
      </w:r>
      <w:r>
        <w:rPr>
          <w:color w:val="auto"/>
          <w:spacing w:val="-2"/>
          <w:highlight w:val="none"/>
          <w:u w:val="single"/>
        </w:rPr>
        <w:t>建设需要，现需对本项目</w:t>
      </w:r>
      <w:r>
        <w:rPr>
          <w:rFonts w:hint="eastAsia"/>
          <w:color w:val="auto"/>
          <w:spacing w:val="-2"/>
          <w:highlight w:val="none"/>
          <w:u w:val="single"/>
          <w:lang w:val="en-US"/>
        </w:rPr>
        <w:t>中心试验</w:t>
      </w:r>
      <w:r>
        <w:rPr>
          <w:color w:val="auto"/>
          <w:highlight w:val="none"/>
          <w:u w:val="single"/>
        </w:rPr>
        <w:t>室</w:t>
      </w:r>
      <w:r>
        <w:rPr>
          <w:rFonts w:hint="eastAsia"/>
          <w:color w:val="auto"/>
          <w:highlight w:val="none"/>
          <w:u w:val="single"/>
          <w:lang w:val="en-US"/>
        </w:rPr>
        <w:t>路基</w:t>
      </w:r>
      <w:r>
        <w:rPr>
          <w:color w:val="auto"/>
          <w:highlight w:val="none"/>
          <w:u w:val="single"/>
        </w:rPr>
        <w:t>仪器设备等进行采购。</w:t>
      </w:r>
    </w:p>
    <w:p>
      <w:pPr>
        <w:pStyle w:val="9"/>
        <w:numPr>
          <w:ilvl w:val="0"/>
          <w:numId w:val="1"/>
        </w:numPr>
        <w:tabs>
          <w:tab w:val="left" w:pos="1061"/>
        </w:tabs>
        <w:spacing w:before="5"/>
        <w:rPr>
          <w:color w:val="auto"/>
          <w:highlight w:val="none"/>
        </w:rPr>
      </w:pPr>
      <w:r>
        <w:rPr>
          <w:color w:val="auto"/>
          <w:highlight w:val="none"/>
        </w:rPr>
        <w:t>采购说明</w:t>
      </w:r>
    </w:p>
    <w:p>
      <w:pPr>
        <w:pStyle w:val="10"/>
        <w:tabs>
          <w:tab w:val="left" w:pos="1120"/>
        </w:tabs>
        <w:spacing w:before="158"/>
        <w:ind w:left="700"/>
        <w:rPr>
          <w:color w:val="auto"/>
          <w:highlight w:val="none"/>
        </w:rPr>
      </w:pPr>
      <w:r>
        <w:rPr>
          <w:rFonts w:hint="eastAsia"/>
          <w:color w:val="auto"/>
          <w:highlight w:val="none"/>
          <w:lang w:val="en-US"/>
        </w:rPr>
        <w:t xml:space="preserve">2.1 </w:t>
      </w:r>
      <w:r>
        <w:rPr>
          <w:color w:val="auto"/>
          <w:highlight w:val="none"/>
        </w:rPr>
        <w:t>采购方式：</w:t>
      </w:r>
      <w:r>
        <w:rPr>
          <w:color w:val="auto"/>
          <w:highlight w:val="none"/>
          <w:u w:val="single"/>
        </w:rPr>
        <w:t>公告询比采购</w:t>
      </w:r>
    </w:p>
    <w:p>
      <w:pPr>
        <w:pStyle w:val="10"/>
        <w:tabs>
          <w:tab w:val="left" w:pos="1120"/>
        </w:tabs>
        <w:spacing w:before="160"/>
        <w:ind w:left="700"/>
        <w:rPr>
          <w:color w:val="auto"/>
          <w:highlight w:val="none"/>
        </w:rPr>
      </w:pPr>
      <w:r>
        <w:rPr>
          <w:rFonts w:hint="eastAsia"/>
          <w:color w:val="auto"/>
          <w:highlight w:val="none"/>
          <w:lang w:val="en-US"/>
        </w:rPr>
        <w:t xml:space="preserve">2.2 </w:t>
      </w:r>
      <w:r>
        <w:rPr>
          <w:color w:val="auto"/>
          <w:highlight w:val="none"/>
        </w:rPr>
        <w:t>资金来源及比例：</w:t>
      </w:r>
      <w:r>
        <w:rPr>
          <w:rFonts w:ascii="Times New Roman" w:eastAsia="Times New Roman"/>
          <w:color w:val="auto"/>
          <w:highlight w:val="none"/>
          <w:u w:val="single"/>
        </w:rPr>
        <w:t>100%</w:t>
      </w:r>
      <w:r>
        <w:rPr>
          <w:color w:val="auto"/>
          <w:highlight w:val="none"/>
          <w:u w:val="single"/>
        </w:rPr>
        <w:t>企业自筹</w:t>
      </w:r>
    </w:p>
    <w:p>
      <w:pPr>
        <w:pStyle w:val="10"/>
        <w:tabs>
          <w:tab w:val="left" w:pos="1120"/>
        </w:tabs>
        <w:spacing w:before="159" w:line="364" w:lineRule="auto"/>
        <w:ind w:left="700" w:right="237"/>
        <w:rPr>
          <w:color w:val="auto"/>
          <w:highlight w:val="none"/>
          <w:lang w:val="en-US"/>
        </w:rPr>
      </w:pPr>
      <w:r>
        <w:rPr>
          <w:rFonts w:hint="eastAsia"/>
          <w:color w:val="auto"/>
          <w:spacing w:val="-4"/>
          <w:highlight w:val="none"/>
          <w:lang w:val="en-US"/>
        </w:rPr>
        <w:t xml:space="preserve">2.3 </w:t>
      </w:r>
      <w:r>
        <w:rPr>
          <w:color w:val="auto"/>
          <w:spacing w:val="-4"/>
          <w:highlight w:val="none"/>
        </w:rPr>
        <w:t>采购范围：</w:t>
      </w:r>
      <w:r>
        <w:rPr>
          <w:color w:val="auto"/>
          <w:spacing w:val="-2"/>
          <w:highlight w:val="none"/>
          <w:u w:val="single"/>
        </w:rPr>
        <w:t>对</w:t>
      </w:r>
      <w:r>
        <w:rPr>
          <w:rFonts w:hint="eastAsia"/>
          <w:color w:val="auto"/>
          <w:highlight w:val="none"/>
          <w:u w:val="single"/>
          <w:lang w:val="en-US"/>
        </w:rPr>
        <w:t>五河至蒙城高速公路中心试验室</w:t>
      </w:r>
      <w:r>
        <w:rPr>
          <w:rFonts w:hint="eastAsia" w:cs="Times New Roman"/>
          <w:color w:val="auto"/>
          <w:highlight w:val="none"/>
          <w:u w:val="single"/>
          <w:lang w:val="en-US"/>
        </w:rPr>
        <w:t>路基</w:t>
      </w:r>
      <w:r>
        <w:rPr>
          <w:rFonts w:ascii="Times New Roman" w:hAnsi="Times New Roman" w:cs="Times New Roman"/>
          <w:color w:val="auto"/>
          <w:highlight w:val="none"/>
          <w:u w:val="single"/>
          <w:lang w:val="en-US"/>
        </w:rPr>
        <w:t>仪器设备</w:t>
      </w:r>
      <w:r>
        <w:rPr>
          <w:rFonts w:hint="eastAsia" w:ascii="Times New Roman" w:hAnsi="Times New Roman" w:cs="Times New Roman"/>
          <w:color w:val="auto"/>
          <w:highlight w:val="none"/>
          <w:u w:val="single"/>
          <w:lang w:val="en-US"/>
        </w:rPr>
        <w:t>进行</w:t>
      </w:r>
      <w:r>
        <w:rPr>
          <w:rFonts w:ascii="Times New Roman" w:hAnsi="Times New Roman" w:cs="Times New Roman"/>
          <w:color w:val="auto"/>
          <w:highlight w:val="none"/>
          <w:u w:val="single"/>
          <w:lang w:val="en-US"/>
        </w:rPr>
        <w:t>采购</w:t>
      </w:r>
      <w:r>
        <w:rPr>
          <w:rFonts w:hint="eastAsia"/>
          <w:color w:val="auto"/>
          <w:spacing w:val="-2"/>
          <w:highlight w:val="none"/>
          <w:u w:val="single"/>
          <w:lang w:val="en-US"/>
        </w:rPr>
        <w:t>。</w:t>
      </w:r>
    </w:p>
    <w:p>
      <w:pPr>
        <w:pStyle w:val="10"/>
        <w:tabs>
          <w:tab w:val="left" w:pos="1120"/>
        </w:tabs>
        <w:spacing w:before="1"/>
        <w:ind w:left="700"/>
        <w:rPr>
          <w:color w:val="auto"/>
          <w:highlight w:val="none"/>
        </w:rPr>
      </w:pPr>
      <w:r>
        <w:rPr>
          <w:rFonts w:hint="eastAsia"/>
          <w:color w:val="auto"/>
          <w:highlight w:val="none"/>
          <w:lang w:val="en-US"/>
        </w:rPr>
        <w:t xml:space="preserve">2.4 </w:t>
      </w:r>
      <w:r>
        <w:rPr>
          <w:color w:val="auto"/>
          <w:highlight w:val="none"/>
        </w:rPr>
        <w:t>合同包划分：</w:t>
      </w:r>
      <w:r>
        <w:rPr>
          <w:color w:val="auto"/>
          <w:highlight w:val="none"/>
          <w:u w:val="single"/>
        </w:rPr>
        <w:t xml:space="preserve"> 无合同包划分</w:t>
      </w:r>
    </w:p>
    <w:p>
      <w:pPr>
        <w:pStyle w:val="10"/>
        <w:tabs>
          <w:tab w:val="left" w:pos="1120"/>
        </w:tabs>
        <w:spacing w:before="158"/>
        <w:ind w:left="0" w:firstLine="720" w:firstLineChars="300"/>
        <w:rPr>
          <w:color w:val="auto"/>
          <w:highlight w:val="none"/>
        </w:rPr>
      </w:pPr>
      <w:r>
        <w:rPr>
          <w:rFonts w:hint="eastAsia"/>
          <w:color w:val="auto"/>
          <w:highlight w:val="none"/>
          <w:lang w:val="en-US"/>
        </w:rPr>
        <w:t xml:space="preserve">2.5 </w:t>
      </w:r>
      <w:r>
        <w:rPr>
          <w:color w:val="auto"/>
          <w:highlight w:val="none"/>
        </w:rPr>
        <w:t>最高限价：</w:t>
      </w:r>
      <w:r>
        <w:rPr>
          <w:rFonts w:hint="eastAsia" w:ascii="Times New Roman"/>
          <w:color w:val="auto"/>
          <w:highlight w:val="none"/>
          <w:u w:val="single"/>
          <w:lang w:val="en-US" w:eastAsia="zh-CN"/>
        </w:rPr>
        <w:t>46.0</w:t>
      </w:r>
      <w:r>
        <w:rPr>
          <w:rFonts w:hint="eastAsia" w:ascii="Times New Roman"/>
          <w:color w:val="auto"/>
          <w:highlight w:val="none"/>
          <w:u w:val="single"/>
          <w:lang w:val="en-US"/>
        </w:rPr>
        <w:t>0</w:t>
      </w:r>
      <w:r>
        <w:rPr>
          <w:color w:val="auto"/>
          <w:highlight w:val="none"/>
          <w:u w:val="single"/>
        </w:rPr>
        <w:t>万元</w:t>
      </w:r>
      <w:r>
        <w:rPr>
          <w:color w:val="auto"/>
          <w:highlight w:val="none"/>
        </w:rPr>
        <w:t>，以实际供货清单据实结算。</w:t>
      </w:r>
    </w:p>
    <w:p>
      <w:pPr>
        <w:pStyle w:val="10"/>
        <w:tabs>
          <w:tab w:val="left" w:pos="1120"/>
        </w:tabs>
        <w:spacing w:before="158"/>
        <w:ind w:left="700"/>
        <w:rPr>
          <w:color w:val="auto"/>
          <w:highlight w:val="none"/>
        </w:rPr>
      </w:pPr>
      <w:r>
        <w:rPr>
          <w:rFonts w:hint="eastAsia"/>
          <w:color w:val="auto"/>
          <w:highlight w:val="none"/>
          <w:lang w:val="en-US"/>
        </w:rPr>
        <w:t xml:space="preserve">2.6 </w:t>
      </w:r>
      <w:r>
        <w:rPr>
          <w:color w:val="auto"/>
          <w:highlight w:val="none"/>
        </w:rPr>
        <w:t>计划服务期：</w:t>
      </w:r>
      <w:r>
        <w:rPr>
          <w:color w:val="auto"/>
          <w:spacing w:val="-10"/>
          <w:highlight w:val="none"/>
          <w:u w:val="single"/>
        </w:rPr>
        <w:t xml:space="preserve">合同签订后 </w:t>
      </w:r>
      <w:r>
        <w:rPr>
          <w:rFonts w:ascii="Times New Roman" w:eastAsia="Times New Roman"/>
          <w:color w:val="auto"/>
          <w:highlight w:val="none"/>
          <w:u w:val="single"/>
        </w:rPr>
        <w:t>1</w:t>
      </w:r>
      <w:r>
        <w:rPr>
          <w:rFonts w:hint="eastAsia" w:ascii="Times New Roman"/>
          <w:color w:val="auto"/>
          <w:highlight w:val="none"/>
          <w:u w:val="single"/>
          <w:lang w:val="en-US"/>
        </w:rPr>
        <w:t>0</w:t>
      </w:r>
      <w:r>
        <w:rPr>
          <w:color w:val="auto"/>
          <w:highlight w:val="none"/>
          <w:u w:val="single"/>
        </w:rPr>
        <w:t>日历天内交付货物并安装调试完成。</w:t>
      </w:r>
    </w:p>
    <w:p>
      <w:pPr>
        <w:pStyle w:val="9"/>
        <w:numPr>
          <w:ilvl w:val="0"/>
          <w:numId w:val="1"/>
        </w:numPr>
        <w:tabs>
          <w:tab w:val="left" w:pos="1061"/>
        </w:tabs>
        <w:spacing w:before="160"/>
        <w:rPr>
          <w:color w:val="auto"/>
          <w:highlight w:val="none"/>
        </w:rPr>
      </w:pPr>
      <w:r>
        <w:rPr>
          <w:color w:val="auto"/>
          <w:highlight w:val="none"/>
        </w:rPr>
        <w:t>供应商资格条件</w:t>
      </w:r>
    </w:p>
    <w:p>
      <w:pPr>
        <w:pStyle w:val="10"/>
        <w:tabs>
          <w:tab w:val="left" w:pos="1120"/>
        </w:tabs>
        <w:spacing w:before="159"/>
        <w:ind w:left="700"/>
        <w:rPr>
          <w:color w:val="auto"/>
          <w:highlight w:val="none"/>
        </w:rPr>
      </w:pPr>
      <w:r>
        <w:rPr>
          <w:rFonts w:hint="eastAsia"/>
          <w:color w:val="auto"/>
          <w:highlight w:val="none"/>
          <w:lang w:val="en-US"/>
        </w:rPr>
        <w:t xml:space="preserve">3.1 </w:t>
      </w:r>
      <w:r>
        <w:rPr>
          <w:color w:val="auto"/>
          <w:highlight w:val="none"/>
        </w:rPr>
        <w:t>本次采购要求供应商须同时具备：</w:t>
      </w:r>
    </w:p>
    <w:p>
      <w:pPr>
        <w:pStyle w:val="10"/>
        <w:numPr>
          <w:ilvl w:val="0"/>
          <w:numId w:val="3"/>
        </w:numPr>
        <w:tabs>
          <w:tab w:val="left" w:pos="1301"/>
        </w:tabs>
        <w:spacing w:before="160"/>
        <w:rPr>
          <w:color w:val="auto"/>
          <w:highlight w:val="none"/>
        </w:rPr>
      </w:pPr>
      <w:r>
        <w:rPr>
          <w:color w:val="auto"/>
          <w:highlight w:val="none"/>
        </w:rPr>
        <w:t>资质最低要求：</w:t>
      </w:r>
    </w:p>
    <w:p>
      <w:pPr>
        <w:pStyle w:val="10"/>
        <w:spacing w:before="161" w:line="364" w:lineRule="auto"/>
        <w:ind w:right="237" w:firstLine="480"/>
        <w:jc w:val="both"/>
        <w:rPr>
          <w:color w:val="auto"/>
          <w:highlight w:val="none"/>
        </w:rPr>
      </w:pPr>
      <w:r>
        <w:rPr>
          <w:color w:val="auto"/>
          <w:spacing w:val="-6"/>
          <w:highlight w:val="none"/>
        </w:rPr>
        <w:t>具备执有工商行政管理部门核发的营业执照，并取得独立法人资格且营业执照经营范围包</w:t>
      </w:r>
      <w:r>
        <w:rPr>
          <w:color w:val="auto"/>
          <w:spacing w:val="-8"/>
          <w:highlight w:val="none"/>
        </w:rPr>
        <w:t xml:space="preserve">含试验检测仪器设备的生产或销售；供应商应为一般纳税人，能开具抵扣 </w:t>
      </w:r>
      <w:r>
        <w:rPr>
          <w:rFonts w:ascii="Times New Roman" w:eastAsia="Times New Roman"/>
          <w:color w:val="auto"/>
          <w:highlight w:val="none"/>
        </w:rPr>
        <w:t>13%</w:t>
      </w:r>
      <w:r>
        <w:rPr>
          <w:color w:val="auto"/>
          <w:spacing w:val="-3"/>
          <w:highlight w:val="none"/>
        </w:rPr>
        <w:t>的增值税专用发</w:t>
      </w:r>
      <w:r>
        <w:rPr>
          <w:color w:val="auto"/>
          <w:highlight w:val="none"/>
        </w:rPr>
        <w:t>票，提供一般纳税人证明材料。</w:t>
      </w:r>
    </w:p>
    <w:p>
      <w:pPr>
        <w:pStyle w:val="10"/>
        <w:numPr>
          <w:ilvl w:val="0"/>
          <w:numId w:val="3"/>
        </w:numPr>
        <w:tabs>
          <w:tab w:val="left" w:pos="1301"/>
        </w:tabs>
        <w:spacing w:line="305" w:lineRule="exact"/>
        <w:rPr>
          <w:color w:val="auto"/>
          <w:highlight w:val="none"/>
        </w:rPr>
      </w:pPr>
      <w:r>
        <w:rPr>
          <w:color w:val="auto"/>
          <w:highlight w:val="none"/>
        </w:rPr>
        <w:t>业绩最低要求：</w:t>
      </w:r>
    </w:p>
    <w:p>
      <w:pPr>
        <w:pStyle w:val="10"/>
        <w:spacing w:before="160" w:line="362" w:lineRule="auto"/>
        <w:ind w:right="237" w:firstLine="480"/>
        <w:rPr>
          <w:color w:val="auto"/>
          <w:highlight w:val="none"/>
        </w:rPr>
      </w:pPr>
      <w:r>
        <w:rPr>
          <w:color w:val="auto"/>
          <w:spacing w:val="-30"/>
          <w:highlight w:val="none"/>
        </w:rPr>
        <w:t xml:space="preserve">近 </w:t>
      </w:r>
      <w:r>
        <w:rPr>
          <w:rFonts w:ascii="Times New Roman" w:eastAsia="Times New Roman"/>
          <w:color w:val="auto"/>
          <w:highlight w:val="none"/>
        </w:rPr>
        <w:t xml:space="preserve">3 </w:t>
      </w:r>
      <w:r>
        <w:rPr>
          <w:color w:val="auto"/>
          <w:spacing w:val="-10"/>
          <w:highlight w:val="none"/>
        </w:rPr>
        <w:t xml:space="preserve">年具有至少 </w:t>
      </w:r>
      <w:r>
        <w:rPr>
          <w:rFonts w:ascii="Times New Roman" w:eastAsia="Times New Roman"/>
          <w:color w:val="auto"/>
          <w:highlight w:val="none"/>
        </w:rPr>
        <w:t xml:space="preserve">2 </w:t>
      </w:r>
      <w:r>
        <w:rPr>
          <w:color w:val="auto"/>
          <w:spacing w:val="-30"/>
          <w:highlight w:val="none"/>
        </w:rPr>
        <w:t xml:space="preserve">个 </w:t>
      </w:r>
      <w:r>
        <w:rPr>
          <w:rFonts w:ascii="Times New Roman" w:eastAsia="Times New Roman"/>
          <w:color w:val="auto"/>
          <w:highlight w:val="none"/>
        </w:rPr>
        <w:t xml:space="preserve">30 </w:t>
      </w:r>
      <w:r>
        <w:rPr>
          <w:color w:val="auto"/>
          <w:spacing w:val="-4"/>
          <w:highlight w:val="none"/>
        </w:rPr>
        <w:t>万元的试验检测仪器供货的业绩</w:t>
      </w:r>
      <w:r>
        <w:rPr>
          <w:color w:val="auto"/>
          <w:spacing w:val="-3"/>
          <w:highlight w:val="none"/>
        </w:rPr>
        <w:t>（</w:t>
      </w:r>
      <w:r>
        <w:rPr>
          <w:color w:val="auto"/>
          <w:spacing w:val="-30"/>
          <w:highlight w:val="none"/>
        </w:rPr>
        <w:t xml:space="preserve">从 </w:t>
      </w:r>
      <w:r>
        <w:rPr>
          <w:rFonts w:hint="eastAsia" w:ascii="Times New Roman" w:eastAsia="宋体"/>
          <w:color w:val="auto"/>
          <w:highlight w:val="none"/>
          <w:lang w:val="en-US" w:eastAsia="zh-CN"/>
        </w:rPr>
        <w:t>2020</w:t>
      </w:r>
      <w:r>
        <w:rPr>
          <w:rFonts w:ascii="Times New Roman" w:eastAsia="Times New Roman"/>
          <w:color w:val="auto"/>
          <w:highlight w:val="none"/>
        </w:rPr>
        <w:t xml:space="preserve"> </w:t>
      </w:r>
      <w:r>
        <w:rPr>
          <w:color w:val="auto"/>
          <w:spacing w:val="-30"/>
          <w:highlight w:val="none"/>
        </w:rPr>
        <w:t xml:space="preserve">年 </w:t>
      </w:r>
      <w:r>
        <w:rPr>
          <w:rFonts w:ascii="Times New Roman" w:eastAsia="Times New Roman"/>
          <w:color w:val="auto"/>
          <w:highlight w:val="none"/>
        </w:rPr>
        <w:t xml:space="preserve">1 </w:t>
      </w:r>
      <w:r>
        <w:rPr>
          <w:color w:val="auto"/>
          <w:spacing w:val="-30"/>
          <w:highlight w:val="none"/>
        </w:rPr>
        <w:t xml:space="preserve">月 </w:t>
      </w:r>
      <w:r>
        <w:rPr>
          <w:rFonts w:ascii="Times New Roman" w:eastAsia="Times New Roman"/>
          <w:color w:val="auto"/>
          <w:highlight w:val="none"/>
        </w:rPr>
        <w:t xml:space="preserve">1 </w:t>
      </w:r>
      <w:r>
        <w:rPr>
          <w:color w:val="auto"/>
          <w:spacing w:val="-11"/>
          <w:highlight w:val="none"/>
        </w:rPr>
        <w:t>日开始，以合</w:t>
      </w:r>
      <w:r>
        <w:rPr>
          <w:color w:val="auto"/>
          <w:highlight w:val="none"/>
        </w:rPr>
        <w:t>同签订时间为准）。</w:t>
      </w:r>
    </w:p>
    <w:p>
      <w:pPr>
        <w:pStyle w:val="10"/>
        <w:numPr>
          <w:ilvl w:val="0"/>
          <w:numId w:val="3"/>
        </w:numPr>
        <w:tabs>
          <w:tab w:val="left" w:pos="1301"/>
        </w:tabs>
        <w:spacing w:before="5"/>
        <w:rPr>
          <w:color w:val="auto"/>
          <w:highlight w:val="none"/>
        </w:rPr>
      </w:pPr>
      <w:r>
        <w:rPr>
          <w:color w:val="auto"/>
          <w:highlight w:val="none"/>
        </w:rPr>
        <w:t>信誉要求最低要求：</w:t>
      </w:r>
    </w:p>
    <w:p>
      <w:pPr>
        <w:pStyle w:val="10"/>
        <w:spacing w:before="158"/>
        <w:ind w:left="700"/>
        <w:rPr>
          <w:color w:val="auto"/>
          <w:highlight w:val="none"/>
        </w:rPr>
      </w:pPr>
      <w:r>
        <w:rPr>
          <w:color w:val="auto"/>
          <w:highlight w:val="none"/>
        </w:rPr>
        <w:t>①未被责令停业，暂扣或吊销执照，或吊销资质证书；</w:t>
      </w:r>
    </w:p>
    <w:p>
      <w:pPr>
        <w:pStyle w:val="10"/>
        <w:spacing w:before="161"/>
        <w:ind w:left="700"/>
        <w:rPr>
          <w:color w:val="auto"/>
          <w:highlight w:val="none"/>
        </w:rPr>
      </w:pPr>
      <w:r>
        <w:rPr>
          <w:color w:val="auto"/>
          <w:highlight w:val="none"/>
        </w:rPr>
        <w:t>②未进入清算程序，或被宣告破产，或其他丧失履约能力的情形；</w:t>
      </w:r>
    </w:p>
    <w:p>
      <w:pPr>
        <w:pStyle w:val="10"/>
        <w:spacing w:before="158"/>
        <w:ind w:left="700"/>
        <w:rPr>
          <w:color w:val="auto"/>
          <w:highlight w:val="none"/>
        </w:rPr>
      </w:pPr>
      <w:r>
        <w:rPr>
          <w:color w:val="auto"/>
          <w:highlight w:val="none"/>
        </w:rPr>
        <w:t>③在国家企业信用信息公示系统（</w:t>
      </w:r>
      <w:r>
        <w:rPr>
          <w:color w:val="auto"/>
          <w:highlight w:val="none"/>
        </w:rPr>
        <w:fldChar w:fldCharType="begin"/>
      </w:r>
      <w:r>
        <w:rPr>
          <w:color w:val="auto"/>
          <w:highlight w:val="none"/>
        </w:rPr>
        <w:instrText xml:space="preserve"> HYPERLINK "http://www.gsxt.gov.cn/" \h </w:instrText>
      </w:r>
      <w:r>
        <w:rPr>
          <w:color w:val="auto"/>
          <w:highlight w:val="none"/>
        </w:rPr>
        <w:fldChar w:fldCharType="separate"/>
      </w:r>
      <w:r>
        <w:rPr>
          <w:rFonts w:ascii="Times New Roman" w:hAnsi="Times New Roman" w:eastAsia="Times New Roman"/>
          <w:color w:val="auto"/>
          <w:highlight w:val="none"/>
        </w:rPr>
        <w:t>http://www.gsxt.gov.cn</w:t>
      </w:r>
      <w:r>
        <w:rPr>
          <w:rFonts w:ascii="Times New Roman" w:hAnsi="Times New Roman" w:eastAsia="Times New Roman"/>
          <w:color w:val="auto"/>
          <w:highlight w:val="none"/>
        </w:rPr>
        <w:fldChar w:fldCharType="end"/>
      </w:r>
      <w:r>
        <w:rPr>
          <w:color w:val="auto"/>
          <w:highlight w:val="none"/>
        </w:rPr>
        <w:t>）中未被列入严重违法失信企业</w:t>
      </w:r>
    </w:p>
    <w:p>
      <w:pPr>
        <w:rPr>
          <w:color w:val="auto"/>
          <w:highlight w:val="none"/>
        </w:rPr>
        <w:sectPr>
          <w:pgSz w:w="11910" w:h="16840"/>
          <w:pgMar w:top="1600" w:right="841" w:bottom="1040" w:left="860" w:header="0" w:footer="856" w:gutter="0"/>
          <w:cols w:space="720" w:num="1"/>
        </w:sectPr>
      </w:pPr>
    </w:p>
    <w:p>
      <w:pPr>
        <w:pStyle w:val="10"/>
        <w:spacing w:before="41"/>
        <w:rPr>
          <w:color w:val="auto"/>
          <w:highlight w:val="none"/>
        </w:rPr>
      </w:pPr>
      <w:r>
        <w:rPr>
          <w:color w:val="auto"/>
          <w:highlight w:val="none"/>
        </w:rPr>
        <w:t>名单；</w:t>
      </w:r>
    </w:p>
    <w:p>
      <w:pPr>
        <w:pStyle w:val="10"/>
        <w:spacing w:before="160"/>
        <w:ind w:left="700"/>
        <w:rPr>
          <w:color w:val="auto"/>
          <w:highlight w:val="none"/>
        </w:rPr>
      </w:pPr>
      <w:r>
        <w:rPr>
          <w:color w:val="auto"/>
          <w:highlight w:val="none"/>
        </w:rPr>
        <w:t>④在</w:t>
      </w:r>
      <w:r>
        <w:rPr>
          <w:rFonts w:ascii="Times New Roman" w:hAnsi="Times New Roman" w:eastAsia="Times New Roman"/>
          <w:color w:val="auto"/>
          <w:highlight w:val="none"/>
        </w:rPr>
        <w:t>“</w:t>
      </w:r>
      <w:r>
        <w:rPr>
          <w:color w:val="auto"/>
          <w:highlight w:val="none"/>
        </w:rPr>
        <w:t>信用中国</w:t>
      </w:r>
      <w:r>
        <w:rPr>
          <w:rFonts w:ascii="Times New Roman" w:hAnsi="Times New Roman" w:eastAsia="Times New Roman"/>
          <w:color w:val="auto"/>
          <w:highlight w:val="none"/>
        </w:rPr>
        <w:t>”</w:t>
      </w:r>
      <w:r>
        <w:rPr>
          <w:color w:val="auto"/>
          <w:highlight w:val="none"/>
        </w:rPr>
        <w:t>网站（</w:t>
      </w:r>
      <w:r>
        <w:rPr>
          <w:color w:val="auto"/>
          <w:highlight w:val="none"/>
        </w:rPr>
        <w:fldChar w:fldCharType="begin"/>
      </w:r>
      <w:r>
        <w:rPr>
          <w:color w:val="auto"/>
          <w:highlight w:val="none"/>
        </w:rPr>
        <w:instrText xml:space="preserve"> HYPERLINK "http://www.creditchina.gov.cn/" \h </w:instrText>
      </w:r>
      <w:r>
        <w:rPr>
          <w:color w:val="auto"/>
          <w:highlight w:val="none"/>
        </w:rPr>
        <w:fldChar w:fldCharType="separate"/>
      </w:r>
      <w:r>
        <w:rPr>
          <w:rFonts w:ascii="Times New Roman" w:hAnsi="Times New Roman" w:eastAsia="Times New Roman"/>
          <w:color w:val="auto"/>
          <w:highlight w:val="none"/>
        </w:rPr>
        <w:t>http://www.creditchina.gov.cn</w:t>
      </w:r>
      <w:r>
        <w:rPr>
          <w:rFonts w:ascii="Times New Roman" w:hAnsi="Times New Roman" w:eastAsia="Times New Roman"/>
          <w:color w:val="auto"/>
          <w:highlight w:val="none"/>
        </w:rPr>
        <w:fldChar w:fldCharType="end"/>
      </w:r>
      <w:r>
        <w:rPr>
          <w:color w:val="auto"/>
          <w:highlight w:val="none"/>
        </w:rPr>
        <w:t>）中未被列入失信被执行人名单；</w:t>
      </w:r>
    </w:p>
    <w:p>
      <w:pPr>
        <w:pStyle w:val="10"/>
        <w:spacing w:before="158" w:line="364" w:lineRule="auto"/>
        <w:ind w:right="237" w:firstLine="480"/>
        <w:rPr>
          <w:color w:val="auto"/>
          <w:highlight w:val="none"/>
        </w:rPr>
      </w:pPr>
      <w:r>
        <w:rPr>
          <w:color w:val="auto"/>
          <w:spacing w:val="-8"/>
          <w:highlight w:val="none"/>
        </w:rPr>
        <w:t>⑤在近三年内</w:t>
      </w:r>
      <w:r>
        <w:rPr>
          <w:color w:val="auto"/>
          <w:spacing w:val="-3"/>
          <w:highlight w:val="none"/>
        </w:rPr>
        <w:t>（</w:t>
      </w:r>
      <w:r>
        <w:rPr>
          <w:color w:val="auto"/>
          <w:spacing w:val="-4"/>
          <w:highlight w:val="none"/>
        </w:rPr>
        <w:t xml:space="preserve">自响应文件递交截止之日向前追溯 </w:t>
      </w:r>
      <w:r>
        <w:rPr>
          <w:rFonts w:ascii="Times New Roman" w:hAnsi="Times New Roman" w:eastAsia="Times New Roman"/>
          <w:color w:val="auto"/>
          <w:highlight w:val="none"/>
        </w:rPr>
        <w:t xml:space="preserve">3 </w:t>
      </w:r>
      <w:r>
        <w:rPr>
          <w:color w:val="auto"/>
          <w:highlight w:val="none"/>
        </w:rPr>
        <w:t>年</w:t>
      </w:r>
      <w:r>
        <w:rPr>
          <w:color w:val="auto"/>
          <w:spacing w:val="-46"/>
          <w:highlight w:val="none"/>
        </w:rPr>
        <w:t>）</w:t>
      </w:r>
      <w:r>
        <w:rPr>
          <w:color w:val="auto"/>
          <w:spacing w:val="-2"/>
          <w:highlight w:val="none"/>
        </w:rPr>
        <w:t>供应商或其法定代表人未有行贿</w:t>
      </w:r>
      <w:r>
        <w:rPr>
          <w:color w:val="auto"/>
          <w:highlight w:val="none"/>
        </w:rPr>
        <w:t>犯罪行为。</w:t>
      </w:r>
    </w:p>
    <w:p>
      <w:pPr>
        <w:pStyle w:val="10"/>
        <w:tabs>
          <w:tab w:val="left" w:pos="1120"/>
        </w:tabs>
        <w:spacing w:line="306" w:lineRule="exact"/>
        <w:ind w:left="700"/>
        <w:rPr>
          <w:color w:val="auto"/>
          <w:highlight w:val="none"/>
        </w:rPr>
      </w:pPr>
      <w:r>
        <w:rPr>
          <w:rFonts w:hint="eastAsia"/>
          <w:color w:val="auto"/>
          <w:highlight w:val="none"/>
          <w:lang w:val="en-US"/>
        </w:rPr>
        <w:t xml:space="preserve">3.2 </w:t>
      </w:r>
      <w:r>
        <w:rPr>
          <w:color w:val="auto"/>
          <w:highlight w:val="none"/>
        </w:rPr>
        <w:t>联合体：不接受联合体报价。</w:t>
      </w:r>
    </w:p>
    <w:p>
      <w:pPr>
        <w:pStyle w:val="10"/>
        <w:tabs>
          <w:tab w:val="left" w:pos="1120"/>
        </w:tabs>
        <w:spacing w:before="161" w:line="362" w:lineRule="auto"/>
        <w:ind w:left="700" w:right="237"/>
        <w:rPr>
          <w:color w:val="auto"/>
          <w:highlight w:val="none"/>
        </w:rPr>
      </w:pPr>
      <w:r>
        <w:rPr>
          <w:rFonts w:hint="eastAsia"/>
          <w:color w:val="auto"/>
          <w:spacing w:val="-4"/>
          <w:highlight w:val="none"/>
          <w:lang w:val="en-US"/>
        </w:rPr>
        <w:t xml:space="preserve">3.3 </w:t>
      </w:r>
      <w:r>
        <w:rPr>
          <w:color w:val="auto"/>
          <w:spacing w:val="-4"/>
          <w:highlight w:val="none"/>
        </w:rPr>
        <w:t>单位负责人为同一人或者存在控股、管理关系的不同单位，不得同时参加同一合同包</w:t>
      </w:r>
      <w:r>
        <w:rPr>
          <w:color w:val="auto"/>
          <w:highlight w:val="none"/>
        </w:rPr>
        <w:t>报价，否则相关响应文件均无效。</w:t>
      </w:r>
    </w:p>
    <w:p>
      <w:pPr>
        <w:pStyle w:val="9"/>
        <w:numPr>
          <w:ilvl w:val="0"/>
          <w:numId w:val="1"/>
        </w:numPr>
        <w:tabs>
          <w:tab w:val="left" w:pos="1061"/>
        </w:tabs>
        <w:spacing w:before="5"/>
        <w:rPr>
          <w:color w:val="auto"/>
          <w:highlight w:val="none"/>
        </w:rPr>
      </w:pPr>
      <w:r>
        <w:rPr>
          <w:color w:val="auto"/>
          <w:highlight w:val="none"/>
        </w:rPr>
        <w:t>询比文件的获取</w:t>
      </w:r>
    </w:p>
    <w:p>
      <w:pPr>
        <w:pStyle w:val="10"/>
        <w:spacing w:before="160" w:line="362" w:lineRule="auto"/>
        <w:ind w:right="241" w:firstLine="480"/>
        <w:rPr>
          <w:color w:val="auto"/>
          <w:highlight w:val="none"/>
        </w:rPr>
      </w:pPr>
      <w:r>
        <w:rPr>
          <w:color w:val="auto"/>
          <w:highlight w:val="none"/>
        </w:rPr>
        <w:t>供应商应在递交响应文件的截止时间前登录高速检测官网（</w:t>
      </w:r>
      <w:r>
        <w:rPr>
          <w:color w:val="auto"/>
          <w:highlight w:val="none"/>
        </w:rPr>
        <w:fldChar w:fldCharType="begin"/>
      </w:r>
      <w:r>
        <w:rPr>
          <w:color w:val="auto"/>
          <w:highlight w:val="none"/>
        </w:rPr>
        <w:instrText xml:space="preserve"> HYPERLINK "http://www.ahgsjc.com/" \h </w:instrText>
      </w:r>
      <w:r>
        <w:rPr>
          <w:color w:val="auto"/>
          <w:highlight w:val="none"/>
        </w:rPr>
        <w:fldChar w:fldCharType="separate"/>
      </w:r>
      <w:r>
        <w:rPr>
          <w:rFonts w:ascii="Times New Roman" w:eastAsia="Times New Roman"/>
          <w:color w:val="auto"/>
          <w:highlight w:val="none"/>
        </w:rPr>
        <w:t>http://www.ahgsjc.com/</w:t>
      </w:r>
      <w:r>
        <w:rPr>
          <w:rFonts w:ascii="Times New Roman" w:eastAsia="Times New Roman"/>
          <w:color w:val="auto"/>
          <w:highlight w:val="none"/>
        </w:rPr>
        <w:fldChar w:fldCharType="end"/>
      </w:r>
      <w:r>
        <w:rPr>
          <w:color w:val="auto"/>
          <w:highlight w:val="none"/>
        </w:rPr>
        <w:t>）公司公告栏，自行下载询比文件及相关资料。</w:t>
      </w:r>
    </w:p>
    <w:p>
      <w:pPr>
        <w:pStyle w:val="9"/>
        <w:numPr>
          <w:ilvl w:val="0"/>
          <w:numId w:val="1"/>
        </w:numPr>
        <w:tabs>
          <w:tab w:val="left" w:pos="1061"/>
        </w:tabs>
        <w:spacing w:before="3"/>
        <w:rPr>
          <w:color w:val="auto"/>
          <w:highlight w:val="none"/>
        </w:rPr>
      </w:pPr>
      <w:r>
        <w:rPr>
          <w:color w:val="auto"/>
          <w:highlight w:val="none"/>
        </w:rPr>
        <w:t>响应文件的递交</w:t>
      </w:r>
    </w:p>
    <w:p>
      <w:pPr>
        <w:pStyle w:val="10"/>
        <w:spacing w:before="160" w:line="364" w:lineRule="auto"/>
        <w:ind w:right="237" w:firstLine="480"/>
        <w:jc w:val="both"/>
        <w:rPr>
          <w:color w:val="auto"/>
          <w:highlight w:val="none"/>
        </w:rPr>
      </w:pPr>
      <w:r>
        <w:rPr>
          <w:color w:val="auto"/>
          <w:highlight w:val="none"/>
        </w:rPr>
        <w:t>响应文件递交的截止时间为</w:t>
      </w:r>
      <w:r>
        <w:rPr>
          <w:rFonts w:ascii="Times New Roman" w:eastAsia="Times New Roman"/>
          <w:color w:val="auto"/>
          <w:highlight w:val="none"/>
          <w:u w:val="single"/>
        </w:rPr>
        <w:t>202</w:t>
      </w:r>
      <w:r>
        <w:rPr>
          <w:rFonts w:hint="eastAsia" w:ascii="Times New Roman"/>
          <w:color w:val="auto"/>
          <w:highlight w:val="none"/>
          <w:u w:val="single"/>
          <w:lang w:val="en-US"/>
        </w:rPr>
        <w:t>3</w:t>
      </w:r>
      <w:r>
        <w:rPr>
          <w:color w:val="auto"/>
          <w:highlight w:val="none"/>
        </w:rPr>
        <w:t>年</w:t>
      </w:r>
      <w:r>
        <w:rPr>
          <w:rFonts w:hint="eastAsia" w:ascii="Times New Roman"/>
          <w:color w:val="auto"/>
          <w:highlight w:val="none"/>
          <w:u w:val="single"/>
          <w:lang w:val="en-US"/>
        </w:rPr>
        <w:t>0</w:t>
      </w:r>
      <w:r>
        <w:rPr>
          <w:rFonts w:hint="eastAsia" w:ascii="Times New Roman"/>
          <w:color w:val="auto"/>
          <w:highlight w:val="none"/>
          <w:u w:val="single"/>
          <w:lang w:val="en-US" w:eastAsia="zh-CN"/>
        </w:rPr>
        <w:t>2</w:t>
      </w:r>
      <w:r>
        <w:rPr>
          <w:color w:val="auto"/>
          <w:highlight w:val="none"/>
        </w:rPr>
        <w:t>月</w:t>
      </w:r>
      <w:r>
        <w:rPr>
          <w:rFonts w:hint="eastAsia" w:ascii="Times New Roman"/>
          <w:color w:val="auto"/>
          <w:highlight w:val="none"/>
          <w:u w:val="single"/>
          <w:lang w:val="en-US" w:eastAsia="zh-CN"/>
        </w:rPr>
        <w:t>03</w:t>
      </w:r>
      <w:r>
        <w:rPr>
          <w:color w:val="auto"/>
          <w:highlight w:val="none"/>
        </w:rPr>
        <w:t>日</w:t>
      </w:r>
      <w:r>
        <w:rPr>
          <w:rFonts w:hint="eastAsia" w:ascii="Times New Roman"/>
          <w:color w:val="auto"/>
          <w:highlight w:val="none"/>
          <w:u w:val="single"/>
          <w:lang w:val="en-US"/>
        </w:rPr>
        <w:t>10</w:t>
      </w:r>
      <w:r>
        <w:rPr>
          <w:color w:val="auto"/>
          <w:highlight w:val="none"/>
        </w:rPr>
        <w:t>时</w:t>
      </w:r>
      <w:r>
        <w:rPr>
          <w:rFonts w:hint="eastAsia" w:ascii="Times New Roman"/>
          <w:color w:val="auto"/>
          <w:highlight w:val="none"/>
          <w:u w:val="single"/>
          <w:lang w:val="en-US"/>
        </w:rPr>
        <w:t>0</w:t>
      </w:r>
      <w:r>
        <w:rPr>
          <w:rFonts w:ascii="Times New Roman" w:eastAsia="Times New Roman"/>
          <w:color w:val="auto"/>
          <w:highlight w:val="none"/>
          <w:u w:val="single"/>
        </w:rPr>
        <w:t>0</w:t>
      </w:r>
      <w:r>
        <w:rPr>
          <w:color w:val="auto"/>
          <w:spacing w:val="-12"/>
          <w:highlight w:val="none"/>
        </w:rPr>
        <w:t>分，供应商的法定代表人或</w:t>
      </w:r>
      <w:r>
        <w:rPr>
          <w:color w:val="auto"/>
          <w:highlight w:val="none"/>
        </w:rPr>
        <w:t>其授权代理人应于递交的截止时间前将响应文件递交至</w:t>
      </w:r>
      <w:r>
        <w:rPr>
          <w:rFonts w:hint="eastAsia"/>
          <w:color w:val="auto"/>
          <w:highlight w:val="none"/>
          <w:u w:val="single"/>
          <w:lang w:val="en-US"/>
        </w:rPr>
        <w:t>安徽省高速公路试验检测科研中心有限公司七楼713</w:t>
      </w:r>
      <w:r>
        <w:rPr>
          <w:color w:val="auto"/>
          <w:spacing w:val="-7"/>
          <w:highlight w:val="none"/>
          <w:u w:val="single"/>
        </w:rPr>
        <w:t>会议室</w:t>
      </w:r>
      <w:r>
        <w:rPr>
          <w:color w:val="auto"/>
          <w:highlight w:val="none"/>
          <w:u w:val="single"/>
        </w:rPr>
        <w:t>（</w:t>
      </w:r>
      <w:r>
        <w:rPr>
          <w:color w:val="auto"/>
          <w:spacing w:val="-7"/>
          <w:highlight w:val="none"/>
          <w:u w:val="single"/>
        </w:rPr>
        <w:t>地点：安徽省合肥市蜀山区方兴大道与彩虹路交口东北角设计总院</w:t>
      </w:r>
      <w:r>
        <w:rPr>
          <w:rFonts w:hint="eastAsia"/>
          <w:color w:val="auto"/>
          <w:spacing w:val="-7"/>
          <w:highlight w:val="none"/>
          <w:u w:val="single"/>
          <w:lang w:val="en-US"/>
        </w:rPr>
        <w:t xml:space="preserve"> 交通慧谷2号楼</w:t>
      </w:r>
      <w:r>
        <w:rPr>
          <w:color w:val="auto"/>
          <w:spacing w:val="-20"/>
          <w:highlight w:val="none"/>
          <w:u w:val="single"/>
        </w:rPr>
        <w:t>）</w:t>
      </w:r>
    </w:p>
    <w:p>
      <w:pPr>
        <w:pStyle w:val="9"/>
        <w:numPr>
          <w:ilvl w:val="0"/>
          <w:numId w:val="1"/>
        </w:numPr>
        <w:tabs>
          <w:tab w:val="left" w:pos="1061"/>
        </w:tabs>
        <w:spacing w:line="307" w:lineRule="exact"/>
        <w:rPr>
          <w:color w:val="auto"/>
          <w:highlight w:val="none"/>
        </w:rPr>
      </w:pPr>
      <w:r>
        <w:rPr>
          <w:color w:val="auto"/>
          <w:highlight w:val="none"/>
        </w:rPr>
        <w:t>响应文件启封</w:t>
      </w:r>
    </w:p>
    <w:p>
      <w:pPr>
        <w:pStyle w:val="10"/>
        <w:spacing w:before="158" w:line="364" w:lineRule="auto"/>
        <w:ind w:right="237" w:firstLine="480"/>
        <w:jc w:val="both"/>
        <w:rPr>
          <w:color w:val="auto"/>
          <w:highlight w:val="none"/>
        </w:rPr>
      </w:pPr>
      <w:r>
        <w:rPr>
          <w:color w:val="auto"/>
          <w:spacing w:val="-7"/>
          <w:highlight w:val="none"/>
        </w:rPr>
        <w:t>响应文件的递交截止时间到后，采购人将于</w:t>
      </w:r>
      <w:r>
        <w:rPr>
          <w:rFonts w:hint="eastAsia"/>
          <w:color w:val="auto"/>
          <w:highlight w:val="none"/>
          <w:u w:val="single"/>
          <w:lang w:val="en-US"/>
        </w:rPr>
        <w:t>安徽省高速公路试验检测科研中心有限公司七楼713</w:t>
      </w:r>
      <w:r>
        <w:rPr>
          <w:color w:val="auto"/>
          <w:spacing w:val="-7"/>
          <w:highlight w:val="none"/>
          <w:u w:val="single"/>
        </w:rPr>
        <w:t>会议室</w:t>
      </w:r>
      <w:r>
        <w:rPr>
          <w:color w:val="auto"/>
          <w:highlight w:val="none"/>
          <w:u w:val="single"/>
        </w:rPr>
        <w:t>（</w:t>
      </w:r>
      <w:r>
        <w:rPr>
          <w:color w:val="auto"/>
          <w:spacing w:val="-7"/>
          <w:highlight w:val="none"/>
          <w:u w:val="single"/>
        </w:rPr>
        <w:t>地点：安徽省合肥市蜀山区方兴大道与彩虹路交口东北角设计总院</w:t>
      </w:r>
      <w:r>
        <w:rPr>
          <w:rFonts w:hint="eastAsia"/>
          <w:color w:val="auto"/>
          <w:spacing w:val="-7"/>
          <w:highlight w:val="none"/>
          <w:u w:val="single"/>
          <w:lang w:val="en-US"/>
        </w:rPr>
        <w:t xml:space="preserve"> 交通慧谷2号楼</w:t>
      </w:r>
      <w:r>
        <w:rPr>
          <w:color w:val="auto"/>
          <w:spacing w:val="-20"/>
          <w:highlight w:val="none"/>
          <w:u w:val="single"/>
        </w:rPr>
        <w:t>）</w:t>
      </w:r>
      <w:r>
        <w:rPr>
          <w:color w:val="auto"/>
          <w:spacing w:val="-2"/>
          <w:highlight w:val="none"/>
        </w:rPr>
        <w:t>组织进行响应文件的启封。供应商的法定代表人或授权代理人应携带本人身份证、授权代理人应携带授权委托书准时参加启封会议。</w:t>
      </w:r>
    </w:p>
    <w:p>
      <w:pPr>
        <w:pStyle w:val="9"/>
        <w:numPr>
          <w:ilvl w:val="0"/>
          <w:numId w:val="1"/>
        </w:numPr>
        <w:tabs>
          <w:tab w:val="left" w:pos="1000"/>
        </w:tabs>
        <w:spacing w:before="158"/>
        <w:ind w:left="1000" w:hanging="300"/>
        <w:rPr>
          <w:color w:val="auto"/>
          <w:highlight w:val="none"/>
        </w:rPr>
      </w:pPr>
      <w:r>
        <w:rPr>
          <w:color w:val="auto"/>
          <w:highlight w:val="none"/>
        </w:rPr>
        <w:t>响应保证金</w:t>
      </w:r>
      <w:r>
        <w:rPr>
          <w:rFonts w:hint="eastAsia"/>
          <w:color w:val="auto"/>
          <w:highlight w:val="none"/>
          <w:lang w:val="en-US"/>
        </w:rPr>
        <w:t>及</w:t>
      </w:r>
      <w:r>
        <w:rPr>
          <w:color w:val="auto"/>
          <w:highlight w:val="none"/>
        </w:rPr>
        <w:t>履约保证金</w:t>
      </w:r>
    </w:p>
    <w:p>
      <w:pPr>
        <w:rPr>
          <w:color w:val="auto"/>
          <w:highlight w:val="none"/>
        </w:rPr>
      </w:pPr>
    </w:p>
    <w:p>
      <w:pPr>
        <w:pStyle w:val="10"/>
        <w:tabs>
          <w:tab w:val="left" w:pos="1120"/>
        </w:tabs>
        <w:ind w:left="700"/>
        <w:rPr>
          <w:color w:val="auto"/>
          <w:highlight w:val="none"/>
        </w:rPr>
      </w:pPr>
      <w:r>
        <w:rPr>
          <w:color w:val="auto"/>
          <w:highlight w:val="none"/>
          <w:lang w:val="en-US"/>
        </w:rPr>
        <w:t>7.1</w:t>
      </w:r>
      <w:r>
        <w:rPr>
          <w:rFonts w:hint="eastAsia"/>
          <w:color w:val="auto"/>
          <w:highlight w:val="none"/>
          <w:lang w:val="en-US"/>
        </w:rPr>
        <w:t>响应保证金</w:t>
      </w:r>
    </w:p>
    <w:p>
      <w:pPr>
        <w:spacing w:before="9"/>
        <w:rPr>
          <w:b/>
          <w:color w:val="auto"/>
          <w:sz w:val="21"/>
          <w:highlight w:val="none"/>
        </w:rPr>
      </w:pPr>
    </w:p>
    <w:p>
      <w:pPr>
        <w:pStyle w:val="10"/>
        <w:tabs>
          <w:tab w:val="left" w:pos="1120"/>
        </w:tabs>
        <w:ind w:left="700"/>
        <w:rPr>
          <w:color w:val="auto"/>
          <w:highlight w:val="none"/>
        </w:rPr>
      </w:pPr>
      <w:r>
        <w:rPr>
          <w:color w:val="auto"/>
          <w:highlight w:val="none"/>
        </w:rPr>
        <w:t>响应保证金</w:t>
      </w:r>
    </w:p>
    <w:p>
      <w:pPr>
        <w:pStyle w:val="2"/>
        <w:spacing w:before="12"/>
        <w:rPr>
          <w:color w:val="auto"/>
          <w:highlight w:val="none"/>
        </w:rPr>
      </w:pPr>
    </w:p>
    <w:p>
      <w:pPr>
        <w:pStyle w:val="10"/>
        <w:tabs>
          <w:tab w:val="left" w:pos="6039"/>
        </w:tabs>
        <w:ind w:left="700"/>
        <w:rPr>
          <w:color w:val="auto"/>
          <w:highlight w:val="none"/>
        </w:rPr>
      </w:pPr>
      <w:r>
        <w:rPr>
          <w:color w:val="auto"/>
          <w:highlight w:val="none"/>
        </w:rPr>
        <w:t>响应保证金的金额：</w:t>
      </w:r>
      <w:r>
        <w:rPr>
          <w:color w:val="auto"/>
          <w:highlight w:val="none"/>
          <w:u w:val="single"/>
        </w:rPr>
        <w:t>人民币</w:t>
      </w:r>
      <w:r>
        <w:rPr>
          <w:rFonts w:ascii="Times New Roman" w:eastAsia="Times New Roman"/>
          <w:color w:val="auto"/>
          <w:highlight w:val="none"/>
          <w:u w:val="single"/>
        </w:rPr>
        <w:t xml:space="preserve">10000.00 </w:t>
      </w:r>
      <w:r>
        <w:rPr>
          <w:color w:val="auto"/>
          <w:highlight w:val="none"/>
          <w:u w:val="single"/>
        </w:rPr>
        <w:t>元</w:t>
      </w:r>
      <w:r>
        <w:rPr>
          <w:color w:val="auto"/>
          <w:highlight w:val="none"/>
          <w:u w:val="single"/>
        </w:rPr>
        <w:tab/>
      </w:r>
    </w:p>
    <w:p>
      <w:pPr>
        <w:pStyle w:val="2"/>
        <w:spacing w:before="7"/>
        <w:rPr>
          <w:color w:val="auto"/>
          <w:sz w:val="16"/>
          <w:highlight w:val="none"/>
        </w:rPr>
      </w:pPr>
    </w:p>
    <w:p>
      <w:pPr>
        <w:pStyle w:val="10"/>
        <w:tabs>
          <w:tab w:val="left" w:pos="5979"/>
        </w:tabs>
        <w:spacing w:before="66"/>
        <w:ind w:left="700"/>
        <w:rPr>
          <w:color w:val="auto"/>
          <w:highlight w:val="none"/>
        </w:rPr>
      </w:pPr>
      <w:r>
        <w:rPr>
          <w:color w:val="auto"/>
          <w:highlight w:val="none"/>
        </w:rPr>
        <w:t>响应保证金的递交形式：</w:t>
      </w:r>
      <w:r>
        <w:rPr>
          <w:color w:val="auto"/>
          <w:highlight w:val="none"/>
          <w:u w:val="single"/>
        </w:rPr>
        <w:t>银行转账</w:t>
      </w:r>
      <w:r>
        <w:rPr>
          <w:color w:val="auto"/>
          <w:highlight w:val="none"/>
          <w:u w:val="single"/>
        </w:rPr>
        <w:tab/>
      </w:r>
    </w:p>
    <w:p>
      <w:pPr>
        <w:pStyle w:val="2"/>
        <w:spacing w:before="1"/>
        <w:rPr>
          <w:color w:val="auto"/>
          <w:sz w:val="16"/>
          <w:highlight w:val="none"/>
        </w:rPr>
      </w:pPr>
    </w:p>
    <w:p>
      <w:pPr>
        <w:pStyle w:val="10"/>
        <w:tabs>
          <w:tab w:val="left" w:pos="5979"/>
        </w:tabs>
        <w:spacing w:before="74"/>
        <w:ind w:left="700"/>
        <w:rPr>
          <w:rFonts w:ascii="Times New Roman" w:eastAsia="Times New Roman"/>
          <w:color w:val="auto"/>
          <w:highlight w:val="none"/>
        </w:rPr>
      </w:pPr>
      <w:r>
        <w:rPr>
          <w:color w:val="auto"/>
          <w:highlight w:val="none"/>
        </w:rPr>
        <w:t>递交账号：</w:t>
      </w:r>
      <w:r>
        <w:rPr>
          <w:rFonts w:ascii="Times New Roman" w:eastAsia="Times New Roman"/>
          <w:color w:val="auto"/>
          <w:highlight w:val="none"/>
          <w:u w:val="single"/>
        </w:rPr>
        <w:t>087672120100330002507</w:t>
      </w:r>
      <w:r>
        <w:rPr>
          <w:rFonts w:ascii="Times New Roman" w:eastAsia="Times New Roman"/>
          <w:color w:val="auto"/>
          <w:highlight w:val="none"/>
          <w:u w:val="single"/>
        </w:rPr>
        <w:tab/>
      </w:r>
    </w:p>
    <w:p>
      <w:pPr>
        <w:pStyle w:val="2"/>
        <w:spacing w:before="8"/>
        <w:rPr>
          <w:rFonts w:ascii="Times New Roman"/>
          <w:color w:val="auto"/>
          <w:sz w:val="18"/>
          <w:highlight w:val="none"/>
        </w:rPr>
      </w:pPr>
    </w:p>
    <w:p>
      <w:pPr>
        <w:pStyle w:val="10"/>
        <w:spacing w:before="66"/>
        <w:ind w:left="700"/>
        <w:rPr>
          <w:color w:val="auto"/>
          <w:highlight w:val="none"/>
        </w:rPr>
      </w:pPr>
      <w:r>
        <w:rPr>
          <w:color w:val="auto"/>
          <w:highlight w:val="none"/>
        </w:rPr>
        <w:t>户名：</w:t>
      </w:r>
      <w:r>
        <w:rPr>
          <w:color w:val="auto"/>
          <w:highlight w:val="none"/>
          <w:u w:val="single"/>
        </w:rPr>
        <w:t>安徽省高速公路试验检测科研中心有限公司</w:t>
      </w:r>
    </w:p>
    <w:p>
      <w:pPr>
        <w:pStyle w:val="2"/>
        <w:spacing w:before="7"/>
        <w:rPr>
          <w:color w:val="auto"/>
          <w:sz w:val="16"/>
          <w:highlight w:val="none"/>
        </w:rPr>
      </w:pPr>
    </w:p>
    <w:p>
      <w:pPr>
        <w:pStyle w:val="10"/>
        <w:tabs>
          <w:tab w:val="left" w:pos="5979"/>
        </w:tabs>
        <w:spacing w:before="66"/>
        <w:ind w:left="700"/>
        <w:rPr>
          <w:color w:val="auto"/>
          <w:highlight w:val="none"/>
        </w:rPr>
      </w:pPr>
      <w:r>
        <w:rPr>
          <w:color w:val="auto"/>
          <w:highlight w:val="none"/>
        </w:rPr>
        <w:t>开户行：</w:t>
      </w:r>
      <w:r>
        <w:rPr>
          <w:color w:val="auto"/>
          <w:highlight w:val="none"/>
          <w:u w:val="single"/>
        </w:rPr>
        <w:t>光大银行合肥经济开发区支行</w:t>
      </w:r>
      <w:r>
        <w:rPr>
          <w:color w:val="auto"/>
          <w:highlight w:val="none"/>
          <w:u w:val="single"/>
        </w:rPr>
        <w:tab/>
      </w:r>
    </w:p>
    <w:p>
      <w:pPr>
        <w:pStyle w:val="2"/>
        <w:spacing w:before="7"/>
        <w:rPr>
          <w:color w:val="auto"/>
          <w:sz w:val="16"/>
          <w:highlight w:val="none"/>
        </w:rPr>
      </w:pPr>
    </w:p>
    <w:p>
      <w:pPr>
        <w:pStyle w:val="10"/>
        <w:tabs>
          <w:tab w:val="left" w:pos="5979"/>
        </w:tabs>
        <w:spacing w:before="66"/>
        <w:ind w:left="700"/>
        <w:rPr>
          <w:color w:val="auto"/>
          <w:highlight w:val="none"/>
        </w:rPr>
      </w:pPr>
      <w:r>
        <w:rPr>
          <w:color w:val="auto"/>
          <w:highlight w:val="none"/>
        </w:rPr>
        <w:t>备注栏填写：</w:t>
      </w:r>
      <w:r>
        <w:rPr>
          <w:rFonts w:hint="eastAsia"/>
          <w:color w:val="auto"/>
          <w:highlight w:val="none"/>
          <w:u w:val="single"/>
          <w:lang w:val="en-US"/>
        </w:rPr>
        <w:t>五河至蒙城</w:t>
      </w:r>
      <w:r>
        <w:rPr>
          <w:rFonts w:ascii="Times New Roman" w:hAnsi="Times New Roman" w:cs="Times New Roman"/>
          <w:color w:val="auto"/>
          <w:highlight w:val="none"/>
          <w:u w:val="single"/>
          <w:lang w:val="en-US"/>
        </w:rPr>
        <w:t>高速公路中心试验室</w:t>
      </w:r>
      <w:r>
        <w:rPr>
          <w:rFonts w:hint="eastAsia" w:cs="Times New Roman"/>
          <w:color w:val="auto"/>
          <w:highlight w:val="none"/>
          <w:u w:val="single"/>
          <w:lang w:val="en-US"/>
        </w:rPr>
        <w:t>路基</w:t>
      </w:r>
      <w:r>
        <w:rPr>
          <w:rFonts w:ascii="Times New Roman" w:hAnsi="Times New Roman" w:cs="Times New Roman"/>
          <w:color w:val="auto"/>
          <w:highlight w:val="none"/>
          <w:u w:val="single"/>
          <w:lang w:val="en-US"/>
        </w:rPr>
        <w:t>仪器设备</w:t>
      </w:r>
      <w:r>
        <w:rPr>
          <w:rFonts w:hint="eastAsia"/>
          <w:color w:val="auto"/>
          <w:highlight w:val="none"/>
          <w:u w:val="single"/>
          <w:lang w:val="en-US" w:eastAsia="zh-CN"/>
        </w:rPr>
        <w:t>（二次）</w:t>
      </w:r>
      <w:r>
        <w:rPr>
          <w:color w:val="auto"/>
          <w:highlight w:val="none"/>
          <w:u w:val="single"/>
        </w:rPr>
        <w:tab/>
      </w:r>
    </w:p>
    <w:p>
      <w:pPr>
        <w:pStyle w:val="2"/>
        <w:spacing w:before="12"/>
        <w:rPr>
          <w:color w:val="auto"/>
          <w:sz w:val="15"/>
          <w:highlight w:val="none"/>
        </w:rPr>
      </w:pPr>
    </w:p>
    <w:p>
      <w:pPr>
        <w:pStyle w:val="10"/>
        <w:tabs>
          <w:tab w:val="left" w:pos="5919"/>
        </w:tabs>
        <w:spacing w:before="76"/>
        <w:ind w:left="700"/>
        <w:rPr>
          <w:color w:val="auto"/>
          <w:highlight w:val="none"/>
          <w:u w:val="single"/>
        </w:rPr>
      </w:pPr>
      <w:r>
        <w:rPr>
          <w:color w:val="auto"/>
          <w:highlight w:val="none"/>
        </w:rPr>
        <w:t>递交截止时间：</w:t>
      </w:r>
      <w:r>
        <w:rPr>
          <w:rFonts w:ascii="Times New Roman" w:eastAsia="Times New Roman"/>
          <w:color w:val="auto"/>
          <w:highlight w:val="none"/>
          <w:u w:val="single"/>
        </w:rPr>
        <w:t>202</w:t>
      </w:r>
      <w:r>
        <w:rPr>
          <w:rFonts w:hint="eastAsia" w:ascii="Times New Roman"/>
          <w:color w:val="auto"/>
          <w:highlight w:val="none"/>
          <w:u w:val="single"/>
          <w:lang w:val="en-US"/>
        </w:rPr>
        <w:t>3</w:t>
      </w:r>
      <w:r>
        <w:rPr>
          <w:color w:val="auto"/>
          <w:highlight w:val="none"/>
          <w:u w:val="single"/>
        </w:rPr>
        <w:t>年</w:t>
      </w:r>
      <w:r>
        <w:rPr>
          <w:rFonts w:hint="eastAsia" w:ascii="Times New Roman"/>
          <w:color w:val="auto"/>
          <w:highlight w:val="none"/>
          <w:u w:val="single"/>
          <w:lang w:val="en-US"/>
        </w:rPr>
        <w:t>0</w:t>
      </w:r>
      <w:r>
        <w:rPr>
          <w:rFonts w:hint="eastAsia" w:ascii="Times New Roman"/>
          <w:color w:val="auto"/>
          <w:highlight w:val="none"/>
          <w:u w:val="single"/>
          <w:lang w:val="en-US" w:eastAsia="zh-CN"/>
        </w:rPr>
        <w:t>2</w:t>
      </w:r>
      <w:r>
        <w:rPr>
          <w:color w:val="auto"/>
          <w:highlight w:val="none"/>
          <w:u w:val="single"/>
        </w:rPr>
        <w:t>月</w:t>
      </w:r>
      <w:r>
        <w:rPr>
          <w:rFonts w:hint="eastAsia" w:ascii="Times New Roman"/>
          <w:color w:val="auto"/>
          <w:highlight w:val="none"/>
          <w:u w:val="single"/>
          <w:lang w:val="en-US" w:eastAsia="zh-CN"/>
        </w:rPr>
        <w:t>03</w:t>
      </w:r>
      <w:r>
        <w:rPr>
          <w:color w:val="auto"/>
          <w:highlight w:val="none"/>
          <w:u w:val="single"/>
        </w:rPr>
        <w:t>日</w:t>
      </w:r>
      <w:r>
        <w:rPr>
          <w:rFonts w:hint="eastAsia" w:ascii="Times New Roman"/>
          <w:color w:val="auto"/>
          <w:highlight w:val="none"/>
          <w:u w:val="single"/>
          <w:lang w:val="en-US"/>
        </w:rPr>
        <w:t>10</w:t>
      </w:r>
      <w:r>
        <w:rPr>
          <w:color w:val="auto"/>
          <w:highlight w:val="none"/>
          <w:u w:val="single"/>
        </w:rPr>
        <w:t>时</w:t>
      </w:r>
      <w:r>
        <w:rPr>
          <w:rFonts w:hint="eastAsia" w:ascii="Times New Roman"/>
          <w:color w:val="auto"/>
          <w:highlight w:val="none"/>
          <w:u w:val="single"/>
          <w:lang w:val="en-US"/>
        </w:rPr>
        <w:t>0</w:t>
      </w:r>
      <w:r>
        <w:rPr>
          <w:rFonts w:ascii="Times New Roman" w:eastAsia="Times New Roman"/>
          <w:color w:val="auto"/>
          <w:highlight w:val="none"/>
          <w:u w:val="single"/>
        </w:rPr>
        <w:t xml:space="preserve">0 </w:t>
      </w:r>
      <w:r>
        <w:rPr>
          <w:color w:val="auto"/>
          <w:highlight w:val="none"/>
          <w:u w:val="single"/>
        </w:rPr>
        <w:t>分</w:t>
      </w:r>
    </w:p>
    <w:p>
      <w:pPr>
        <w:pStyle w:val="10"/>
        <w:spacing w:before="41"/>
        <w:ind w:left="700"/>
        <w:rPr>
          <w:color w:val="auto"/>
          <w:highlight w:val="none"/>
        </w:rPr>
      </w:pPr>
      <w:r>
        <w:rPr>
          <w:color w:val="auto"/>
          <w:highlight w:val="none"/>
        </w:rPr>
        <w:t>供应商完成转账的银行账户名称应与供应商的单位名称一致。</w:t>
      </w:r>
    </w:p>
    <w:p>
      <w:pPr>
        <w:pStyle w:val="2"/>
        <w:spacing w:before="11"/>
        <w:rPr>
          <w:color w:val="auto"/>
          <w:highlight w:val="none"/>
        </w:rPr>
      </w:pPr>
    </w:p>
    <w:p>
      <w:pPr>
        <w:pStyle w:val="10"/>
        <w:tabs>
          <w:tab w:val="left" w:pos="1120"/>
        </w:tabs>
        <w:ind w:left="700"/>
        <w:rPr>
          <w:color w:val="auto"/>
          <w:highlight w:val="none"/>
          <w:lang w:val="en-US"/>
        </w:rPr>
      </w:pPr>
      <w:r>
        <w:rPr>
          <w:rFonts w:hint="eastAsia"/>
          <w:color w:val="auto"/>
          <w:highlight w:val="none"/>
          <w:lang w:val="en-US"/>
        </w:rPr>
        <w:t>7.2</w:t>
      </w:r>
      <w:r>
        <w:rPr>
          <w:color w:val="auto"/>
          <w:highlight w:val="none"/>
          <w:lang w:val="en-US"/>
        </w:rPr>
        <w:t>履约保证金</w:t>
      </w:r>
    </w:p>
    <w:p>
      <w:pPr>
        <w:pStyle w:val="2"/>
        <w:spacing w:before="9"/>
        <w:rPr>
          <w:color w:val="auto"/>
          <w:highlight w:val="none"/>
        </w:rPr>
      </w:pPr>
    </w:p>
    <w:p>
      <w:pPr>
        <w:pStyle w:val="10"/>
        <w:ind w:left="820"/>
        <w:rPr>
          <w:rFonts w:ascii="Times New Roman" w:eastAsia="Times New Roman"/>
          <w:color w:val="auto"/>
          <w:highlight w:val="none"/>
        </w:rPr>
      </w:pPr>
      <w:r>
        <w:rPr>
          <w:color w:val="auto"/>
          <w:highlight w:val="none"/>
        </w:rPr>
        <w:t xml:space="preserve">在签订合同前，入围供应商应向采购人提交履约保证金。履约保证金的金额为 </w:t>
      </w:r>
      <w:r>
        <w:rPr>
          <w:rFonts w:ascii="Times New Roman" w:eastAsia="Times New Roman"/>
          <w:color w:val="auto"/>
          <w:highlight w:val="none"/>
          <w:u w:val="single"/>
        </w:rPr>
        <w:t>10000.00</w:t>
      </w:r>
    </w:p>
    <w:p>
      <w:pPr>
        <w:pStyle w:val="10"/>
        <w:keepNext w:val="0"/>
        <w:keepLines w:val="0"/>
        <w:pageBreakBefore w:val="0"/>
        <w:widowControl w:val="0"/>
        <w:kinsoku/>
        <w:wordWrap/>
        <w:overflowPunct/>
        <w:topLinePunct w:val="0"/>
        <w:autoSpaceDE w:val="0"/>
        <w:autoSpaceDN w:val="0"/>
        <w:bidi w:val="0"/>
        <w:adjustRightInd/>
        <w:snapToGrid/>
        <w:spacing w:before="161" w:line="360" w:lineRule="auto"/>
        <w:ind w:left="221" w:firstLine="480" w:firstLineChars="200"/>
        <w:textAlignment w:val="auto"/>
        <w:rPr>
          <w:color w:val="auto"/>
          <w:highlight w:val="none"/>
        </w:rPr>
      </w:pPr>
      <w:r>
        <w:rPr>
          <w:color w:val="auto"/>
          <w:highlight w:val="none"/>
          <w:u w:val="single"/>
        </w:rPr>
        <w:t>元</w:t>
      </w:r>
      <w:r>
        <w:rPr>
          <w:color w:val="auto"/>
          <w:highlight w:val="none"/>
        </w:rPr>
        <w:t>，履约保证金的形式为</w:t>
      </w:r>
      <w:r>
        <w:rPr>
          <w:color w:val="auto"/>
          <w:highlight w:val="none"/>
          <w:u w:val="single"/>
        </w:rPr>
        <w:t>银行转账</w:t>
      </w:r>
      <w:r>
        <w:rPr>
          <w:color w:val="auto"/>
          <w:highlight w:val="none"/>
        </w:rPr>
        <w:t>。</w:t>
      </w:r>
    </w:p>
    <w:p>
      <w:pPr>
        <w:pStyle w:val="10"/>
        <w:keepNext w:val="0"/>
        <w:keepLines w:val="0"/>
        <w:pageBreakBefore w:val="0"/>
        <w:widowControl w:val="0"/>
        <w:kinsoku/>
        <w:wordWrap/>
        <w:overflowPunct/>
        <w:topLinePunct w:val="0"/>
        <w:autoSpaceDE w:val="0"/>
        <w:autoSpaceDN w:val="0"/>
        <w:bidi w:val="0"/>
        <w:adjustRightInd/>
        <w:snapToGrid/>
        <w:spacing w:before="161" w:line="360" w:lineRule="auto"/>
        <w:ind w:left="221" w:firstLine="482" w:firstLineChars="200"/>
        <w:textAlignment w:val="auto"/>
        <w:rPr>
          <w:color w:val="auto"/>
          <w:highlight w:val="none"/>
        </w:rPr>
      </w:pPr>
      <w:r>
        <w:rPr>
          <w:rFonts w:hint="eastAsia" w:ascii="宋体" w:hAnsi="宋体" w:eastAsia="宋体" w:cs="宋体"/>
          <w:b/>
          <w:bCs/>
          <w:color w:val="auto"/>
          <w:sz w:val="24"/>
          <w:szCs w:val="24"/>
          <w:lang w:val="en-US" w:eastAsia="zh-CN"/>
        </w:rPr>
        <w:t>7.3对于参加第一次采购且已交纳响应保证金的供应商，并确定参加第二次采购的，不用再次交响应保证金。</w:t>
      </w:r>
    </w:p>
    <w:p>
      <w:pPr>
        <w:pStyle w:val="9"/>
        <w:numPr>
          <w:ilvl w:val="0"/>
          <w:numId w:val="1"/>
        </w:numPr>
        <w:tabs>
          <w:tab w:val="left" w:pos="1000"/>
        </w:tabs>
        <w:spacing w:before="158"/>
        <w:ind w:left="1000" w:hanging="300"/>
        <w:rPr>
          <w:color w:val="auto"/>
          <w:highlight w:val="none"/>
        </w:rPr>
      </w:pPr>
      <w:r>
        <w:rPr>
          <w:color w:val="auto"/>
          <w:highlight w:val="none"/>
        </w:rPr>
        <w:t>发布公告的媒介</w:t>
      </w:r>
    </w:p>
    <w:p>
      <w:pPr>
        <w:pStyle w:val="10"/>
        <w:spacing w:before="160"/>
        <w:ind w:left="700"/>
        <w:rPr>
          <w:color w:val="auto"/>
          <w:highlight w:val="none"/>
        </w:rPr>
      </w:pPr>
      <w:r>
        <w:rPr>
          <w:color w:val="auto"/>
          <w:highlight w:val="none"/>
        </w:rPr>
        <w:t>本次采购公告在高速检测官网（</w:t>
      </w:r>
      <w:r>
        <w:rPr>
          <w:color w:val="auto"/>
          <w:highlight w:val="none"/>
        </w:rPr>
        <w:fldChar w:fldCharType="begin"/>
      </w:r>
      <w:r>
        <w:rPr>
          <w:color w:val="auto"/>
          <w:highlight w:val="none"/>
        </w:rPr>
        <w:instrText xml:space="preserve"> HYPERLINK "http://www.ahgsjc.com/" \h </w:instrText>
      </w:r>
      <w:r>
        <w:rPr>
          <w:color w:val="auto"/>
          <w:highlight w:val="none"/>
        </w:rPr>
        <w:fldChar w:fldCharType="separate"/>
      </w:r>
      <w:r>
        <w:rPr>
          <w:rFonts w:ascii="Times New Roman" w:eastAsia="Times New Roman"/>
          <w:color w:val="auto"/>
          <w:highlight w:val="none"/>
        </w:rPr>
        <w:t>http://www.ahgsjc.com/</w:t>
      </w:r>
      <w:r>
        <w:rPr>
          <w:rFonts w:ascii="Times New Roman" w:eastAsia="Times New Roman"/>
          <w:color w:val="auto"/>
          <w:highlight w:val="none"/>
        </w:rPr>
        <w:fldChar w:fldCharType="end"/>
      </w:r>
      <w:r>
        <w:rPr>
          <w:color w:val="auto"/>
          <w:highlight w:val="none"/>
        </w:rPr>
        <w:t>）公司公告栏上发布。</w:t>
      </w:r>
    </w:p>
    <w:p>
      <w:pPr>
        <w:pStyle w:val="9"/>
        <w:numPr>
          <w:ilvl w:val="0"/>
          <w:numId w:val="1"/>
        </w:numPr>
        <w:tabs>
          <w:tab w:val="left" w:pos="881"/>
        </w:tabs>
        <w:spacing w:before="158"/>
        <w:ind w:left="881" w:hanging="181"/>
        <w:rPr>
          <w:color w:val="auto"/>
          <w:highlight w:val="none"/>
        </w:rPr>
      </w:pPr>
      <w:r>
        <w:rPr>
          <w:color w:val="auto"/>
          <w:highlight w:val="none"/>
        </w:rPr>
        <w:t>采购人联系方式</w:t>
      </w:r>
    </w:p>
    <w:p>
      <w:pPr>
        <w:pStyle w:val="10"/>
        <w:tabs>
          <w:tab w:val="left" w:pos="1419"/>
        </w:tabs>
        <w:spacing w:before="161" w:line="364" w:lineRule="auto"/>
        <w:ind w:left="700" w:right="3745"/>
        <w:rPr>
          <w:color w:val="auto"/>
          <w:highlight w:val="none"/>
        </w:rPr>
      </w:pPr>
      <w:r>
        <w:rPr>
          <w:color w:val="auto"/>
          <w:highlight w:val="none"/>
        </w:rPr>
        <w:t>采 购 人：</w:t>
      </w:r>
      <w:r>
        <w:rPr>
          <w:color w:val="auto"/>
          <w:highlight w:val="none"/>
          <w:u w:val="single"/>
        </w:rPr>
        <w:t>安徽省高速公路试验检测科研中心有限公</w:t>
      </w:r>
      <w:r>
        <w:rPr>
          <w:color w:val="auto"/>
          <w:spacing w:val="-19"/>
          <w:highlight w:val="none"/>
          <w:u w:val="single"/>
        </w:rPr>
        <w:t>司</w:t>
      </w:r>
      <w:r>
        <w:rPr>
          <w:color w:val="auto"/>
          <w:highlight w:val="none"/>
        </w:rPr>
        <w:t>地</w:t>
      </w:r>
      <w:r>
        <w:rPr>
          <w:color w:val="auto"/>
          <w:highlight w:val="none"/>
        </w:rPr>
        <w:tab/>
      </w:r>
      <w:r>
        <w:rPr>
          <w:color w:val="auto"/>
          <w:highlight w:val="none"/>
        </w:rPr>
        <w:t>址：</w:t>
      </w:r>
      <w:r>
        <w:rPr>
          <w:color w:val="auto"/>
          <w:spacing w:val="-7"/>
          <w:highlight w:val="none"/>
          <w:u w:val="single"/>
        </w:rPr>
        <w:t>安徽省合肥市蜀山区方兴大道与彩虹路交口东北角设计总院</w:t>
      </w:r>
      <w:r>
        <w:rPr>
          <w:rFonts w:hint="eastAsia"/>
          <w:color w:val="auto"/>
          <w:spacing w:val="-7"/>
          <w:highlight w:val="none"/>
          <w:u w:val="single"/>
          <w:lang w:val="en-US"/>
        </w:rPr>
        <w:t xml:space="preserve"> 交通慧谷2号楼</w:t>
      </w:r>
    </w:p>
    <w:p>
      <w:pPr>
        <w:pStyle w:val="10"/>
        <w:tabs>
          <w:tab w:val="left" w:pos="2859"/>
          <w:tab w:val="left" w:pos="3219"/>
          <w:tab w:val="left" w:pos="5619"/>
        </w:tabs>
        <w:spacing w:line="364" w:lineRule="auto"/>
        <w:ind w:left="700" w:right="4585"/>
        <w:jc w:val="both"/>
        <w:rPr>
          <w:rFonts w:hint="default" w:ascii="Times New Roman" w:eastAsia="宋体"/>
          <w:color w:val="auto"/>
          <w:highlight w:val="none"/>
          <w:u w:val="single"/>
          <w:lang w:val="en-US" w:eastAsia="zh-CN"/>
        </w:rPr>
      </w:pPr>
      <w:r>
        <w:rPr>
          <w:color w:val="auto"/>
          <w:highlight w:val="none"/>
        </w:rPr>
        <w:t>邮政编码：</w:t>
      </w:r>
      <w:r>
        <w:rPr>
          <w:color w:val="auto"/>
          <w:highlight w:val="none"/>
          <w:u w:val="single"/>
        </w:rPr>
        <w:tab/>
      </w:r>
      <w:r>
        <w:rPr>
          <w:color w:val="auto"/>
          <w:highlight w:val="none"/>
          <w:u w:val="single"/>
        </w:rPr>
        <w:tab/>
      </w:r>
      <w:r>
        <w:rPr>
          <w:rFonts w:ascii="Times New Roman" w:eastAsia="Times New Roman"/>
          <w:color w:val="auto"/>
          <w:highlight w:val="none"/>
          <w:u w:val="single"/>
        </w:rPr>
        <w:t>230601</w:t>
      </w:r>
      <w:r>
        <w:rPr>
          <w:rFonts w:hint="eastAsia" w:ascii="Times New Roman"/>
          <w:color w:val="auto"/>
          <w:highlight w:val="none"/>
          <w:u w:val="single"/>
          <w:lang w:val="en-US" w:eastAsia="zh-CN"/>
        </w:rPr>
        <w:t xml:space="preserve">                               </w:t>
      </w:r>
    </w:p>
    <w:p>
      <w:pPr>
        <w:pStyle w:val="10"/>
        <w:tabs>
          <w:tab w:val="left" w:pos="2859"/>
          <w:tab w:val="left" w:pos="3219"/>
          <w:tab w:val="left" w:pos="5619"/>
        </w:tabs>
        <w:spacing w:line="364" w:lineRule="auto"/>
        <w:ind w:left="700" w:right="4585"/>
        <w:jc w:val="both"/>
        <w:rPr>
          <w:rFonts w:hint="default" w:eastAsia="宋体"/>
          <w:color w:val="auto"/>
          <w:highlight w:val="none"/>
          <w:u w:val="single"/>
          <w:lang w:val="en-US" w:eastAsia="zh-CN"/>
        </w:rPr>
      </w:pPr>
      <w:r>
        <w:rPr>
          <w:color w:val="auto"/>
          <w:highlight w:val="none"/>
        </w:rPr>
        <w:t>联系人：</w:t>
      </w:r>
      <w:r>
        <w:rPr>
          <w:rFonts w:hint="eastAsia"/>
          <w:color w:val="auto"/>
          <w:highlight w:val="none"/>
          <w:u w:val="single"/>
          <w:lang w:val="en-US" w:eastAsia="zh-CN"/>
        </w:rPr>
        <w:t xml:space="preserve">             </w:t>
      </w:r>
      <w:r>
        <w:rPr>
          <w:color w:val="auto"/>
          <w:highlight w:val="none"/>
          <w:u w:val="single"/>
        </w:rPr>
        <w:t>王 工</w:t>
      </w:r>
      <w:r>
        <w:rPr>
          <w:rFonts w:hint="eastAsia"/>
          <w:color w:val="auto"/>
          <w:highlight w:val="none"/>
          <w:u w:val="single"/>
          <w:lang w:val="en-US" w:eastAsia="zh-CN"/>
        </w:rPr>
        <w:t xml:space="preserve">                 </w:t>
      </w:r>
    </w:p>
    <w:p>
      <w:pPr>
        <w:pStyle w:val="10"/>
        <w:tabs>
          <w:tab w:val="left" w:pos="2859"/>
          <w:tab w:val="left" w:pos="3219"/>
          <w:tab w:val="left" w:pos="5619"/>
        </w:tabs>
        <w:spacing w:line="364" w:lineRule="auto"/>
        <w:ind w:left="700" w:right="4585"/>
        <w:jc w:val="both"/>
        <w:rPr>
          <w:rFonts w:ascii="Times New Roman" w:eastAsia="Times New Roman"/>
          <w:color w:val="auto"/>
          <w:highlight w:val="none"/>
        </w:rPr>
      </w:pPr>
      <w:r>
        <w:rPr>
          <w:color w:val="auto"/>
          <w:highlight w:val="none"/>
        </w:rPr>
        <w:t>电    话：</w:t>
      </w:r>
      <w:r>
        <w:rPr>
          <w:color w:val="auto"/>
          <w:highlight w:val="none"/>
          <w:u w:val="single"/>
        </w:rPr>
        <w:tab/>
      </w:r>
      <w:r>
        <w:rPr>
          <w:rFonts w:ascii="Times New Roman" w:eastAsia="Times New Roman"/>
          <w:color w:val="auto"/>
          <w:highlight w:val="none"/>
          <w:u w:val="single"/>
        </w:rPr>
        <w:t>18355107101</w:t>
      </w:r>
      <w:r>
        <w:rPr>
          <w:rFonts w:ascii="Times New Roman" w:eastAsia="Times New Roman"/>
          <w:color w:val="auto"/>
          <w:highlight w:val="none"/>
          <w:u w:val="single"/>
        </w:rPr>
        <w:tab/>
      </w:r>
    </w:p>
    <w:p>
      <w:pPr>
        <w:pStyle w:val="10"/>
        <w:tabs>
          <w:tab w:val="left" w:pos="2859"/>
          <w:tab w:val="left" w:pos="3219"/>
          <w:tab w:val="left" w:pos="5619"/>
        </w:tabs>
        <w:spacing w:line="364" w:lineRule="auto"/>
        <w:ind w:left="700" w:right="4585"/>
        <w:jc w:val="both"/>
        <w:rPr>
          <w:color w:val="auto"/>
          <w:highlight w:val="none"/>
          <w:u w:val="single"/>
        </w:rPr>
      </w:pPr>
      <w:r>
        <w:rPr>
          <w:color w:val="auto"/>
          <w:highlight w:val="none"/>
        </w:rPr>
        <w:t>电子邮箱：</w:t>
      </w:r>
      <w:r>
        <w:rPr>
          <w:color w:val="auto"/>
          <w:highlight w:val="none"/>
          <w:u w:val="single"/>
        </w:rPr>
        <w:tab/>
      </w:r>
      <w:r>
        <w:rPr>
          <w:color w:val="auto"/>
          <w:highlight w:val="none"/>
        </w:rPr>
        <w:fldChar w:fldCharType="begin"/>
      </w:r>
      <w:r>
        <w:rPr>
          <w:color w:val="auto"/>
          <w:highlight w:val="none"/>
        </w:rPr>
        <w:instrText xml:space="preserve"> HYPERLINK "mailto:1404145948@qq.com" \h </w:instrText>
      </w:r>
      <w:r>
        <w:rPr>
          <w:color w:val="auto"/>
          <w:highlight w:val="none"/>
        </w:rPr>
        <w:fldChar w:fldCharType="separate"/>
      </w:r>
      <w:r>
        <w:rPr>
          <w:color w:val="auto"/>
          <w:highlight w:val="none"/>
          <w:u w:val="single"/>
        </w:rPr>
        <w:t>1404145948@qq.com</w:t>
      </w:r>
      <w:r>
        <w:rPr>
          <w:color w:val="auto"/>
          <w:highlight w:val="none"/>
          <w:u w:val="single"/>
        </w:rPr>
        <w:tab/>
      </w:r>
      <w:r>
        <w:rPr>
          <w:color w:val="auto"/>
          <w:highlight w:val="none"/>
          <w:u w:val="single"/>
        </w:rPr>
        <w:fldChar w:fldCharType="end"/>
      </w:r>
    </w:p>
    <w:p>
      <w:pPr>
        <w:pStyle w:val="10"/>
        <w:tabs>
          <w:tab w:val="left" w:pos="2859"/>
          <w:tab w:val="left" w:pos="3219"/>
          <w:tab w:val="left" w:pos="5619"/>
        </w:tabs>
        <w:spacing w:line="364" w:lineRule="auto"/>
        <w:ind w:left="700" w:right="4585"/>
        <w:jc w:val="both"/>
        <w:rPr>
          <w:color w:val="auto"/>
          <w:highlight w:val="none"/>
          <w:u w:val="single"/>
        </w:rPr>
      </w:pPr>
    </w:p>
    <w:p>
      <w:pPr>
        <w:pStyle w:val="2"/>
        <w:rPr>
          <w:rFonts w:ascii="Times New Roman"/>
          <w:color w:val="auto"/>
          <w:sz w:val="20"/>
          <w:highlight w:val="none"/>
        </w:rPr>
      </w:pPr>
    </w:p>
    <w:p>
      <w:pPr>
        <w:pStyle w:val="2"/>
        <w:rPr>
          <w:rFonts w:ascii="Times New Roman"/>
          <w:color w:val="auto"/>
          <w:sz w:val="20"/>
          <w:highlight w:val="none"/>
        </w:rPr>
      </w:pPr>
    </w:p>
    <w:p>
      <w:pPr>
        <w:pStyle w:val="2"/>
        <w:rPr>
          <w:rFonts w:ascii="Times New Roman"/>
          <w:color w:val="auto"/>
          <w:sz w:val="20"/>
          <w:highlight w:val="none"/>
        </w:rPr>
      </w:pPr>
    </w:p>
    <w:p>
      <w:pPr>
        <w:pStyle w:val="2"/>
        <w:rPr>
          <w:rFonts w:ascii="Times New Roman"/>
          <w:color w:val="auto"/>
          <w:sz w:val="20"/>
          <w:highlight w:val="none"/>
        </w:rPr>
      </w:pPr>
    </w:p>
    <w:p>
      <w:pPr>
        <w:pStyle w:val="2"/>
        <w:rPr>
          <w:rFonts w:ascii="Times New Roman"/>
          <w:color w:val="auto"/>
          <w:sz w:val="20"/>
          <w:highlight w:val="none"/>
        </w:rPr>
      </w:pPr>
    </w:p>
    <w:p>
      <w:pPr>
        <w:pStyle w:val="2"/>
        <w:rPr>
          <w:rFonts w:ascii="Times New Roman"/>
          <w:color w:val="auto"/>
          <w:sz w:val="20"/>
          <w:highlight w:val="none"/>
        </w:rPr>
      </w:pPr>
    </w:p>
    <w:p>
      <w:pPr>
        <w:pStyle w:val="2"/>
        <w:rPr>
          <w:rFonts w:ascii="Times New Roman"/>
          <w:color w:val="auto"/>
          <w:sz w:val="20"/>
          <w:highlight w:val="none"/>
        </w:rPr>
      </w:pPr>
    </w:p>
    <w:p>
      <w:pPr>
        <w:pStyle w:val="2"/>
        <w:spacing w:before="10"/>
        <w:rPr>
          <w:rFonts w:ascii="Times New Roman"/>
          <w:color w:val="auto"/>
          <w:sz w:val="28"/>
          <w:highlight w:val="none"/>
        </w:rPr>
      </w:pPr>
    </w:p>
    <w:p>
      <w:pPr>
        <w:pStyle w:val="10"/>
        <w:spacing w:before="37"/>
        <w:ind w:left="0" w:right="237"/>
        <w:jc w:val="right"/>
        <w:rPr>
          <w:rFonts w:ascii="微软雅黑" w:eastAsia="微软雅黑"/>
          <w:color w:val="auto"/>
          <w:highlight w:val="none"/>
        </w:rPr>
      </w:pPr>
      <w:r>
        <w:rPr>
          <w:rFonts w:ascii="Times New Roman" w:eastAsia="Times New Roman"/>
          <w:color w:val="auto"/>
          <w:highlight w:val="none"/>
        </w:rPr>
        <w:t>202</w:t>
      </w:r>
      <w:r>
        <w:rPr>
          <w:rFonts w:hint="eastAsia" w:ascii="Times New Roman"/>
          <w:color w:val="auto"/>
          <w:highlight w:val="none"/>
          <w:lang w:val="en-US"/>
        </w:rPr>
        <w:t>3</w:t>
      </w:r>
      <w:r>
        <w:rPr>
          <w:rFonts w:hint="eastAsia" w:ascii="微软雅黑" w:eastAsia="微软雅黑"/>
          <w:color w:val="auto"/>
          <w:highlight w:val="none"/>
        </w:rPr>
        <w:t>年</w:t>
      </w:r>
      <w:r>
        <w:rPr>
          <w:rFonts w:ascii="Times New Roman" w:eastAsia="Times New Roman"/>
          <w:color w:val="auto"/>
          <w:highlight w:val="none"/>
        </w:rPr>
        <w:t>0</w:t>
      </w:r>
      <w:r>
        <w:rPr>
          <w:rFonts w:hint="eastAsia" w:ascii="Times New Roman" w:eastAsia="宋体"/>
          <w:color w:val="auto"/>
          <w:highlight w:val="none"/>
          <w:lang w:val="en-US" w:eastAsia="zh-CN"/>
        </w:rPr>
        <w:t>1</w:t>
      </w:r>
      <w:r>
        <w:rPr>
          <w:rFonts w:hint="eastAsia" w:ascii="微软雅黑" w:eastAsia="微软雅黑"/>
          <w:color w:val="auto"/>
          <w:highlight w:val="none"/>
        </w:rPr>
        <w:t>月</w:t>
      </w:r>
      <w:r>
        <w:rPr>
          <w:rFonts w:hint="eastAsia" w:ascii="Times New Roman" w:eastAsia="微软雅黑"/>
          <w:color w:val="auto"/>
          <w:highlight w:val="none"/>
          <w:lang w:val="en-US" w:eastAsia="zh-CN"/>
        </w:rPr>
        <w:t>28</w:t>
      </w:r>
      <w:r>
        <w:rPr>
          <w:rFonts w:hint="eastAsia" w:ascii="微软雅黑" w:eastAsia="微软雅黑"/>
          <w:color w:val="auto"/>
          <w:highlight w:val="none"/>
        </w:rPr>
        <w:t>日</w:t>
      </w:r>
    </w:p>
    <w:p>
      <w:pPr>
        <w:jc w:val="right"/>
        <w:rPr>
          <w:rFonts w:ascii="微软雅黑" w:eastAsia="微软雅黑"/>
          <w:color w:val="auto"/>
          <w:highlight w:val="none"/>
        </w:rPr>
        <w:sectPr>
          <w:pgSz w:w="11910" w:h="16840"/>
          <w:pgMar w:top="1400" w:right="841" w:bottom="1040" w:left="860" w:header="0" w:footer="856" w:gutter="0"/>
          <w:cols w:space="720" w:num="1"/>
        </w:sectPr>
      </w:pPr>
    </w:p>
    <w:p>
      <w:pPr>
        <w:pStyle w:val="2"/>
        <w:rPr>
          <w:rFonts w:ascii="微软雅黑"/>
          <w:color w:val="auto"/>
          <w:sz w:val="20"/>
          <w:highlight w:val="none"/>
        </w:rPr>
      </w:pPr>
    </w:p>
    <w:p>
      <w:pPr>
        <w:pStyle w:val="2"/>
        <w:rPr>
          <w:rFonts w:ascii="微软雅黑"/>
          <w:color w:val="auto"/>
          <w:sz w:val="20"/>
          <w:highlight w:val="none"/>
        </w:rPr>
      </w:pPr>
    </w:p>
    <w:p>
      <w:pPr>
        <w:pStyle w:val="2"/>
        <w:rPr>
          <w:rFonts w:ascii="微软雅黑"/>
          <w:color w:val="auto"/>
          <w:sz w:val="20"/>
          <w:highlight w:val="none"/>
        </w:rPr>
      </w:pPr>
    </w:p>
    <w:p>
      <w:pPr>
        <w:pStyle w:val="2"/>
        <w:rPr>
          <w:rFonts w:ascii="微软雅黑"/>
          <w:color w:val="auto"/>
          <w:sz w:val="20"/>
          <w:highlight w:val="none"/>
        </w:rPr>
      </w:pPr>
    </w:p>
    <w:p>
      <w:pPr>
        <w:pStyle w:val="2"/>
        <w:rPr>
          <w:rFonts w:ascii="微软雅黑"/>
          <w:color w:val="auto"/>
          <w:sz w:val="20"/>
          <w:highlight w:val="none"/>
        </w:rPr>
      </w:pPr>
    </w:p>
    <w:p>
      <w:pPr>
        <w:pStyle w:val="2"/>
        <w:rPr>
          <w:rFonts w:ascii="微软雅黑"/>
          <w:color w:val="auto"/>
          <w:sz w:val="20"/>
          <w:highlight w:val="none"/>
        </w:rPr>
      </w:pPr>
    </w:p>
    <w:p>
      <w:pPr>
        <w:pStyle w:val="2"/>
        <w:rPr>
          <w:rFonts w:ascii="微软雅黑"/>
          <w:color w:val="auto"/>
          <w:sz w:val="20"/>
          <w:highlight w:val="none"/>
        </w:rPr>
      </w:pPr>
    </w:p>
    <w:p>
      <w:pPr>
        <w:pStyle w:val="2"/>
        <w:rPr>
          <w:rFonts w:ascii="微软雅黑"/>
          <w:color w:val="auto"/>
          <w:sz w:val="20"/>
          <w:highlight w:val="none"/>
        </w:rPr>
      </w:pPr>
    </w:p>
    <w:p>
      <w:pPr>
        <w:pStyle w:val="2"/>
        <w:rPr>
          <w:rFonts w:ascii="微软雅黑"/>
          <w:color w:val="auto"/>
          <w:sz w:val="20"/>
          <w:highlight w:val="none"/>
        </w:rPr>
      </w:pPr>
    </w:p>
    <w:p>
      <w:pPr>
        <w:pStyle w:val="2"/>
        <w:rPr>
          <w:rFonts w:ascii="微软雅黑"/>
          <w:color w:val="auto"/>
          <w:sz w:val="20"/>
          <w:highlight w:val="none"/>
        </w:rPr>
      </w:pPr>
    </w:p>
    <w:p>
      <w:pPr>
        <w:pStyle w:val="2"/>
        <w:rPr>
          <w:rFonts w:ascii="微软雅黑"/>
          <w:color w:val="auto"/>
          <w:sz w:val="20"/>
          <w:highlight w:val="none"/>
        </w:rPr>
      </w:pPr>
    </w:p>
    <w:p>
      <w:pPr>
        <w:pStyle w:val="2"/>
        <w:rPr>
          <w:rFonts w:ascii="微软雅黑"/>
          <w:color w:val="auto"/>
          <w:sz w:val="20"/>
          <w:highlight w:val="none"/>
        </w:rPr>
      </w:pPr>
    </w:p>
    <w:p>
      <w:pPr>
        <w:pStyle w:val="2"/>
        <w:rPr>
          <w:rFonts w:ascii="微软雅黑"/>
          <w:color w:val="auto"/>
          <w:sz w:val="20"/>
          <w:highlight w:val="none"/>
        </w:rPr>
      </w:pPr>
    </w:p>
    <w:p>
      <w:pPr>
        <w:pStyle w:val="2"/>
        <w:spacing w:before="5"/>
        <w:rPr>
          <w:rFonts w:ascii="微软雅黑"/>
          <w:color w:val="auto"/>
          <w:sz w:val="29"/>
          <w:highlight w:val="none"/>
        </w:rPr>
      </w:pPr>
    </w:p>
    <w:p>
      <w:pPr>
        <w:pStyle w:val="4"/>
        <w:ind w:right="775"/>
        <w:rPr>
          <w:color w:val="auto"/>
          <w:highlight w:val="none"/>
        </w:rPr>
      </w:pPr>
      <w:bookmarkStart w:id="1" w:name="_TOC_250004"/>
      <w:bookmarkEnd w:id="1"/>
      <w:r>
        <w:rPr>
          <w:color w:val="auto"/>
          <w:highlight w:val="none"/>
        </w:rPr>
        <w:t>第二章 供应商须知</w:t>
      </w:r>
    </w:p>
    <w:p>
      <w:pPr>
        <w:rPr>
          <w:color w:val="auto"/>
          <w:highlight w:val="none"/>
        </w:rPr>
        <w:sectPr>
          <w:pgSz w:w="11910" w:h="16840"/>
          <w:pgMar w:top="1600" w:right="841" w:bottom="1040" w:left="860" w:header="0" w:footer="856" w:gutter="0"/>
          <w:cols w:space="720" w:num="1"/>
        </w:sectPr>
      </w:pPr>
    </w:p>
    <w:p>
      <w:pPr>
        <w:pStyle w:val="2"/>
        <w:spacing w:before="7"/>
        <w:rPr>
          <w:b/>
          <w:color w:val="auto"/>
          <w:sz w:val="11"/>
          <w:highlight w:val="none"/>
        </w:rPr>
      </w:pPr>
    </w:p>
    <w:p>
      <w:pPr>
        <w:pStyle w:val="8"/>
        <w:numPr>
          <w:ilvl w:val="0"/>
          <w:numId w:val="4"/>
        </w:numPr>
        <w:tabs>
          <w:tab w:val="left" w:pos="571"/>
        </w:tabs>
        <w:spacing w:before="70"/>
        <w:rPr>
          <w:color w:val="auto"/>
          <w:highlight w:val="none"/>
        </w:rPr>
      </w:pPr>
      <w:r>
        <w:rPr>
          <w:color w:val="auto"/>
          <w:highlight w:val="none"/>
        </w:rPr>
        <w:t>总则</w:t>
      </w:r>
    </w:p>
    <w:p>
      <w:pPr>
        <w:spacing w:before="12"/>
        <w:rPr>
          <w:color w:val="auto"/>
          <w:sz w:val="23"/>
          <w:highlight w:val="none"/>
        </w:rPr>
      </w:pPr>
    </w:p>
    <w:p>
      <w:pPr>
        <w:pStyle w:val="8"/>
        <w:numPr>
          <w:ilvl w:val="1"/>
          <w:numId w:val="4"/>
        </w:numPr>
        <w:tabs>
          <w:tab w:val="left" w:pos="710"/>
        </w:tabs>
        <w:rPr>
          <w:color w:val="auto"/>
          <w:highlight w:val="none"/>
        </w:rPr>
      </w:pPr>
      <w:r>
        <w:rPr>
          <w:color w:val="auto"/>
          <w:spacing w:val="-3"/>
          <w:highlight w:val="none"/>
        </w:rPr>
        <w:t>质量要求和安全目标</w:t>
      </w:r>
    </w:p>
    <w:p>
      <w:pPr>
        <w:pStyle w:val="12"/>
        <w:numPr>
          <w:ilvl w:val="2"/>
          <w:numId w:val="4"/>
        </w:numPr>
        <w:tabs>
          <w:tab w:val="left" w:pos="1190"/>
        </w:tabs>
        <w:spacing w:before="255" w:line="374" w:lineRule="auto"/>
        <w:ind w:right="235" w:firstLine="420"/>
        <w:rPr>
          <w:color w:val="auto"/>
          <w:highlight w:val="none"/>
        </w:rPr>
      </w:pPr>
      <w:r>
        <w:rPr>
          <w:color w:val="auto"/>
          <w:spacing w:val="-4"/>
          <w:highlight w:val="none"/>
        </w:rPr>
        <w:t>本合同包的质量要求：</w:t>
      </w:r>
      <w:r>
        <w:rPr>
          <w:color w:val="auto"/>
          <w:spacing w:val="-4"/>
          <w:highlight w:val="none"/>
          <w:u w:val="single"/>
        </w:rPr>
        <w:t>应满足国家相关规范的要求及采购清单中设备参数要求，质保期内无</w:t>
      </w:r>
      <w:r>
        <w:rPr>
          <w:color w:val="auto"/>
          <w:spacing w:val="-3"/>
          <w:highlight w:val="none"/>
          <w:u w:val="single"/>
        </w:rPr>
        <w:t>偿提供质保服务。</w:t>
      </w:r>
    </w:p>
    <w:p>
      <w:pPr>
        <w:pStyle w:val="12"/>
        <w:numPr>
          <w:ilvl w:val="2"/>
          <w:numId w:val="4"/>
        </w:numPr>
        <w:tabs>
          <w:tab w:val="left" w:pos="1190"/>
        </w:tabs>
        <w:spacing w:before="0" w:line="281" w:lineRule="exact"/>
        <w:ind w:left="1189"/>
        <w:rPr>
          <w:color w:val="auto"/>
          <w:highlight w:val="none"/>
        </w:rPr>
      </w:pPr>
      <w:r>
        <w:rPr>
          <w:color w:val="auto"/>
          <w:spacing w:val="-3"/>
          <w:highlight w:val="none"/>
        </w:rPr>
        <w:t>本合同包的安全目标：</w:t>
      </w:r>
      <w:r>
        <w:rPr>
          <w:color w:val="auto"/>
          <w:spacing w:val="-3"/>
          <w:highlight w:val="none"/>
          <w:u w:val="single"/>
        </w:rPr>
        <w:t>安全无事故。</w:t>
      </w:r>
    </w:p>
    <w:p>
      <w:pPr>
        <w:pStyle w:val="8"/>
        <w:numPr>
          <w:ilvl w:val="1"/>
          <w:numId w:val="4"/>
        </w:numPr>
        <w:tabs>
          <w:tab w:val="left" w:pos="710"/>
        </w:tabs>
        <w:spacing w:before="148"/>
        <w:rPr>
          <w:color w:val="auto"/>
          <w:highlight w:val="none"/>
        </w:rPr>
      </w:pPr>
      <w:r>
        <w:rPr>
          <w:color w:val="auto"/>
          <w:spacing w:val="-3"/>
          <w:highlight w:val="none"/>
        </w:rPr>
        <w:t>供应商资格要求</w:t>
      </w:r>
    </w:p>
    <w:p>
      <w:pPr>
        <w:pStyle w:val="12"/>
        <w:spacing w:before="256"/>
        <w:ind w:left="640" w:firstLine="0"/>
        <w:rPr>
          <w:color w:val="auto"/>
          <w:highlight w:val="none"/>
        </w:rPr>
      </w:pPr>
      <w:r>
        <w:rPr>
          <w:color w:val="auto"/>
          <w:highlight w:val="none"/>
        </w:rPr>
        <w:t xml:space="preserve">供应商应具备承担本合同包服务的资质条件、能力和信誉：见第一章采购公告第 </w:t>
      </w:r>
      <w:r>
        <w:rPr>
          <w:rFonts w:ascii="Times New Roman" w:eastAsia="Times New Roman"/>
          <w:color w:val="auto"/>
          <w:highlight w:val="none"/>
        </w:rPr>
        <w:t xml:space="preserve">3.1 </w:t>
      </w:r>
      <w:r>
        <w:rPr>
          <w:color w:val="auto"/>
          <w:highlight w:val="none"/>
        </w:rPr>
        <w:t>款要求。</w:t>
      </w:r>
    </w:p>
    <w:p>
      <w:pPr>
        <w:pStyle w:val="8"/>
        <w:numPr>
          <w:ilvl w:val="1"/>
          <w:numId w:val="4"/>
        </w:numPr>
        <w:tabs>
          <w:tab w:val="left" w:pos="710"/>
        </w:tabs>
        <w:spacing w:before="147"/>
        <w:rPr>
          <w:color w:val="auto"/>
          <w:highlight w:val="none"/>
        </w:rPr>
      </w:pPr>
      <w:r>
        <w:rPr>
          <w:color w:val="auto"/>
          <w:spacing w:val="-2"/>
          <w:highlight w:val="none"/>
        </w:rPr>
        <w:t>费用承担</w:t>
      </w:r>
    </w:p>
    <w:p>
      <w:pPr>
        <w:pStyle w:val="12"/>
        <w:spacing w:before="254"/>
        <w:ind w:left="640" w:firstLine="0"/>
        <w:rPr>
          <w:color w:val="auto"/>
          <w:highlight w:val="none"/>
        </w:rPr>
      </w:pPr>
      <w:r>
        <w:rPr>
          <w:color w:val="auto"/>
          <w:highlight w:val="none"/>
        </w:rPr>
        <w:t>供应商准备和参加询比活动发生的费用自理。</w:t>
      </w:r>
    </w:p>
    <w:p>
      <w:pPr>
        <w:pStyle w:val="8"/>
        <w:numPr>
          <w:ilvl w:val="1"/>
          <w:numId w:val="4"/>
        </w:numPr>
        <w:tabs>
          <w:tab w:val="left" w:pos="710"/>
        </w:tabs>
        <w:spacing w:before="150"/>
        <w:rPr>
          <w:color w:val="auto"/>
          <w:highlight w:val="none"/>
        </w:rPr>
      </w:pPr>
      <w:r>
        <w:rPr>
          <w:color w:val="auto"/>
          <w:highlight w:val="none"/>
        </w:rPr>
        <w:t>保密</w:t>
      </w:r>
    </w:p>
    <w:p>
      <w:pPr>
        <w:pStyle w:val="12"/>
        <w:spacing w:before="253" w:line="374" w:lineRule="auto"/>
        <w:ind w:right="235"/>
        <w:rPr>
          <w:color w:val="auto"/>
          <w:highlight w:val="none"/>
        </w:rPr>
      </w:pPr>
      <w:r>
        <w:rPr>
          <w:color w:val="auto"/>
          <w:highlight w:val="none"/>
        </w:rPr>
        <w:t>参与询比活动的各方应对询比文件和响应文件中的商业和技术等秘密保密，否则应承担相应的法律责任。</w:t>
      </w:r>
    </w:p>
    <w:p>
      <w:pPr>
        <w:pStyle w:val="8"/>
        <w:numPr>
          <w:ilvl w:val="1"/>
          <w:numId w:val="4"/>
        </w:numPr>
        <w:tabs>
          <w:tab w:val="left" w:pos="710"/>
        </w:tabs>
        <w:spacing w:line="350" w:lineRule="exact"/>
        <w:rPr>
          <w:color w:val="auto"/>
          <w:highlight w:val="none"/>
        </w:rPr>
      </w:pPr>
      <w:r>
        <w:rPr>
          <w:color w:val="auto"/>
          <w:spacing w:val="-2"/>
          <w:highlight w:val="none"/>
        </w:rPr>
        <w:t>计量单位</w:t>
      </w:r>
    </w:p>
    <w:p>
      <w:pPr>
        <w:pStyle w:val="12"/>
        <w:spacing w:before="253"/>
        <w:ind w:left="640" w:firstLine="0"/>
        <w:rPr>
          <w:color w:val="auto"/>
          <w:highlight w:val="none"/>
        </w:rPr>
      </w:pPr>
      <w:r>
        <w:rPr>
          <w:color w:val="auto"/>
          <w:highlight w:val="none"/>
        </w:rPr>
        <w:t>均采用中华人民共和国法定计量单位。</w:t>
      </w:r>
    </w:p>
    <w:p>
      <w:pPr>
        <w:pStyle w:val="8"/>
        <w:numPr>
          <w:ilvl w:val="1"/>
          <w:numId w:val="4"/>
        </w:numPr>
        <w:tabs>
          <w:tab w:val="left" w:pos="710"/>
        </w:tabs>
        <w:spacing w:before="148"/>
        <w:rPr>
          <w:color w:val="auto"/>
          <w:highlight w:val="none"/>
        </w:rPr>
      </w:pPr>
      <w:r>
        <w:rPr>
          <w:color w:val="auto"/>
          <w:spacing w:val="-2"/>
          <w:highlight w:val="none"/>
        </w:rPr>
        <w:t>踏勘现场</w:t>
      </w:r>
    </w:p>
    <w:p>
      <w:pPr>
        <w:pStyle w:val="12"/>
        <w:spacing w:before="256"/>
        <w:ind w:left="640" w:firstLine="0"/>
        <w:rPr>
          <w:color w:val="auto"/>
          <w:highlight w:val="none"/>
        </w:rPr>
      </w:pPr>
      <w:r>
        <w:rPr>
          <w:color w:val="auto"/>
          <w:highlight w:val="none"/>
        </w:rPr>
        <w:t>供应商自行踏勘现场且费用自理。</w:t>
      </w:r>
    </w:p>
    <w:p>
      <w:pPr>
        <w:pStyle w:val="8"/>
        <w:numPr>
          <w:ilvl w:val="1"/>
          <w:numId w:val="4"/>
        </w:numPr>
        <w:tabs>
          <w:tab w:val="left" w:pos="710"/>
        </w:tabs>
        <w:spacing w:before="147"/>
        <w:rPr>
          <w:color w:val="auto"/>
          <w:highlight w:val="none"/>
        </w:rPr>
      </w:pPr>
      <w:r>
        <w:rPr>
          <w:color w:val="auto"/>
          <w:spacing w:val="-1"/>
          <w:highlight w:val="none"/>
        </w:rPr>
        <w:t>分包</w:t>
      </w:r>
    </w:p>
    <w:p>
      <w:pPr>
        <w:pStyle w:val="12"/>
        <w:spacing w:before="254"/>
        <w:ind w:left="640" w:firstLine="0"/>
        <w:rPr>
          <w:color w:val="auto"/>
          <w:highlight w:val="none"/>
        </w:rPr>
      </w:pPr>
      <w:r>
        <w:rPr>
          <w:color w:val="auto"/>
          <w:spacing w:val="-3"/>
          <w:highlight w:val="none"/>
        </w:rPr>
        <w:t>不允许分包。</w:t>
      </w:r>
    </w:p>
    <w:p>
      <w:pPr>
        <w:pStyle w:val="8"/>
        <w:numPr>
          <w:ilvl w:val="1"/>
          <w:numId w:val="4"/>
        </w:numPr>
        <w:tabs>
          <w:tab w:val="left" w:pos="710"/>
        </w:tabs>
        <w:spacing w:before="147"/>
        <w:rPr>
          <w:color w:val="auto"/>
          <w:highlight w:val="none"/>
        </w:rPr>
      </w:pPr>
      <w:r>
        <w:rPr>
          <w:color w:val="auto"/>
          <w:spacing w:val="-1"/>
          <w:highlight w:val="none"/>
        </w:rPr>
        <w:t>偏差</w:t>
      </w:r>
    </w:p>
    <w:p>
      <w:pPr>
        <w:pStyle w:val="12"/>
        <w:numPr>
          <w:ilvl w:val="2"/>
          <w:numId w:val="4"/>
        </w:numPr>
        <w:tabs>
          <w:tab w:val="left" w:pos="1190"/>
        </w:tabs>
        <w:spacing w:before="256"/>
        <w:ind w:left="1189"/>
        <w:rPr>
          <w:color w:val="auto"/>
          <w:highlight w:val="none"/>
        </w:rPr>
      </w:pPr>
      <w:r>
        <w:rPr>
          <w:color w:val="auto"/>
          <w:spacing w:val="-3"/>
          <w:highlight w:val="none"/>
        </w:rPr>
        <w:t>偏差包括重大偏差和细微偏差。</w:t>
      </w:r>
    </w:p>
    <w:p>
      <w:pPr>
        <w:pStyle w:val="12"/>
        <w:numPr>
          <w:ilvl w:val="2"/>
          <w:numId w:val="4"/>
        </w:numPr>
        <w:tabs>
          <w:tab w:val="left" w:pos="1190"/>
        </w:tabs>
        <w:spacing w:line="376" w:lineRule="auto"/>
        <w:ind w:right="237" w:firstLine="420"/>
        <w:rPr>
          <w:color w:val="auto"/>
          <w:highlight w:val="none"/>
        </w:rPr>
      </w:pPr>
      <w:r>
        <w:rPr>
          <w:color w:val="auto"/>
          <w:spacing w:val="-3"/>
          <w:highlight w:val="none"/>
        </w:rPr>
        <w:t>响应文件存在第三章</w:t>
      </w:r>
      <w:r>
        <w:rPr>
          <w:rFonts w:ascii="Times New Roman" w:hAnsi="Times New Roman" w:eastAsia="Times New Roman"/>
          <w:color w:val="auto"/>
          <w:highlight w:val="none"/>
        </w:rPr>
        <w:t>“</w:t>
      </w:r>
      <w:r>
        <w:rPr>
          <w:color w:val="auto"/>
          <w:spacing w:val="-2"/>
          <w:highlight w:val="none"/>
        </w:rPr>
        <w:t>评审办法</w:t>
      </w:r>
      <w:r>
        <w:rPr>
          <w:rFonts w:ascii="Times New Roman" w:hAnsi="Times New Roman" w:eastAsia="Times New Roman"/>
          <w:color w:val="auto"/>
          <w:spacing w:val="-3"/>
          <w:highlight w:val="none"/>
        </w:rPr>
        <w:t>”</w:t>
      </w:r>
      <w:r>
        <w:rPr>
          <w:color w:val="auto"/>
          <w:spacing w:val="-3"/>
          <w:highlight w:val="none"/>
        </w:rPr>
        <w:t>中所列任一否决响应文件情形的，均属于存在重大偏差，响应文件将被否决。</w:t>
      </w:r>
    </w:p>
    <w:p>
      <w:pPr>
        <w:pStyle w:val="8"/>
        <w:numPr>
          <w:ilvl w:val="0"/>
          <w:numId w:val="4"/>
        </w:numPr>
        <w:tabs>
          <w:tab w:val="left" w:pos="571"/>
        </w:tabs>
        <w:spacing w:line="345" w:lineRule="exact"/>
        <w:rPr>
          <w:color w:val="auto"/>
          <w:highlight w:val="none"/>
        </w:rPr>
      </w:pPr>
      <w:r>
        <w:rPr>
          <w:color w:val="auto"/>
          <w:spacing w:val="-2"/>
          <w:highlight w:val="none"/>
        </w:rPr>
        <w:t>询比文件</w:t>
      </w:r>
    </w:p>
    <w:p>
      <w:pPr>
        <w:pStyle w:val="8"/>
        <w:numPr>
          <w:ilvl w:val="1"/>
          <w:numId w:val="4"/>
        </w:numPr>
        <w:tabs>
          <w:tab w:val="left" w:pos="710"/>
        </w:tabs>
        <w:spacing w:before="124"/>
        <w:rPr>
          <w:color w:val="auto"/>
          <w:highlight w:val="none"/>
        </w:rPr>
      </w:pPr>
      <w:r>
        <w:rPr>
          <w:color w:val="auto"/>
          <w:spacing w:val="-3"/>
          <w:highlight w:val="none"/>
        </w:rPr>
        <w:t>询比文件的组成</w:t>
      </w:r>
    </w:p>
    <w:p>
      <w:pPr>
        <w:pStyle w:val="12"/>
        <w:spacing w:before="256"/>
        <w:ind w:left="640" w:firstLine="0"/>
        <w:rPr>
          <w:color w:val="auto"/>
          <w:highlight w:val="none"/>
        </w:rPr>
      </w:pPr>
      <w:r>
        <w:rPr>
          <w:color w:val="auto"/>
          <w:highlight w:val="none"/>
        </w:rPr>
        <w:t>本询比文件包括：</w:t>
      </w:r>
    </w:p>
    <w:p>
      <w:pPr>
        <w:pStyle w:val="12"/>
        <w:numPr>
          <w:ilvl w:val="0"/>
          <w:numId w:val="5"/>
        </w:numPr>
        <w:tabs>
          <w:tab w:val="left" w:pos="1191"/>
        </w:tabs>
        <w:rPr>
          <w:color w:val="auto"/>
          <w:highlight w:val="none"/>
        </w:rPr>
      </w:pPr>
      <w:r>
        <w:rPr>
          <w:color w:val="auto"/>
          <w:spacing w:val="-3"/>
          <w:highlight w:val="none"/>
        </w:rPr>
        <w:t>采购公告；</w:t>
      </w:r>
    </w:p>
    <w:p>
      <w:pPr>
        <w:pStyle w:val="12"/>
        <w:numPr>
          <w:ilvl w:val="0"/>
          <w:numId w:val="5"/>
        </w:numPr>
        <w:tabs>
          <w:tab w:val="left" w:pos="1191"/>
        </w:tabs>
        <w:rPr>
          <w:color w:val="auto"/>
          <w:highlight w:val="none"/>
        </w:rPr>
      </w:pPr>
      <w:r>
        <w:rPr>
          <w:color w:val="auto"/>
          <w:spacing w:val="-3"/>
          <w:highlight w:val="none"/>
        </w:rPr>
        <w:t>供应商须知；</w:t>
      </w:r>
    </w:p>
    <w:p>
      <w:pPr>
        <w:rPr>
          <w:color w:val="auto"/>
          <w:highlight w:val="none"/>
        </w:rPr>
        <w:sectPr>
          <w:pgSz w:w="11910" w:h="16840"/>
          <w:pgMar w:top="1600" w:right="841" w:bottom="1040" w:left="860" w:header="0" w:footer="856" w:gutter="0"/>
          <w:cols w:space="720" w:num="1"/>
        </w:sectPr>
      </w:pPr>
    </w:p>
    <w:p>
      <w:pPr>
        <w:pStyle w:val="12"/>
        <w:numPr>
          <w:ilvl w:val="0"/>
          <w:numId w:val="5"/>
        </w:numPr>
        <w:tabs>
          <w:tab w:val="left" w:pos="1191"/>
        </w:tabs>
        <w:spacing w:before="54"/>
        <w:rPr>
          <w:color w:val="auto"/>
          <w:highlight w:val="none"/>
        </w:rPr>
      </w:pPr>
      <w:r>
        <w:rPr>
          <w:color w:val="auto"/>
          <w:spacing w:val="-3"/>
          <w:highlight w:val="none"/>
        </w:rPr>
        <w:t>评审办法；</w:t>
      </w:r>
    </w:p>
    <w:p>
      <w:pPr>
        <w:pStyle w:val="12"/>
        <w:numPr>
          <w:ilvl w:val="0"/>
          <w:numId w:val="5"/>
        </w:numPr>
        <w:tabs>
          <w:tab w:val="left" w:pos="1191"/>
        </w:tabs>
        <w:rPr>
          <w:color w:val="auto"/>
          <w:highlight w:val="none"/>
        </w:rPr>
      </w:pPr>
      <w:r>
        <w:rPr>
          <w:color w:val="auto"/>
          <w:spacing w:val="-3"/>
          <w:highlight w:val="none"/>
        </w:rPr>
        <w:t>合同条款及格式；</w:t>
      </w:r>
    </w:p>
    <w:p>
      <w:pPr>
        <w:pStyle w:val="12"/>
        <w:numPr>
          <w:ilvl w:val="0"/>
          <w:numId w:val="5"/>
        </w:numPr>
        <w:tabs>
          <w:tab w:val="left" w:pos="1191"/>
        </w:tabs>
        <w:rPr>
          <w:color w:val="auto"/>
          <w:highlight w:val="none"/>
        </w:rPr>
      </w:pPr>
      <w:r>
        <w:rPr>
          <w:color w:val="auto"/>
          <w:spacing w:val="-3"/>
          <w:highlight w:val="none"/>
        </w:rPr>
        <w:t>采购需求及清单；</w:t>
      </w:r>
    </w:p>
    <w:p>
      <w:pPr>
        <w:pStyle w:val="12"/>
        <w:numPr>
          <w:ilvl w:val="0"/>
          <w:numId w:val="5"/>
        </w:numPr>
        <w:tabs>
          <w:tab w:val="left" w:pos="1191"/>
        </w:tabs>
        <w:spacing w:before="160"/>
        <w:rPr>
          <w:color w:val="auto"/>
          <w:highlight w:val="none"/>
        </w:rPr>
      </w:pPr>
      <w:r>
        <w:rPr>
          <w:color w:val="auto"/>
          <w:spacing w:val="-3"/>
          <w:highlight w:val="none"/>
        </w:rPr>
        <w:t>响应文件格式。</w:t>
      </w:r>
    </w:p>
    <w:p>
      <w:pPr>
        <w:pStyle w:val="12"/>
        <w:ind w:left="640" w:firstLine="0"/>
        <w:rPr>
          <w:color w:val="auto"/>
          <w:highlight w:val="none"/>
        </w:rPr>
      </w:pPr>
      <w:r>
        <w:rPr>
          <w:color w:val="auto"/>
          <w:highlight w:val="none"/>
        </w:rPr>
        <w:t xml:space="preserve">根据本章第 </w:t>
      </w:r>
      <w:r>
        <w:rPr>
          <w:rFonts w:ascii="Times New Roman" w:eastAsia="Times New Roman"/>
          <w:color w:val="auto"/>
          <w:highlight w:val="none"/>
        </w:rPr>
        <w:t xml:space="preserve">2.2 </w:t>
      </w:r>
      <w:r>
        <w:rPr>
          <w:color w:val="auto"/>
          <w:highlight w:val="none"/>
        </w:rPr>
        <w:t>款对询比文件所作的澄清、修改，构成询比文件的组成部分。</w:t>
      </w:r>
    </w:p>
    <w:p>
      <w:pPr>
        <w:pStyle w:val="12"/>
        <w:spacing w:before="158" w:line="376" w:lineRule="auto"/>
        <w:ind w:right="235"/>
        <w:rPr>
          <w:color w:val="auto"/>
          <w:highlight w:val="none"/>
        </w:rPr>
      </w:pPr>
      <w:r>
        <w:rPr>
          <w:color w:val="auto"/>
          <w:highlight w:val="none"/>
        </w:rPr>
        <w:t>当询比文件、询比文件的澄清或修改等在同一内容的表述上不一致时，以最后发出的书面文件为准。</w:t>
      </w:r>
    </w:p>
    <w:p>
      <w:pPr>
        <w:pStyle w:val="8"/>
        <w:numPr>
          <w:ilvl w:val="1"/>
          <w:numId w:val="4"/>
        </w:numPr>
        <w:tabs>
          <w:tab w:val="left" w:pos="710"/>
        </w:tabs>
        <w:spacing w:line="345" w:lineRule="exact"/>
        <w:rPr>
          <w:color w:val="auto"/>
          <w:highlight w:val="none"/>
        </w:rPr>
      </w:pPr>
      <w:r>
        <w:rPr>
          <w:color w:val="auto"/>
          <w:spacing w:val="-3"/>
          <w:highlight w:val="none"/>
        </w:rPr>
        <w:t>询比文件的澄清与修改</w:t>
      </w:r>
    </w:p>
    <w:p>
      <w:pPr>
        <w:pStyle w:val="12"/>
        <w:numPr>
          <w:ilvl w:val="2"/>
          <w:numId w:val="4"/>
        </w:numPr>
        <w:tabs>
          <w:tab w:val="left" w:pos="1135"/>
        </w:tabs>
        <w:spacing w:before="253" w:line="376" w:lineRule="auto"/>
        <w:ind w:right="237" w:firstLine="420"/>
        <w:rPr>
          <w:color w:val="auto"/>
          <w:highlight w:val="none"/>
        </w:rPr>
      </w:pPr>
      <w:r>
        <w:rPr>
          <w:color w:val="auto"/>
          <w:spacing w:val="-3"/>
          <w:highlight w:val="none"/>
        </w:rPr>
        <w:t xml:space="preserve">供应商如有疑问，应在递交响应文件的截止时间前 </w:t>
      </w:r>
      <w:r>
        <w:rPr>
          <w:rFonts w:ascii="Times New Roman" w:eastAsia="Times New Roman"/>
          <w:color w:val="auto"/>
          <w:highlight w:val="none"/>
        </w:rPr>
        <w:t>3</w:t>
      </w:r>
      <w:r>
        <w:rPr>
          <w:color w:val="auto"/>
          <w:highlight w:val="none"/>
        </w:rPr>
        <w:t>日前通过书面形式要求采购人对询比文</w:t>
      </w:r>
      <w:r>
        <w:rPr>
          <w:color w:val="auto"/>
          <w:spacing w:val="-3"/>
          <w:highlight w:val="none"/>
        </w:rPr>
        <w:t>件予以澄清或修改。</w:t>
      </w:r>
    </w:p>
    <w:p>
      <w:pPr>
        <w:pStyle w:val="12"/>
        <w:numPr>
          <w:ilvl w:val="2"/>
          <w:numId w:val="4"/>
        </w:numPr>
        <w:tabs>
          <w:tab w:val="left" w:pos="1192"/>
        </w:tabs>
        <w:spacing w:before="0" w:line="374" w:lineRule="auto"/>
        <w:ind w:right="235" w:firstLine="420"/>
        <w:rPr>
          <w:color w:val="auto"/>
          <w:highlight w:val="none"/>
        </w:rPr>
      </w:pPr>
      <w:r>
        <w:rPr>
          <w:color w:val="auto"/>
          <w:spacing w:val="-1"/>
          <w:highlight w:val="none"/>
        </w:rPr>
        <w:t xml:space="preserve">除非采购人认为确有必要答复，否则，采购人有权拒绝回复供应商在本章第 </w:t>
      </w:r>
      <w:r>
        <w:rPr>
          <w:rFonts w:ascii="Times New Roman" w:eastAsia="Times New Roman"/>
          <w:color w:val="auto"/>
          <w:highlight w:val="none"/>
        </w:rPr>
        <w:t>2.2.1</w:t>
      </w:r>
      <w:r>
        <w:rPr>
          <w:color w:val="auto"/>
          <w:highlight w:val="none"/>
        </w:rPr>
        <w:t>项规定的</w:t>
      </w:r>
      <w:r>
        <w:rPr>
          <w:color w:val="auto"/>
          <w:spacing w:val="-3"/>
          <w:highlight w:val="none"/>
        </w:rPr>
        <w:t>时间后提出的任何澄清或修改要求。</w:t>
      </w:r>
    </w:p>
    <w:p>
      <w:pPr>
        <w:pStyle w:val="8"/>
        <w:numPr>
          <w:ilvl w:val="0"/>
          <w:numId w:val="4"/>
        </w:numPr>
        <w:tabs>
          <w:tab w:val="left" w:pos="571"/>
        </w:tabs>
        <w:spacing w:line="348" w:lineRule="exact"/>
        <w:rPr>
          <w:color w:val="auto"/>
          <w:highlight w:val="none"/>
        </w:rPr>
      </w:pPr>
      <w:r>
        <w:rPr>
          <w:color w:val="auto"/>
          <w:spacing w:val="-2"/>
          <w:highlight w:val="none"/>
        </w:rPr>
        <w:t>响应文件</w:t>
      </w:r>
    </w:p>
    <w:p>
      <w:pPr>
        <w:pStyle w:val="8"/>
        <w:numPr>
          <w:ilvl w:val="1"/>
          <w:numId w:val="4"/>
        </w:numPr>
        <w:tabs>
          <w:tab w:val="left" w:pos="640"/>
        </w:tabs>
        <w:spacing w:before="121"/>
        <w:ind w:left="640" w:hanging="420"/>
        <w:rPr>
          <w:color w:val="auto"/>
          <w:highlight w:val="none"/>
        </w:rPr>
      </w:pPr>
      <w:r>
        <w:rPr>
          <w:color w:val="auto"/>
          <w:spacing w:val="-3"/>
          <w:highlight w:val="none"/>
        </w:rPr>
        <w:t>响应文件的组成</w:t>
      </w:r>
    </w:p>
    <w:p>
      <w:pPr>
        <w:pStyle w:val="12"/>
        <w:spacing w:before="254"/>
        <w:ind w:left="640" w:firstLine="0"/>
        <w:rPr>
          <w:color w:val="auto"/>
          <w:highlight w:val="none"/>
        </w:rPr>
      </w:pPr>
      <w:r>
        <w:rPr>
          <w:color w:val="auto"/>
          <w:spacing w:val="-3"/>
          <w:highlight w:val="none"/>
        </w:rPr>
        <w:t>响应文件应包括下列内容：</w:t>
      </w:r>
    </w:p>
    <w:p>
      <w:pPr>
        <w:pStyle w:val="12"/>
        <w:numPr>
          <w:ilvl w:val="0"/>
          <w:numId w:val="6"/>
        </w:numPr>
        <w:tabs>
          <w:tab w:val="left" w:pos="1191"/>
        </w:tabs>
        <w:rPr>
          <w:color w:val="auto"/>
          <w:highlight w:val="none"/>
        </w:rPr>
      </w:pPr>
      <w:r>
        <w:rPr>
          <w:color w:val="auto"/>
          <w:spacing w:val="-2"/>
          <w:highlight w:val="none"/>
        </w:rPr>
        <w:t>报价函；</w:t>
      </w:r>
    </w:p>
    <w:p>
      <w:pPr>
        <w:pStyle w:val="12"/>
        <w:numPr>
          <w:ilvl w:val="0"/>
          <w:numId w:val="6"/>
        </w:numPr>
        <w:tabs>
          <w:tab w:val="left" w:pos="1191"/>
        </w:tabs>
        <w:spacing w:before="160"/>
        <w:rPr>
          <w:color w:val="auto"/>
          <w:highlight w:val="none"/>
        </w:rPr>
      </w:pPr>
      <w:r>
        <w:rPr>
          <w:color w:val="auto"/>
          <w:spacing w:val="-3"/>
          <w:highlight w:val="none"/>
        </w:rPr>
        <w:t>法定代表人身份证明及授权委托书；</w:t>
      </w:r>
    </w:p>
    <w:p>
      <w:pPr>
        <w:pStyle w:val="12"/>
        <w:numPr>
          <w:ilvl w:val="0"/>
          <w:numId w:val="6"/>
        </w:numPr>
        <w:tabs>
          <w:tab w:val="left" w:pos="1191"/>
        </w:tabs>
        <w:rPr>
          <w:color w:val="auto"/>
          <w:highlight w:val="none"/>
        </w:rPr>
      </w:pPr>
      <w:r>
        <w:rPr>
          <w:color w:val="auto"/>
          <w:spacing w:val="-3"/>
          <w:highlight w:val="none"/>
        </w:rPr>
        <w:t>已标价的报价清单；</w:t>
      </w:r>
    </w:p>
    <w:p>
      <w:pPr>
        <w:pStyle w:val="12"/>
        <w:numPr>
          <w:ilvl w:val="0"/>
          <w:numId w:val="6"/>
        </w:numPr>
        <w:tabs>
          <w:tab w:val="left" w:pos="1191"/>
        </w:tabs>
        <w:rPr>
          <w:color w:val="auto"/>
          <w:highlight w:val="none"/>
        </w:rPr>
      </w:pPr>
      <w:r>
        <w:rPr>
          <w:color w:val="auto"/>
          <w:spacing w:val="-3"/>
          <w:highlight w:val="none"/>
        </w:rPr>
        <w:t>供应商基本情况；</w:t>
      </w:r>
    </w:p>
    <w:p>
      <w:pPr>
        <w:pStyle w:val="12"/>
        <w:numPr>
          <w:ilvl w:val="0"/>
          <w:numId w:val="6"/>
        </w:numPr>
        <w:tabs>
          <w:tab w:val="left" w:pos="1191"/>
        </w:tabs>
        <w:spacing w:before="160"/>
        <w:rPr>
          <w:color w:val="auto"/>
          <w:highlight w:val="none"/>
        </w:rPr>
      </w:pPr>
      <w:r>
        <w:rPr>
          <w:color w:val="auto"/>
          <w:spacing w:val="-3"/>
          <w:highlight w:val="none"/>
        </w:rPr>
        <w:t>近年类似业绩情况；</w:t>
      </w:r>
    </w:p>
    <w:p>
      <w:pPr>
        <w:pStyle w:val="12"/>
        <w:numPr>
          <w:ilvl w:val="0"/>
          <w:numId w:val="6"/>
        </w:numPr>
        <w:tabs>
          <w:tab w:val="left" w:pos="1191"/>
        </w:tabs>
        <w:rPr>
          <w:color w:val="auto"/>
          <w:highlight w:val="none"/>
        </w:rPr>
      </w:pPr>
      <w:r>
        <w:rPr>
          <w:color w:val="auto"/>
          <w:spacing w:val="-3"/>
          <w:highlight w:val="none"/>
        </w:rPr>
        <w:t>信誉情况；</w:t>
      </w:r>
    </w:p>
    <w:p>
      <w:pPr>
        <w:pStyle w:val="12"/>
        <w:numPr>
          <w:ilvl w:val="0"/>
          <w:numId w:val="6"/>
        </w:numPr>
        <w:tabs>
          <w:tab w:val="left" w:pos="1191"/>
        </w:tabs>
        <w:spacing w:before="158"/>
        <w:rPr>
          <w:color w:val="auto"/>
          <w:highlight w:val="none"/>
        </w:rPr>
      </w:pPr>
      <w:r>
        <w:rPr>
          <w:color w:val="auto"/>
          <w:spacing w:val="-3"/>
          <w:highlight w:val="none"/>
        </w:rPr>
        <w:t>其他材料。</w:t>
      </w:r>
    </w:p>
    <w:p>
      <w:pPr>
        <w:pStyle w:val="8"/>
        <w:numPr>
          <w:ilvl w:val="1"/>
          <w:numId w:val="4"/>
        </w:numPr>
        <w:tabs>
          <w:tab w:val="left" w:pos="710"/>
        </w:tabs>
        <w:spacing w:before="150"/>
        <w:rPr>
          <w:color w:val="auto"/>
          <w:highlight w:val="none"/>
        </w:rPr>
      </w:pPr>
      <w:r>
        <w:rPr>
          <w:color w:val="auto"/>
          <w:spacing w:val="-2"/>
          <w:highlight w:val="none"/>
        </w:rPr>
        <w:t>报价要求</w:t>
      </w:r>
    </w:p>
    <w:p>
      <w:pPr>
        <w:pStyle w:val="12"/>
        <w:numPr>
          <w:ilvl w:val="2"/>
          <w:numId w:val="4"/>
        </w:numPr>
        <w:tabs>
          <w:tab w:val="left" w:pos="1190"/>
        </w:tabs>
        <w:spacing w:before="253"/>
        <w:ind w:left="1189"/>
        <w:rPr>
          <w:color w:val="auto"/>
          <w:highlight w:val="none"/>
        </w:rPr>
      </w:pPr>
      <w:r>
        <w:rPr>
          <w:color w:val="auto"/>
          <w:spacing w:val="-3"/>
          <w:highlight w:val="none"/>
        </w:rPr>
        <w:t>报价应包括国家规定的增值税税金，供应商应提供符合采购人财务要求的增值税专用发票。</w:t>
      </w:r>
    </w:p>
    <w:p>
      <w:pPr>
        <w:pStyle w:val="12"/>
        <w:numPr>
          <w:ilvl w:val="2"/>
          <w:numId w:val="4"/>
        </w:numPr>
        <w:tabs>
          <w:tab w:val="left" w:pos="1190"/>
        </w:tabs>
        <w:spacing w:before="158"/>
        <w:ind w:left="1189"/>
        <w:rPr>
          <w:color w:val="auto"/>
          <w:highlight w:val="none"/>
        </w:rPr>
      </w:pPr>
      <w:r>
        <w:rPr>
          <w:color w:val="auto"/>
          <w:spacing w:val="-3"/>
          <w:highlight w:val="none"/>
        </w:rPr>
        <w:t>供应商应按第六章</w:t>
      </w:r>
      <w:r>
        <w:rPr>
          <w:rFonts w:ascii="Times New Roman" w:hAnsi="Times New Roman" w:eastAsia="Times New Roman"/>
          <w:color w:val="auto"/>
          <w:highlight w:val="none"/>
        </w:rPr>
        <w:t>“</w:t>
      </w:r>
      <w:r>
        <w:rPr>
          <w:color w:val="auto"/>
          <w:spacing w:val="-3"/>
          <w:highlight w:val="none"/>
        </w:rPr>
        <w:t>响应文件格式</w:t>
      </w:r>
      <w:r>
        <w:rPr>
          <w:rFonts w:ascii="Times New Roman" w:hAnsi="Times New Roman" w:eastAsia="Times New Roman"/>
          <w:color w:val="auto"/>
          <w:highlight w:val="none"/>
        </w:rPr>
        <w:t>”</w:t>
      </w:r>
      <w:r>
        <w:rPr>
          <w:color w:val="auto"/>
          <w:spacing w:val="-3"/>
          <w:highlight w:val="none"/>
        </w:rPr>
        <w:t>的要求在报价函中进行报价并填写报价清单相应表格。</w:t>
      </w:r>
    </w:p>
    <w:p>
      <w:pPr>
        <w:pStyle w:val="12"/>
        <w:numPr>
          <w:ilvl w:val="2"/>
          <w:numId w:val="4"/>
        </w:numPr>
        <w:tabs>
          <w:tab w:val="left" w:pos="1190"/>
        </w:tabs>
        <w:spacing w:before="159" w:line="374" w:lineRule="auto"/>
        <w:ind w:right="235" w:firstLine="420"/>
        <w:rPr>
          <w:color w:val="auto"/>
          <w:highlight w:val="none"/>
        </w:rPr>
      </w:pPr>
      <w:r>
        <w:rPr>
          <w:color w:val="auto"/>
          <w:spacing w:val="-6"/>
          <w:highlight w:val="none"/>
        </w:rPr>
        <w:t>采购人设有最高限价的，供应商的报价不得超过最高限价，否则其报价将被否决，最高限价</w:t>
      </w:r>
      <w:r>
        <w:rPr>
          <w:color w:val="auto"/>
          <w:spacing w:val="-3"/>
          <w:highlight w:val="none"/>
        </w:rPr>
        <w:t>见第一章</w:t>
      </w:r>
      <w:r>
        <w:rPr>
          <w:rFonts w:ascii="Times New Roman" w:hAnsi="Times New Roman" w:eastAsia="Times New Roman"/>
          <w:color w:val="auto"/>
          <w:spacing w:val="-3"/>
          <w:highlight w:val="none"/>
        </w:rPr>
        <w:t>“</w:t>
      </w:r>
      <w:r>
        <w:rPr>
          <w:color w:val="auto"/>
          <w:spacing w:val="-2"/>
          <w:highlight w:val="none"/>
        </w:rPr>
        <w:t>采购公告</w:t>
      </w:r>
      <w:r>
        <w:rPr>
          <w:rFonts w:ascii="Times New Roman" w:hAnsi="Times New Roman" w:eastAsia="Times New Roman"/>
          <w:color w:val="auto"/>
          <w:highlight w:val="none"/>
        </w:rPr>
        <w:t>”</w:t>
      </w:r>
      <w:r>
        <w:rPr>
          <w:color w:val="auto"/>
          <w:spacing w:val="-29"/>
          <w:highlight w:val="none"/>
        </w:rPr>
        <w:t xml:space="preserve">第 </w:t>
      </w:r>
      <w:r>
        <w:rPr>
          <w:rFonts w:ascii="Times New Roman" w:hAnsi="Times New Roman" w:eastAsia="Times New Roman"/>
          <w:color w:val="auto"/>
          <w:highlight w:val="none"/>
        </w:rPr>
        <w:t xml:space="preserve">2.5 </w:t>
      </w:r>
      <w:r>
        <w:rPr>
          <w:color w:val="auto"/>
          <w:highlight w:val="none"/>
        </w:rPr>
        <w:t>款。</w:t>
      </w:r>
    </w:p>
    <w:p>
      <w:pPr>
        <w:pStyle w:val="12"/>
        <w:numPr>
          <w:ilvl w:val="2"/>
          <w:numId w:val="4"/>
        </w:numPr>
        <w:tabs>
          <w:tab w:val="left" w:pos="1135"/>
        </w:tabs>
        <w:spacing w:before="0" w:line="281" w:lineRule="exact"/>
        <w:ind w:left="1134" w:hanging="495"/>
        <w:rPr>
          <w:color w:val="auto"/>
          <w:highlight w:val="none"/>
        </w:rPr>
      </w:pPr>
      <w:r>
        <w:rPr>
          <w:color w:val="auto"/>
          <w:spacing w:val="-3"/>
          <w:highlight w:val="none"/>
        </w:rPr>
        <w:t>本项目的报价方式为：</w:t>
      </w:r>
      <w:r>
        <w:rPr>
          <w:color w:val="auto"/>
          <w:highlight w:val="none"/>
          <w:u w:val="single"/>
        </w:rPr>
        <w:t xml:space="preserve"> 总价</w:t>
      </w:r>
      <w:r>
        <w:rPr>
          <w:color w:val="auto"/>
          <w:spacing w:val="-2"/>
          <w:highlight w:val="none"/>
        </w:rPr>
        <w:t xml:space="preserve"> 。</w:t>
      </w:r>
    </w:p>
    <w:p>
      <w:pPr>
        <w:pStyle w:val="8"/>
        <w:numPr>
          <w:ilvl w:val="1"/>
          <w:numId w:val="4"/>
        </w:numPr>
        <w:tabs>
          <w:tab w:val="left" w:pos="640"/>
        </w:tabs>
        <w:spacing w:before="148"/>
        <w:ind w:left="640" w:hanging="420"/>
        <w:rPr>
          <w:color w:val="auto"/>
          <w:highlight w:val="none"/>
        </w:rPr>
      </w:pPr>
      <w:r>
        <w:rPr>
          <w:color w:val="auto"/>
          <w:spacing w:val="-2"/>
          <w:highlight w:val="none"/>
        </w:rPr>
        <w:t>响应有效期</w:t>
      </w:r>
    </w:p>
    <w:p>
      <w:pPr>
        <w:pStyle w:val="12"/>
        <w:numPr>
          <w:ilvl w:val="2"/>
          <w:numId w:val="4"/>
        </w:numPr>
        <w:tabs>
          <w:tab w:val="left" w:pos="1190"/>
        </w:tabs>
        <w:spacing w:before="256"/>
        <w:ind w:left="1189"/>
        <w:rPr>
          <w:color w:val="auto"/>
          <w:highlight w:val="none"/>
        </w:rPr>
      </w:pPr>
      <w:r>
        <w:rPr>
          <w:color w:val="auto"/>
          <w:spacing w:val="-6"/>
          <w:highlight w:val="none"/>
        </w:rPr>
        <w:t xml:space="preserve">响应有效期为自供应商递交响应文件截止之日起计算 </w:t>
      </w:r>
      <w:r>
        <w:rPr>
          <w:rFonts w:ascii="Times New Roman" w:eastAsia="Times New Roman"/>
          <w:color w:val="auto"/>
          <w:highlight w:val="none"/>
        </w:rPr>
        <w:t xml:space="preserve">90 </w:t>
      </w:r>
      <w:r>
        <w:rPr>
          <w:color w:val="auto"/>
          <w:highlight w:val="none"/>
        </w:rPr>
        <w:t>日。</w:t>
      </w:r>
    </w:p>
    <w:p>
      <w:pPr>
        <w:rPr>
          <w:color w:val="auto"/>
          <w:highlight w:val="none"/>
        </w:rPr>
        <w:sectPr>
          <w:pgSz w:w="11910" w:h="16840"/>
          <w:pgMar w:top="1520" w:right="841" w:bottom="1040" w:left="860" w:header="0" w:footer="856" w:gutter="0"/>
          <w:cols w:space="720" w:num="1"/>
        </w:sectPr>
      </w:pPr>
    </w:p>
    <w:p>
      <w:pPr>
        <w:pStyle w:val="12"/>
        <w:numPr>
          <w:ilvl w:val="2"/>
          <w:numId w:val="4"/>
        </w:numPr>
        <w:tabs>
          <w:tab w:val="left" w:pos="1190"/>
        </w:tabs>
        <w:spacing w:before="54"/>
        <w:ind w:left="1189"/>
        <w:rPr>
          <w:color w:val="auto"/>
          <w:highlight w:val="none"/>
        </w:rPr>
      </w:pPr>
      <w:r>
        <w:rPr>
          <w:color w:val="auto"/>
          <w:spacing w:val="-3"/>
          <w:highlight w:val="none"/>
        </w:rPr>
        <w:t>在响应有效期内，供应商撤销响应文件的，应承担询比文件和法律规定的责任。</w:t>
      </w:r>
    </w:p>
    <w:p>
      <w:pPr>
        <w:pStyle w:val="8"/>
        <w:numPr>
          <w:ilvl w:val="1"/>
          <w:numId w:val="4"/>
        </w:numPr>
        <w:tabs>
          <w:tab w:val="left" w:pos="640"/>
        </w:tabs>
        <w:spacing w:before="147"/>
        <w:ind w:left="640" w:hanging="420"/>
        <w:rPr>
          <w:color w:val="auto"/>
          <w:highlight w:val="none"/>
        </w:rPr>
      </w:pPr>
      <w:r>
        <w:rPr>
          <w:color w:val="auto"/>
          <w:spacing w:val="-2"/>
          <w:highlight w:val="none"/>
        </w:rPr>
        <w:t>响应保证金</w:t>
      </w:r>
    </w:p>
    <w:p>
      <w:pPr>
        <w:pStyle w:val="12"/>
        <w:numPr>
          <w:ilvl w:val="2"/>
          <w:numId w:val="4"/>
        </w:numPr>
        <w:tabs>
          <w:tab w:val="left" w:pos="1190"/>
        </w:tabs>
        <w:spacing w:before="253" w:line="376" w:lineRule="auto"/>
        <w:ind w:right="237" w:firstLine="420"/>
        <w:rPr>
          <w:color w:val="auto"/>
          <w:highlight w:val="none"/>
        </w:rPr>
      </w:pPr>
      <w:r>
        <w:rPr>
          <w:color w:val="auto"/>
          <w:spacing w:val="-3"/>
          <w:highlight w:val="none"/>
        </w:rPr>
        <w:t>供应商在递交响应文件的同时，应按第一章</w:t>
      </w:r>
      <w:r>
        <w:rPr>
          <w:rFonts w:ascii="Times New Roman" w:hAnsi="Times New Roman" w:eastAsia="Times New Roman"/>
          <w:color w:val="auto"/>
          <w:highlight w:val="none"/>
        </w:rPr>
        <w:t>“</w:t>
      </w:r>
      <w:r>
        <w:rPr>
          <w:color w:val="auto"/>
          <w:spacing w:val="-3"/>
          <w:highlight w:val="none"/>
        </w:rPr>
        <w:t>采购公告</w:t>
      </w:r>
      <w:r>
        <w:rPr>
          <w:rFonts w:ascii="Times New Roman" w:hAnsi="Times New Roman" w:eastAsia="Times New Roman"/>
          <w:color w:val="auto"/>
          <w:highlight w:val="none"/>
        </w:rPr>
        <w:t>”</w:t>
      </w:r>
      <w:r>
        <w:rPr>
          <w:color w:val="auto"/>
          <w:spacing w:val="-25"/>
          <w:highlight w:val="none"/>
        </w:rPr>
        <w:t xml:space="preserve">第 </w:t>
      </w:r>
      <w:r>
        <w:rPr>
          <w:rFonts w:ascii="Times New Roman" w:hAnsi="Times New Roman" w:eastAsia="Times New Roman"/>
          <w:color w:val="auto"/>
          <w:highlight w:val="none"/>
        </w:rPr>
        <w:t>7</w:t>
      </w:r>
      <w:r>
        <w:rPr>
          <w:color w:val="auto"/>
          <w:spacing w:val="-3"/>
          <w:highlight w:val="none"/>
        </w:rPr>
        <w:t>条的要求递交响应保证金，并作为其响应文件的组成部分。</w:t>
      </w:r>
    </w:p>
    <w:p>
      <w:pPr>
        <w:pStyle w:val="12"/>
        <w:spacing w:before="0" w:line="278" w:lineRule="exact"/>
        <w:ind w:left="640" w:firstLine="0"/>
        <w:rPr>
          <w:color w:val="auto"/>
          <w:highlight w:val="none"/>
        </w:rPr>
      </w:pPr>
      <w:r>
        <w:rPr>
          <w:color w:val="auto"/>
          <w:highlight w:val="none"/>
        </w:rPr>
        <w:t>无论采取何种形式的响应保证金，响应保证金有效期均应与响应有效期一致。</w:t>
      </w:r>
    </w:p>
    <w:p>
      <w:pPr>
        <w:pStyle w:val="12"/>
        <w:numPr>
          <w:ilvl w:val="2"/>
          <w:numId w:val="4"/>
        </w:numPr>
        <w:tabs>
          <w:tab w:val="left" w:pos="1190"/>
        </w:tabs>
        <w:spacing w:before="158"/>
        <w:ind w:left="1189"/>
        <w:rPr>
          <w:color w:val="auto"/>
          <w:highlight w:val="none"/>
        </w:rPr>
      </w:pPr>
      <w:r>
        <w:rPr>
          <w:color w:val="auto"/>
          <w:spacing w:val="-10"/>
          <w:highlight w:val="none"/>
        </w:rPr>
        <w:t xml:space="preserve">供应商不按本章第 </w:t>
      </w:r>
      <w:r>
        <w:rPr>
          <w:rFonts w:ascii="Times New Roman" w:eastAsia="Times New Roman"/>
          <w:color w:val="auto"/>
          <w:highlight w:val="none"/>
        </w:rPr>
        <w:t xml:space="preserve">3.4.1 </w:t>
      </w:r>
      <w:r>
        <w:rPr>
          <w:color w:val="auto"/>
          <w:spacing w:val="-3"/>
          <w:highlight w:val="none"/>
        </w:rPr>
        <w:t>项要求提交响应保证金的，评审小组将否决其响应文件。</w:t>
      </w:r>
    </w:p>
    <w:p>
      <w:pPr>
        <w:pStyle w:val="12"/>
        <w:numPr>
          <w:ilvl w:val="2"/>
          <w:numId w:val="4"/>
        </w:numPr>
        <w:tabs>
          <w:tab w:val="left" w:pos="1190"/>
        </w:tabs>
        <w:spacing w:before="160"/>
        <w:ind w:left="1189"/>
        <w:rPr>
          <w:color w:val="auto"/>
          <w:highlight w:val="none"/>
        </w:rPr>
      </w:pPr>
      <w:r>
        <w:rPr>
          <w:color w:val="auto"/>
          <w:spacing w:val="-3"/>
          <w:highlight w:val="none"/>
        </w:rPr>
        <w:t>采购人在与成交人签订合同后办理退还响应保证金手续。</w:t>
      </w:r>
    </w:p>
    <w:p>
      <w:pPr>
        <w:pStyle w:val="12"/>
        <w:numPr>
          <w:ilvl w:val="2"/>
          <w:numId w:val="4"/>
        </w:numPr>
        <w:tabs>
          <w:tab w:val="left" w:pos="1190"/>
        </w:tabs>
        <w:ind w:left="1189"/>
        <w:rPr>
          <w:color w:val="auto"/>
          <w:highlight w:val="none"/>
        </w:rPr>
      </w:pPr>
      <w:r>
        <w:rPr>
          <w:color w:val="auto"/>
          <w:spacing w:val="-3"/>
          <w:highlight w:val="none"/>
        </w:rPr>
        <w:t>有下列情形之一的，响应保证金将不予退还：</w:t>
      </w:r>
    </w:p>
    <w:p>
      <w:pPr>
        <w:pStyle w:val="12"/>
        <w:numPr>
          <w:ilvl w:val="0"/>
          <w:numId w:val="7"/>
        </w:numPr>
        <w:tabs>
          <w:tab w:val="left" w:pos="1191"/>
        </w:tabs>
        <w:rPr>
          <w:color w:val="auto"/>
          <w:highlight w:val="none"/>
        </w:rPr>
      </w:pPr>
      <w:r>
        <w:rPr>
          <w:color w:val="auto"/>
          <w:spacing w:val="-3"/>
          <w:highlight w:val="none"/>
        </w:rPr>
        <w:t>供应商在规定的响应有效期内撤销其响应文件；</w:t>
      </w:r>
    </w:p>
    <w:p>
      <w:pPr>
        <w:pStyle w:val="12"/>
        <w:numPr>
          <w:ilvl w:val="0"/>
          <w:numId w:val="7"/>
        </w:numPr>
        <w:tabs>
          <w:tab w:val="left" w:pos="1191"/>
        </w:tabs>
        <w:spacing w:before="160" w:line="374" w:lineRule="auto"/>
        <w:ind w:left="220" w:right="235" w:firstLine="420"/>
        <w:jc w:val="both"/>
        <w:rPr>
          <w:color w:val="auto"/>
          <w:highlight w:val="none"/>
        </w:rPr>
      </w:pPr>
      <w:r>
        <w:rPr>
          <w:color w:val="auto"/>
          <w:spacing w:val="-5"/>
          <w:highlight w:val="none"/>
        </w:rPr>
        <w:t>成交候选人无正当理由放弃成交资格的；或成交人无正当理由不与采购人签订合同的；或成交人在签订合同时向采购人提出附加条件或者更改合同实质性内容的；或者成交人不提交询比文件所</w:t>
      </w:r>
      <w:r>
        <w:rPr>
          <w:color w:val="auto"/>
          <w:spacing w:val="-3"/>
          <w:highlight w:val="none"/>
        </w:rPr>
        <w:t>要求的履约保证金的。</w:t>
      </w:r>
    </w:p>
    <w:p>
      <w:pPr>
        <w:pStyle w:val="8"/>
        <w:numPr>
          <w:ilvl w:val="1"/>
          <w:numId w:val="4"/>
        </w:numPr>
        <w:tabs>
          <w:tab w:val="left" w:pos="640"/>
        </w:tabs>
        <w:spacing w:line="348" w:lineRule="exact"/>
        <w:ind w:left="640" w:hanging="420"/>
        <w:rPr>
          <w:color w:val="auto"/>
          <w:highlight w:val="none"/>
        </w:rPr>
      </w:pPr>
      <w:r>
        <w:rPr>
          <w:color w:val="auto"/>
          <w:spacing w:val="-3"/>
          <w:highlight w:val="none"/>
        </w:rPr>
        <w:t>资格审查资料</w:t>
      </w:r>
    </w:p>
    <w:p>
      <w:pPr>
        <w:pStyle w:val="12"/>
        <w:spacing w:before="256" w:line="374" w:lineRule="auto"/>
        <w:ind w:right="235"/>
        <w:jc w:val="both"/>
        <w:rPr>
          <w:color w:val="auto"/>
          <w:highlight w:val="none"/>
        </w:rPr>
      </w:pPr>
      <w:r>
        <w:rPr>
          <w:color w:val="auto"/>
          <w:spacing w:val="-3"/>
          <w:highlight w:val="none"/>
        </w:rPr>
        <w:t>供应商应按第六章</w:t>
      </w:r>
      <w:r>
        <w:rPr>
          <w:rFonts w:ascii="Times New Roman" w:hAnsi="Times New Roman" w:eastAsia="Times New Roman"/>
          <w:color w:val="auto"/>
          <w:highlight w:val="none"/>
        </w:rPr>
        <w:t>“</w:t>
      </w:r>
      <w:r>
        <w:rPr>
          <w:color w:val="auto"/>
          <w:spacing w:val="-3"/>
          <w:highlight w:val="none"/>
        </w:rPr>
        <w:t>响应文件格式</w:t>
      </w:r>
      <w:r>
        <w:rPr>
          <w:rFonts w:ascii="Times New Roman" w:hAnsi="Times New Roman" w:eastAsia="Times New Roman"/>
          <w:color w:val="auto"/>
          <w:highlight w:val="none"/>
        </w:rPr>
        <w:t>”</w:t>
      </w:r>
      <w:r>
        <w:rPr>
          <w:color w:val="auto"/>
          <w:spacing w:val="-10"/>
          <w:highlight w:val="none"/>
        </w:rPr>
        <w:t xml:space="preserve">的规定提供资格审查资料，以证明其满足本章第 </w:t>
      </w:r>
      <w:r>
        <w:rPr>
          <w:rFonts w:ascii="Times New Roman" w:hAnsi="Times New Roman" w:eastAsia="Times New Roman"/>
          <w:color w:val="auto"/>
          <w:highlight w:val="none"/>
        </w:rPr>
        <w:t xml:space="preserve">1.2 </w:t>
      </w:r>
      <w:r>
        <w:rPr>
          <w:color w:val="auto"/>
          <w:spacing w:val="-2"/>
          <w:highlight w:val="none"/>
        </w:rPr>
        <w:t>款规定的资</w:t>
      </w:r>
      <w:r>
        <w:rPr>
          <w:color w:val="auto"/>
          <w:spacing w:val="-3"/>
          <w:highlight w:val="none"/>
        </w:rPr>
        <w:t>质、业绩、信誉等要求。</w:t>
      </w:r>
    </w:p>
    <w:p>
      <w:pPr>
        <w:pStyle w:val="8"/>
        <w:numPr>
          <w:ilvl w:val="1"/>
          <w:numId w:val="4"/>
        </w:numPr>
        <w:tabs>
          <w:tab w:val="left" w:pos="640"/>
        </w:tabs>
        <w:spacing w:line="348" w:lineRule="exact"/>
        <w:ind w:left="640" w:hanging="420"/>
        <w:rPr>
          <w:color w:val="auto"/>
          <w:highlight w:val="none"/>
        </w:rPr>
      </w:pPr>
      <w:r>
        <w:rPr>
          <w:color w:val="auto"/>
          <w:spacing w:val="-3"/>
          <w:highlight w:val="none"/>
        </w:rPr>
        <w:t>响应文件的编制</w:t>
      </w:r>
    </w:p>
    <w:p>
      <w:pPr>
        <w:pStyle w:val="12"/>
        <w:numPr>
          <w:ilvl w:val="2"/>
          <w:numId w:val="4"/>
        </w:numPr>
        <w:tabs>
          <w:tab w:val="left" w:pos="1190"/>
        </w:tabs>
        <w:spacing w:before="255" w:line="374" w:lineRule="auto"/>
        <w:ind w:right="235" w:firstLine="420"/>
        <w:rPr>
          <w:color w:val="auto"/>
          <w:highlight w:val="none"/>
        </w:rPr>
      </w:pPr>
      <w:r>
        <w:rPr>
          <w:color w:val="auto"/>
          <w:spacing w:val="-3"/>
          <w:highlight w:val="none"/>
        </w:rPr>
        <w:t>响应文件应按第六章</w:t>
      </w:r>
      <w:r>
        <w:rPr>
          <w:rFonts w:ascii="Times New Roman" w:hAnsi="Times New Roman" w:eastAsia="Times New Roman"/>
          <w:color w:val="auto"/>
          <w:highlight w:val="none"/>
        </w:rPr>
        <w:t>“</w:t>
      </w:r>
      <w:r>
        <w:rPr>
          <w:color w:val="auto"/>
          <w:spacing w:val="-3"/>
          <w:highlight w:val="none"/>
        </w:rPr>
        <w:t>响应文件格式</w:t>
      </w:r>
      <w:r>
        <w:rPr>
          <w:rFonts w:ascii="Times New Roman" w:hAnsi="Times New Roman" w:eastAsia="Times New Roman"/>
          <w:color w:val="auto"/>
          <w:highlight w:val="none"/>
        </w:rPr>
        <w:t>”</w:t>
      </w:r>
      <w:r>
        <w:rPr>
          <w:color w:val="auto"/>
          <w:spacing w:val="-3"/>
          <w:highlight w:val="none"/>
        </w:rPr>
        <w:t>进行编写，如有必要，可以增加附页，作为响应文件的</w:t>
      </w:r>
      <w:r>
        <w:rPr>
          <w:color w:val="auto"/>
          <w:spacing w:val="-2"/>
          <w:highlight w:val="none"/>
        </w:rPr>
        <w:t>组成部分。</w:t>
      </w:r>
    </w:p>
    <w:p>
      <w:pPr>
        <w:pStyle w:val="12"/>
        <w:numPr>
          <w:ilvl w:val="2"/>
          <w:numId w:val="4"/>
        </w:numPr>
        <w:tabs>
          <w:tab w:val="left" w:pos="1190"/>
        </w:tabs>
        <w:spacing w:before="0" w:line="376" w:lineRule="auto"/>
        <w:ind w:right="128" w:firstLine="420"/>
        <w:rPr>
          <w:color w:val="auto"/>
          <w:highlight w:val="none"/>
        </w:rPr>
      </w:pPr>
      <w:r>
        <w:rPr>
          <w:color w:val="auto"/>
          <w:spacing w:val="-9"/>
          <w:highlight w:val="none"/>
        </w:rPr>
        <w:t>响应文件应当对询比文件有关服务期、响应有效期、质量要求、安全目标、技术标准和要求、</w:t>
      </w:r>
      <w:r>
        <w:rPr>
          <w:color w:val="auto"/>
          <w:spacing w:val="-3"/>
          <w:highlight w:val="none"/>
        </w:rPr>
        <w:t>采购范围等实质性内容作出响应。</w:t>
      </w:r>
    </w:p>
    <w:p>
      <w:pPr>
        <w:pStyle w:val="12"/>
        <w:numPr>
          <w:ilvl w:val="2"/>
          <w:numId w:val="4"/>
        </w:numPr>
        <w:tabs>
          <w:tab w:val="left" w:pos="1135"/>
        </w:tabs>
        <w:spacing w:before="0" w:line="278" w:lineRule="exact"/>
        <w:ind w:left="1134" w:hanging="495"/>
        <w:rPr>
          <w:color w:val="auto"/>
          <w:highlight w:val="none"/>
        </w:rPr>
      </w:pPr>
      <w:r>
        <w:rPr>
          <w:color w:val="auto"/>
          <w:spacing w:val="-3"/>
          <w:highlight w:val="none"/>
        </w:rPr>
        <w:t>响应文件的制作应满足以下规定：</w:t>
      </w:r>
    </w:p>
    <w:p>
      <w:pPr>
        <w:pStyle w:val="12"/>
        <w:numPr>
          <w:ilvl w:val="0"/>
          <w:numId w:val="8"/>
        </w:numPr>
        <w:tabs>
          <w:tab w:val="left" w:pos="1191"/>
        </w:tabs>
        <w:spacing w:before="156" w:line="374" w:lineRule="auto"/>
        <w:ind w:right="128" w:firstLine="420"/>
        <w:rPr>
          <w:color w:val="auto"/>
          <w:highlight w:val="none"/>
        </w:rPr>
      </w:pPr>
      <w:r>
        <w:rPr>
          <w:color w:val="auto"/>
          <w:spacing w:val="-5"/>
          <w:highlight w:val="none"/>
        </w:rPr>
        <w:t>响应文件应用不褪色的材料书写或打印，并按第六章</w:t>
      </w:r>
      <w:r>
        <w:rPr>
          <w:rFonts w:ascii="Times New Roman" w:hAnsi="Times New Roman" w:eastAsia="Times New Roman"/>
          <w:color w:val="auto"/>
          <w:highlight w:val="none"/>
        </w:rPr>
        <w:t>“</w:t>
      </w:r>
      <w:r>
        <w:rPr>
          <w:color w:val="auto"/>
          <w:spacing w:val="-3"/>
          <w:highlight w:val="none"/>
        </w:rPr>
        <w:t>响应文件格式</w:t>
      </w:r>
      <w:r>
        <w:rPr>
          <w:rFonts w:ascii="Times New Roman" w:hAnsi="Times New Roman" w:eastAsia="Times New Roman"/>
          <w:color w:val="auto"/>
          <w:highlight w:val="none"/>
        </w:rPr>
        <w:t>”</w:t>
      </w:r>
      <w:r>
        <w:rPr>
          <w:color w:val="auto"/>
          <w:spacing w:val="-8"/>
          <w:highlight w:val="none"/>
        </w:rPr>
        <w:t>的要求进行签名和</w:t>
      </w:r>
      <w:r>
        <w:rPr>
          <w:color w:val="auto"/>
          <w:highlight w:val="none"/>
        </w:rPr>
        <w:t>（</w:t>
      </w:r>
      <w:r>
        <w:rPr>
          <w:color w:val="auto"/>
          <w:spacing w:val="-3"/>
          <w:highlight w:val="none"/>
        </w:rPr>
        <w:t>或</w:t>
      </w:r>
      <w:r>
        <w:rPr>
          <w:color w:val="auto"/>
          <w:highlight w:val="none"/>
        </w:rPr>
        <w:t>）盖章。响应文件应尽量避免涂改、行间插字或删除。如果出现上述情况，改动之处应由供应商的法</w:t>
      </w:r>
      <w:r>
        <w:rPr>
          <w:color w:val="auto"/>
          <w:spacing w:val="-3"/>
          <w:highlight w:val="none"/>
        </w:rPr>
        <w:t>定代表人或其授权的代理人签名或盖单位章。</w:t>
      </w:r>
    </w:p>
    <w:p>
      <w:pPr>
        <w:pStyle w:val="12"/>
        <w:numPr>
          <w:ilvl w:val="0"/>
          <w:numId w:val="8"/>
        </w:numPr>
        <w:tabs>
          <w:tab w:val="left" w:pos="1191"/>
        </w:tabs>
        <w:spacing w:before="1"/>
        <w:ind w:firstLine="420"/>
        <w:rPr>
          <w:color w:val="auto"/>
          <w:highlight w:val="none"/>
        </w:rPr>
      </w:pPr>
      <w:r>
        <w:rPr>
          <w:color w:val="auto"/>
          <w:spacing w:val="-5"/>
          <w:highlight w:val="none"/>
        </w:rPr>
        <w:t>响应文件份数及其他要求：响应文件正本一份，副本一份。正本和副本的封面右上角上应清</w:t>
      </w:r>
    </w:p>
    <w:p>
      <w:pPr>
        <w:pStyle w:val="12"/>
        <w:spacing w:before="2" w:line="440" w:lineRule="atLeast"/>
        <w:ind w:right="235" w:firstLine="0"/>
        <w:rPr>
          <w:color w:val="auto"/>
          <w:highlight w:val="none"/>
        </w:rPr>
      </w:pPr>
      <w:r>
        <w:rPr>
          <w:color w:val="auto"/>
          <w:spacing w:val="-2"/>
          <w:highlight w:val="none"/>
        </w:rPr>
        <w:t>楚地标记</w:t>
      </w:r>
      <w:r>
        <w:rPr>
          <w:rFonts w:ascii="Times New Roman" w:hAnsi="Times New Roman" w:eastAsia="Times New Roman"/>
          <w:color w:val="auto"/>
          <w:spacing w:val="-3"/>
          <w:highlight w:val="none"/>
        </w:rPr>
        <w:t>“</w:t>
      </w:r>
      <w:r>
        <w:rPr>
          <w:color w:val="auto"/>
          <w:spacing w:val="-2"/>
          <w:highlight w:val="none"/>
        </w:rPr>
        <w:t>正本</w:t>
      </w:r>
      <w:r>
        <w:rPr>
          <w:rFonts w:ascii="Times New Roman" w:hAnsi="Times New Roman" w:eastAsia="Times New Roman"/>
          <w:color w:val="auto"/>
          <w:highlight w:val="none"/>
        </w:rPr>
        <w:t>”</w:t>
      </w:r>
      <w:r>
        <w:rPr>
          <w:color w:val="auto"/>
          <w:highlight w:val="none"/>
        </w:rPr>
        <w:t>或</w:t>
      </w:r>
      <w:r>
        <w:rPr>
          <w:rFonts w:ascii="Times New Roman" w:hAnsi="Times New Roman" w:eastAsia="Times New Roman"/>
          <w:color w:val="auto"/>
          <w:spacing w:val="-3"/>
          <w:highlight w:val="none"/>
        </w:rPr>
        <w:t>“</w:t>
      </w:r>
      <w:r>
        <w:rPr>
          <w:color w:val="auto"/>
          <w:highlight w:val="none"/>
        </w:rPr>
        <w:t>副本</w:t>
      </w:r>
      <w:r>
        <w:rPr>
          <w:rFonts w:ascii="Times New Roman" w:hAnsi="Times New Roman" w:eastAsia="Times New Roman"/>
          <w:color w:val="auto"/>
          <w:spacing w:val="-3"/>
          <w:highlight w:val="none"/>
        </w:rPr>
        <w:t>”</w:t>
      </w:r>
      <w:r>
        <w:rPr>
          <w:color w:val="auto"/>
          <w:spacing w:val="-11"/>
          <w:highlight w:val="none"/>
        </w:rPr>
        <w:t>的字样。当副本和正本不一致时，以正本文件为准。响应文件的正本与副本应</w:t>
      </w:r>
      <w:r>
        <w:rPr>
          <w:color w:val="auto"/>
          <w:spacing w:val="-5"/>
          <w:highlight w:val="none"/>
        </w:rPr>
        <w:t>分别装订，统一密封在信封封套中。</w:t>
      </w:r>
    </w:p>
    <w:p>
      <w:pPr>
        <w:pStyle w:val="12"/>
        <w:numPr>
          <w:ilvl w:val="0"/>
          <w:numId w:val="8"/>
        </w:numPr>
        <w:tabs>
          <w:tab w:val="left" w:pos="1191"/>
        </w:tabs>
        <w:spacing w:before="27" w:line="364" w:lineRule="auto"/>
        <w:ind w:right="235" w:firstLine="420"/>
        <w:rPr>
          <w:color w:val="auto"/>
          <w:highlight w:val="none"/>
        </w:rPr>
      </w:pPr>
      <w:r>
        <w:rPr>
          <w:color w:val="auto"/>
          <w:spacing w:val="17"/>
          <w:highlight w:val="none"/>
        </w:rPr>
        <w:t>电子版</w:t>
      </w:r>
      <w:r>
        <w:rPr>
          <w:rFonts w:ascii="Times New Roman" w:eastAsia="Times New Roman"/>
          <w:color w:val="auto"/>
          <w:highlight w:val="none"/>
        </w:rPr>
        <w:t>U</w:t>
      </w:r>
      <w:r>
        <w:rPr>
          <w:color w:val="auto"/>
          <w:spacing w:val="-4"/>
          <w:highlight w:val="none"/>
        </w:rPr>
        <w:t>盘：</w:t>
      </w:r>
      <w:r>
        <w:rPr>
          <w:rFonts w:ascii="Times New Roman" w:eastAsia="Times New Roman"/>
          <w:color w:val="auto"/>
          <w:spacing w:val="-5"/>
          <w:highlight w:val="none"/>
        </w:rPr>
        <w:t>U</w:t>
      </w:r>
      <w:r>
        <w:rPr>
          <w:color w:val="auto"/>
          <w:spacing w:val="-5"/>
          <w:highlight w:val="none"/>
        </w:rPr>
        <w:t>盘内应提供响应文件</w:t>
      </w:r>
      <w:r>
        <w:rPr>
          <w:color w:val="auto"/>
          <w:spacing w:val="-3"/>
          <w:highlight w:val="none"/>
        </w:rPr>
        <w:t>（盖章扫描件</w:t>
      </w:r>
      <w:r>
        <w:rPr>
          <w:color w:val="auto"/>
          <w:spacing w:val="-13"/>
          <w:highlight w:val="none"/>
        </w:rPr>
        <w:t>）</w:t>
      </w:r>
      <w:r>
        <w:rPr>
          <w:color w:val="auto"/>
          <w:spacing w:val="-3"/>
          <w:highlight w:val="none"/>
        </w:rPr>
        <w:t>备查，</w:t>
      </w:r>
      <w:r>
        <w:rPr>
          <w:rFonts w:ascii="Times New Roman" w:eastAsia="Times New Roman"/>
          <w:color w:val="auto"/>
          <w:spacing w:val="-8"/>
          <w:highlight w:val="none"/>
        </w:rPr>
        <w:t>U</w:t>
      </w:r>
      <w:r>
        <w:rPr>
          <w:color w:val="auto"/>
          <w:spacing w:val="-3"/>
          <w:highlight w:val="none"/>
        </w:rPr>
        <w:t>盘和响应文件密封在一个封套内；</w:t>
      </w:r>
    </w:p>
    <w:p>
      <w:pPr>
        <w:pStyle w:val="2"/>
        <w:spacing w:line="267" w:lineRule="exact"/>
        <w:ind w:left="640"/>
        <w:rPr>
          <w:color w:val="auto"/>
          <w:highlight w:val="none"/>
        </w:rPr>
      </w:pPr>
      <w:r>
        <w:rPr>
          <w:rFonts w:ascii="Times New Roman" w:eastAsia="Times New Roman"/>
          <w:color w:val="auto"/>
          <w:highlight w:val="none"/>
        </w:rPr>
        <w:t xml:space="preserve">U </w:t>
      </w:r>
      <w:r>
        <w:rPr>
          <w:color w:val="auto"/>
          <w:highlight w:val="none"/>
        </w:rPr>
        <w:t>盘上贴注格式如下：</w:t>
      </w:r>
    </w:p>
    <w:p>
      <w:pPr>
        <w:spacing w:line="267" w:lineRule="exact"/>
        <w:rPr>
          <w:color w:val="auto"/>
          <w:highlight w:val="none"/>
        </w:rPr>
        <w:sectPr>
          <w:pgSz w:w="11910" w:h="16840"/>
          <w:pgMar w:top="1520" w:right="841" w:bottom="1040" w:left="860" w:header="0" w:footer="856" w:gutter="0"/>
          <w:cols w:space="720" w:num="1"/>
        </w:sectPr>
      </w:pPr>
    </w:p>
    <w:p>
      <w:pPr>
        <w:pStyle w:val="2"/>
        <w:ind w:left="1760"/>
        <w:rPr>
          <w:color w:val="auto"/>
          <w:sz w:val="20"/>
          <w:highlight w:val="none"/>
        </w:rPr>
      </w:pPr>
      <w:r>
        <w:rPr>
          <w:color w:val="auto"/>
          <w:sz w:val="20"/>
          <w:highlight w:val="none"/>
        </w:rPr>
        <w:pict>
          <v:shape id="_x0000_s1026" o:spid="_x0000_s1026" o:spt="202" type="#_x0000_t202" style="height:67.3pt;width:332.85pt;" filled="f" stroked="t" coordsize="21600,21600" o:gfxdata="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K5sizUAAAABQEAAA8AAAAAAAAAAQAg&#10;AAAAIgAAAGRycy9kb3ducmV2LnhtbFBLAQIUABQAAAAIAIdO4kAwWAnzEgIAADEEAAAOAAAAAAAA&#10;AAEAIAAAACMBAABkcnMvZTJvRG9jLnhtbFBLBQYAAAAABgAGAFkBAACnBQAAAAA=&#10;">
            <v:path/>
            <v:fill on="f" focussize="0,0"/>
            <v:stroke weight="0.48pt" color="#000000" joinstyle="miter"/>
            <v:imagedata o:title=""/>
            <o:lock v:ext="edit" aspectratio="f"/>
            <v:textbox inset="0mm,0mm,0mm,0mm">
              <w:txbxContent>
                <w:p>
                  <w:pPr>
                    <w:pStyle w:val="2"/>
                    <w:tabs>
                      <w:tab w:val="left" w:pos="4458"/>
                    </w:tabs>
                    <w:spacing w:before="184" w:line="364" w:lineRule="auto"/>
                    <w:ind w:left="103" w:right="2187"/>
                    <w:rPr>
                      <w:rFonts w:ascii="Times New Roman" w:eastAsia="Times New Roman"/>
                    </w:rPr>
                  </w:pPr>
                  <w:r>
                    <w:rPr>
                      <w:w w:val="95"/>
                    </w:rPr>
                    <w:t>项目名称：</w:t>
                  </w:r>
                  <w:r>
                    <w:rPr>
                      <w:w w:val="95"/>
                      <w:u w:val="single"/>
                    </w:rPr>
                    <w:tab/>
                  </w:r>
                  <w:r>
                    <w:rPr>
                      <w:w w:val="95"/>
                    </w:rPr>
                    <w:t>供应商名称：</w:t>
                  </w:r>
                  <w:r>
                    <w:rPr>
                      <w:rFonts w:ascii="Times New Roman" w:eastAsia="Times New Roman"/>
                      <w:u w:val="single"/>
                    </w:rPr>
                    <w:tab/>
                  </w:r>
                </w:p>
              </w:txbxContent>
            </v:textbox>
            <w10:wrap type="none"/>
            <w10:anchorlock/>
          </v:shape>
        </w:pict>
      </w:r>
    </w:p>
    <w:p>
      <w:pPr>
        <w:pStyle w:val="2"/>
        <w:spacing w:before="12"/>
        <w:rPr>
          <w:color w:val="auto"/>
          <w:sz w:val="15"/>
          <w:highlight w:val="none"/>
        </w:rPr>
      </w:pPr>
    </w:p>
    <w:p>
      <w:pPr>
        <w:pStyle w:val="12"/>
        <w:numPr>
          <w:ilvl w:val="0"/>
          <w:numId w:val="8"/>
        </w:numPr>
        <w:tabs>
          <w:tab w:val="left" w:pos="1194"/>
        </w:tabs>
        <w:spacing w:before="79" w:line="374" w:lineRule="auto"/>
        <w:ind w:right="235" w:firstLine="420"/>
        <w:rPr>
          <w:color w:val="auto"/>
          <w:highlight w:val="none"/>
        </w:rPr>
      </w:pPr>
      <w:r>
        <w:rPr>
          <w:color w:val="auto"/>
          <w:spacing w:val="4"/>
          <w:highlight w:val="none"/>
        </w:rPr>
        <w:t>装订要求：响应文件应用</w:t>
      </w:r>
      <w:r>
        <w:rPr>
          <w:rFonts w:ascii="Times New Roman" w:eastAsia="Times New Roman"/>
          <w:color w:val="auto"/>
          <w:highlight w:val="none"/>
        </w:rPr>
        <w:t>A4</w:t>
      </w:r>
      <w:r>
        <w:rPr>
          <w:color w:val="auto"/>
          <w:highlight w:val="none"/>
        </w:rPr>
        <w:t>纸胶装成册并从目录页标注连续页码，不允许活页装订，并逐</w:t>
      </w:r>
      <w:r>
        <w:rPr>
          <w:color w:val="auto"/>
          <w:spacing w:val="-3"/>
          <w:highlight w:val="none"/>
        </w:rPr>
        <w:t>页加盖公章，采购人不承担因此造成的任何后果。</w:t>
      </w:r>
    </w:p>
    <w:p>
      <w:pPr>
        <w:pStyle w:val="12"/>
        <w:numPr>
          <w:ilvl w:val="0"/>
          <w:numId w:val="8"/>
        </w:numPr>
        <w:tabs>
          <w:tab w:val="left" w:pos="1191"/>
        </w:tabs>
        <w:spacing w:before="1" w:line="374" w:lineRule="auto"/>
        <w:ind w:right="237" w:firstLine="420"/>
        <w:rPr>
          <w:color w:val="auto"/>
          <w:highlight w:val="none"/>
        </w:rPr>
      </w:pPr>
      <w:r>
        <w:rPr>
          <w:color w:val="auto"/>
          <w:spacing w:val="-5"/>
          <w:highlight w:val="none"/>
        </w:rPr>
        <w:t>封套上应载明的信息：信封封套表面应标明供应商名称。封套的封口处加盖供应商单位公章</w:t>
      </w:r>
      <w:r>
        <w:rPr>
          <w:color w:val="auto"/>
          <w:spacing w:val="-3"/>
          <w:highlight w:val="none"/>
        </w:rPr>
        <w:t>或由法定代表人（</w:t>
      </w:r>
      <w:r>
        <w:rPr>
          <w:color w:val="auto"/>
          <w:spacing w:val="-1"/>
          <w:highlight w:val="none"/>
        </w:rPr>
        <w:t>单位负责人</w:t>
      </w:r>
      <w:r>
        <w:rPr>
          <w:color w:val="auto"/>
          <w:spacing w:val="-3"/>
          <w:highlight w:val="none"/>
        </w:rPr>
        <w:t>）或其授权的代理人签字。</w:t>
      </w:r>
    </w:p>
    <w:p>
      <w:pPr>
        <w:pStyle w:val="2"/>
        <w:spacing w:before="9"/>
        <w:rPr>
          <w:color w:val="auto"/>
          <w:sz w:val="23"/>
          <w:highlight w:val="none"/>
        </w:rPr>
      </w:pPr>
    </w:p>
    <w:p>
      <w:pPr>
        <w:pStyle w:val="8"/>
        <w:numPr>
          <w:ilvl w:val="0"/>
          <w:numId w:val="4"/>
        </w:numPr>
        <w:tabs>
          <w:tab w:val="left" w:pos="571"/>
        </w:tabs>
        <w:rPr>
          <w:color w:val="auto"/>
          <w:highlight w:val="none"/>
        </w:rPr>
      </w:pPr>
      <w:r>
        <w:rPr>
          <w:color w:val="auto"/>
          <w:spacing w:val="-3"/>
          <w:highlight w:val="none"/>
        </w:rPr>
        <w:t>响应文件的递交</w:t>
      </w:r>
    </w:p>
    <w:p>
      <w:pPr>
        <w:pStyle w:val="8"/>
        <w:numPr>
          <w:ilvl w:val="1"/>
          <w:numId w:val="4"/>
        </w:numPr>
        <w:tabs>
          <w:tab w:val="left" w:pos="640"/>
        </w:tabs>
        <w:spacing w:before="127"/>
        <w:ind w:left="640" w:hanging="420"/>
        <w:rPr>
          <w:color w:val="auto"/>
          <w:highlight w:val="none"/>
        </w:rPr>
      </w:pPr>
      <w:r>
        <w:rPr>
          <w:color w:val="auto"/>
          <w:spacing w:val="-3"/>
          <w:highlight w:val="none"/>
        </w:rPr>
        <w:t>响应文件的密封和标记</w:t>
      </w:r>
    </w:p>
    <w:p>
      <w:pPr>
        <w:pStyle w:val="21"/>
        <w:numPr>
          <w:ilvl w:val="2"/>
          <w:numId w:val="4"/>
        </w:numPr>
        <w:tabs>
          <w:tab w:val="left" w:pos="1135"/>
          <w:tab w:val="left" w:pos="3063"/>
          <w:tab w:val="left" w:pos="6927"/>
        </w:tabs>
        <w:spacing w:before="253" w:line="374" w:lineRule="auto"/>
        <w:ind w:left="640" w:right="3277" w:firstLine="0"/>
        <w:rPr>
          <w:rFonts w:ascii="黑体" w:eastAsia="黑体"/>
          <w:b/>
          <w:color w:val="auto"/>
          <w:highlight w:val="none"/>
        </w:rPr>
      </w:pPr>
      <w:r>
        <w:rPr>
          <w:color w:val="auto"/>
          <w:highlight w:val="none"/>
        </w:rPr>
        <w:t>响</w:t>
      </w:r>
      <w:r>
        <w:rPr>
          <w:color w:val="auto"/>
          <w:spacing w:val="-3"/>
          <w:highlight w:val="none"/>
        </w:rPr>
        <w:t>应</w:t>
      </w:r>
      <w:r>
        <w:rPr>
          <w:color w:val="auto"/>
          <w:highlight w:val="none"/>
        </w:rPr>
        <w:t>文件</w:t>
      </w:r>
      <w:r>
        <w:rPr>
          <w:color w:val="auto"/>
          <w:spacing w:val="-3"/>
          <w:highlight w:val="none"/>
        </w:rPr>
        <w:t>正</w:t>
      </w:r>
      <w:r>
        <w:rPr>
          <w:color w:val="auto"/>
          <w:highlight w:val="none"/>
        </w:rPr>
        <w:t>、副</w:t>
      </w:r>
      <w:r>
        <w:rPr>
          <w:color w:val="auto"/>
          <w:spacing w:val="-3"/>
          <w:highlight w:val="none"/>
        </w:rPr>
        <w:t>本</w:t>
      </w:r>
      <w:r>
        <w:rPr>
          <w:color w:val="auto"/>
          <w:highlight w:val="none"/>
        </w:rPr>
        <w:t>应密</w:t>
      </w:r>
      <w:r>
        <w:rPr>
          <w:color w:val="auto"/>
          <w:spacing w:val="-3"/>
          <w:highlight w:val="none"/>
        </w:rPr>
        <w:t>封</w:t>
      </w:r>
      <w:r>
        <w:rPr>
          <w:color w:val="auto"/>
          <w:highlight w:val="none"/>
        </w:rPr>
        <w:t>包装</w:t>
      </w:r>
      <w:r>
        <w:rPr>
          <w:color w:val="auto"/>
          <w:spacing w:val="-3"/>
          <w:highlight w:val="none"/>
        </w:rPr>
        <w:t>在</w:t>
      </w:r>
      <w:r>
        <w:rPr>
          <w:color w:val="auto"/>
          <w:highlight w:val="none"/>
        </w:rPr>
        <w:t>一个</w:t>
      </w:r>
      <w:r>
        <w:rPr>
          <w:color w:val="auto"/>
          <w:spacing w:val="-3"/>
          <w:highlight w:val="none"/>
        </w:rPr>
        <w:t>封</w:t>
      </w:r>
      <w:r>
        <w:rPr>
          <w:color w:val="auto"/>
          <w:highlight w:val="none"/>
        </w:rPr>
        <w:t>套内</w:t>
      </w:r>
      <w:r>
        <w:rPr>
          <w:color w:val="auto"/>
          <w:spacing w:val="-3"/>
          <w:highlight w:val="none"/>
        </w:rPr>
        <w:t>，</w:t>
      </w:r>
      <w:r>
        <w:rPr>
          <w:color w:val="auto"/>
          <w:highlight w:val="none"/>
        </w:rPr>
        <w:t>封套</w:t>
      </w:r>
      <w:r>
        <w:rPr>
          <w:color w:val="auto"/>
          <w:spacing w:val="-3"/>
          <w:highlight w:val="none"/>
        </w:rPr>
        <w:t>上</w:t>
      </w:r>
      <w:r>
        <w:rPr>
          <w:color w:val="auto"/>
          <w:highlight w:val="none"/>
        </w:rPr>
        <w:t xml:space="preserve">注明： </w:t>
      </w:r>
      <w:r>
        <w:rPr>
          <w:b/>
          <w:color w:val="auto"/>
          <w:highlight w:val="none"/>
        </w:rPr>
        <w:t>供应商名称：</w:t>
      </w:r>
      <w:r>
        <w:rPr>
          <w:b/>
          <w:color w:val="auto"/>
          <w:highlight w:val="none"/>
          <w:u w:val="thick"/>
        </w:rPr>
        <w:tab/>
      </w:r>
      <w:r>
        <w:rPr>
          <w:rFonts w:hint="eastAsia" w:ascii="黑体" w:eastAsia="黑体"/>
          <w:b/>
          <w:color w:val="auto"/>
          <w:spacing w:val="-1"/>
          <w:highlight w:val="none"/>
          <w:u w:val="thick"/>
        </w:rPr>
        <w:t>（供应商单位全称，自行填写</w:t>
      </w:r>
      <w:r>
        <w:rPr>
          <w:rFonts w:hint="eastAsia" w:ascii="黑体" w:eastAsia="黑体"/>
          <w:b/>
          <w:color w:val="auto"/>
          <w:highlight w:val="none"/>
          <w:u w:val="thick"/>
        </w:rPr>
        <w:t>）</w:t>
      </w:r>
      <w:r>
        <w:rPr>
          <w:rFonts w:hint="eastAsia" w:ascii="黑体" w:eastAsia="黑体"/>
          <w:b/>
          <w:color w:val="auto"/>
          <w:highlight w:val="none"/>
          <w:u w:val="thick"/>
        </w:rPr>
        <w:tab/>
      </w:r>
    </w:p>
    <w:p>
      <w:pPr>
        <w:pStyle w:val="11"/>
        <w:spacing w:line="374" w:lineRule="auto"/>
        <w:rPr>
          <w:bCs w:val="0"/>
          <w:color w:val="auto"/>
          <w:highlight w:val="none"/>
          <w:u w:val="none"/>
        </w:rPr>
      </w:pPr>
      <w:r>
        <w:rPr>
          <w:rFonts w:hint="eastAsia" w:ascii="黑体" w:hAnsi="黑体" w:eastAsia="黑体" w:cs="黑体"/>
          <w:bCs w:val="0"/>
          <w:color w:val="auto"/>
          <w:highlight w:val="none"/>
        </w:rPr>
        <w:t>五河至蒙城高速公路中心试验室路基仪器设备采购</w:t>
      </w:r>
      <w:r>
        <w:rPr>
          <w:rFonts w:hint="eastAsia" w:ascii="黑体" w:hAnsi="黑体" w:eastAsia="黑体" w:cs="黑体"/>
          <w:bCs w:val="0"/>
          <w:color w:val="auto"/>
          <w:highlight w:val="none"/>
          <w:lang w:eastAsia="zh-CN"/>
        </w:rPr>
        <w:t>（</w:t>
      </w:r>
      <w:r>
        <w:rPr>
          <w:rFonts w:hint="eastAsia" w:ascii="黑体" w:hAnsi="黑体" w:eastAsia="黑体" w:cs="黑体"/>
          <w:bCs w:val="0"/>
          <w:color w:val="auto"/>
          <w:highlight w:val="none"/>
          <w:lang w:val="en-US" w:eastAsia="zh-CN"/>
        </w:rPr>
        <w:t>二次）</w:t>
      </w:r>
      <w:r>
        <w:rPr>
          <w:rFonts w:hint="eastAsia" w:ascii="黑体" w:hAnsi="黑体" w:eastAsia="黑体" w:cs="黑体"/>
          <w:bCs w:val="0"/>
          <w:color w:val="auto"/>
          <w:highlight w:val="none"/>
        </w:rPr>
        <w:t>响应文件在202</w:t>
      </w:r>
      <w:r>
        <w:rPr>
          <w:rFonts w:hint="eastAsia" w:ascii="黑体" w:hAnsi="黑体" w:eastAsia="黑体" w:cs="黑体"/>
          <w:bCs w:val="0"/>
          <w:color w:val="auto"/>
          <w:highlight w:val="none"/>
          <w:lang w:val="en-US"/>
        </w:rPr>
        <w:t>3</w:t>
      </w:r>
      <w:r>
        <w:rPr>
          <w:rFonts w:hint="eastAsia" w:ascii="黑体" w:hAnsi="黑体" w:eastAsia="黑体" w:cs="黑体"/>
          <w:bCs w:val="0"/>
          <w:color w:val="auto"/>
          <w:highlight w:val="none"/>
        </w:rPr>
        <w:t xml:space="preserve"> 年 0</w:t>
      </w:r>
      <w:r>
        <w:rPr>
          <w:rFonts w:hint="eastAsia" w:ascii="黑体" w:hAnsi="黑体" w:eastAsia="黑体" w:cs="黑体"/>
          <w:bCs w:val="0"/>
          <w:color w:val="auto"/>
          <w:highlight w:val="none"/>
          <w:lang w:val="en-US" w:eastAsia="zh-CN"/>
        </w:rPr>
        <w:t>2</w:t>
      </w:r>
      <w:r>
        <w:rPr>
          <w:rFonts w:hint="eastAsia" w:ascii="黑体" w:hAnsi="黑体" w:eastAsia="黑体" w:cs="黑体"/>
          <w:bCs w:val="0"/>
          <w:color w:val="auto"/>
          <w:highlight w:val="none"/>
        </w:rPr>
        <w:t xml:space="preserve"> 月 </w:t>
      </w:r>
      <w:r>
        <w:rPr>
          <w:rFonts w:hint="eastAsia" w:ascii="黑体" w:hAnsi="黑体" w:eastAsia="黑体" w:cs="黑体"/>
          <w:bCs w:val="0"/>
          <w:color w:val="auto"/>
          <w:highlight w:val="none"/>
          <w:lang w:val="en-US" w:eastAsia="zh-CN"/>
        </w:rPr>
        <w:t xml:space="preserve">03 </w:t>
      </w:r>
      <w:r>
        <w:rPr>
          <w:rFonts w:hint="eastAsia" w:ascii="黑体" w:hAnsi="黑体" w:eastAsia="黑体" w:cs="黑体"/>
          <w:bCs w:val="0"/>
          <w:color w:val="auto"/>
          <w:highlight w:val="none"/>
        </w:rPr>
        <w:t xml:space="preserve">日 </w:t>
      </w:r>
      <w:r>
        <w:rPr>
          <w:rFonts w:hint="eastAsia" w:ascii="黑体" w:hAnsi="黑体" w:eastAsia="黑体" w:cs="黑体"/>
          <w:bCs w:val="0"/>
          <w:color w:val="auto"/>
          <w:highlight w:val="none"/>
          <w:lang w:val="en-US"/>
        </w:rPr>
        <w:t>10</w:t>
      </w:r>
      <w:r>
        <w:rPr>
          <w:rFonts w:hint="eastAsia" w:ascii="黑体" w:hAnsi="黑体" w:eastAsia="黑体" w:cs="黑体"/>
          <w:bCs w:val="0"/>
          <w:color w:val="auto"/>
          <w:highlight w:val="none"/>
        </w:rPr>
        <w:t xml:space="preserve"> 时 </w:t>
      </w:r>
      <w:r>
        <w:rPr>
          <w:rFonts w:hint="eastAsia" w:ascii="黑体" w:hAnsi="黑体" w:eastAsia="黑体" w:cs="黑体"/>
          <w:bCs w:val="0"/>
          <w:color w:val="auto"/>
          <w:highlight w:val="none"/>
          <w:lang w:val="en-US"/>
        </w:rPr>
        <w:t>0</w:t>
      </w:r>
      <w:r>
        <w:rPr>
          <w:rFonts w:hint="eastAsia" w:ascii="黑体" w:hAnsi="黑体" w:eastAsia="黑体" w:cs="黑体"/>
          <w:bCs w:val="0"/>
          <w:color w:val="auto"/>
          <w:highlight w:val="none"/>
        </w:rPr>
        <w:t>0 分</w:t>
      </w:r>
      <w:r>
        <w:rPr>
          <w:bCs w:val="0"/>
          <w:color w:val="auto"/>
          <w:highlight w:val="none"/>
          <w:u w:val="none"/>
        </w:rPr>
        <w:t>（递交响应文件的截止时间）前不得开启</w:t>
      </w:r>
    </w:p>
    <w:p>
      <w:pPr>
        <w:pStyle w:val="12"/>
        <w:numPr>
          <w:ilvl w:val="2"/>
          <w:numId w:val="4"/>
        </w:numPr>
        <w:tabs>
          <w:tab w:val="left" w:pos="1135"/>
        </w:tabs>
        <w:spacing w:before="0" w:line="281" w:lineRule="exact"/>
        <w:ind w:left="1134" w:hanging="495"/>
        <w:rPr>
          <w:color w:val="auto"/>
          <w:highlight w:val="none"/>
        </w:rPr>
      </w:pPr>
      <w:r>
        <w:rPr>
          <w:color w:val="auto"/>
          <w:spacing w:val="-12"/>
          <w:highlight w:val="none"/>
        </w:rPr>
        <w:t xml:space="preserve">未按本章第 </w:t>
      </w:r>
      <w:r>
        <w:rPr>
          <w:rFonts w:ascii="Times New Roman" w:eastAsia="Times New Roman"/>
          <w:color w:val="auto"/>
          <w:highlight w:val="none"/>
        </w:rPr>
        <w:t xml:space="preserve">4.1.1 </w:t>
      </w:r>
      <w:r>
        <w:rPr>
          <w:color w:val="auto"/>
          <w:spacing w:val="-3"/>
          <w:highlight w:val="none"/>
        </w:rPr>
        <w:t>项要求密封的响应文件，采购人将予以拒收。</w:t>
      </w:r>
    </w:p>
    <w:p>
      <w:pPr>
        <w:pStyle w:val="8"/>
        <w:numPr>
          <w:ilvl w:val="1"/>
          <w:numId w:val="4"/>
        </w:numPr>
        <w:tabs>
          <w:tab w:val="left" w:pos="710"/>
        </w:tabs>
        <w:spacing w:before="148"/>
        <w:rPr>
          <w:color w:val="auto"/>
          <w:highlight w:val="none"/>
        </w:rPr>
      </w:pPr>
      <w:r>
        <w:rPr>
          <w:color w:val="auto"/>
          <w:spacing w:val="-3"/>
          <w:highlight w:val="none"/>
        </w:rPr>
        <w:t>响应文件的递交</w:t>
      </w:r>
    </w:p>
    <w:p>
      <w:pPr>
        <w:pStyle w:val="12"/>
        <w:numPr>
          <w:ilvl w:val="2"/>
          <w:numId w:val="4"/>
        </w:numPr>
        <w:tabs>
          <w:tab w:val="left" w:pos="1135"/>
        </w:tabs>
        <w:spacing w:before="256"/>
        <w:ind w:left="1134" w:hanging="495"/>
        <w:rPr>
          <w:color w:val="auto"/>
          <w:highlight w:val="none"/>
        </w:rPr>
      </w:pPr>
      <w:r>
        <w:rPr>
          <w:color w:val="auto"/>
          <w:spacing w:val="-3"/>
          <w:highlight w:val="none"/>
        </w:rPr>
        <w:t>供应商应当按照第一章</w:t>
      </w:r>
      <w:r>
        <w:rPr>
          <w:rFonts w:ascii="Times New Roman" w:hAnsi="Times New Roman" w:eastAsia="Times New Roman"/>
          <w:color w:val="auto"/>
          <w:spacing w:val="-3"/>
          <w:highlight w:val="none"/>
        </w:rPr>
        <w:t>“</w:t>
      </w:r>
      <w:r>
        <w:rPr>
          <w:color w:val="auto"/>
          <w:spacing w:val="-2"/>
          <w:highlight w:val="none"/>
        </w:rPr>
        <w:t>采购公告</w:t>
      </w:r>
      <w:r>
        <w:rPr>
          <w:rFonts w:ascii="Times New Roman" w:hAnsi="Times New Roman" w:eastAsia="Times New Roman"/>
          <w:color w:val="auto"/>
          <w:highlight w:val="none"/>
        </w:rPr>
        <w:t>”</w:t>
      </w:r>
      <w:r>
        <w:rPr>
          <w:color w:val="auto"/>
          <w:spacing w:val="-29"/>
          <w:highlight w:val="none"/>
        </w:rPr>
        <w:t xml:space="preserve">第 </w:t>
      </w:r>
      <w:r>
        <w:rPr>
          <w:rFonts w:ascii="Times New Roman" w:hAnsi="Times New Roman" w:eastAsia="Times New Roman"/>
          <w:color w:val="auto"/>
          <w:highlight w:val="none"/>
        </w:rPr>
        <w:t xml:space="preserve">5 </w:t>
      </w:r>
      <w:r>
        <w:rPr>
          <w:color w:val="auto"/>
          <w:spacing w:val="-3"/>
          <w:highlight w:val="none"/>
        </w:rPr>
        <w:t>条的规定递交响应文件。</w:t>
      </w:r>
    </w:p>
    <w:p>
      <w:pPr>
        <w:pStyle w:val="12"/>
        <w:numPr>
          <w:ilvl w:val="2"/>
          <w:numId w:val="4"/>
        </w:numPr>
        <w:tabs>
          <w:tab w:val="left" w:pos="1190"/>
        </w:tabs>
        <w:spacing w:line="376" w:lineRule="auto"/>
        <w:ind w:right="237" w:firstLine="420"/>
        <w:rPr>
          <w:color w:val="auto"/>
          <w:highlight w:val="none"/>
        </w:rPr>
      </w:pPr>
      <w:r>
        <w:rPr>
          <w:color w:val="auto"/>
          <w:spacing w:val="-7"/>
          <w:highlight w:val="none"/>
        </w:rPr>
        <w:t xml:space="preserve">递交响应文件的供应商数量不足 </w:t>
      </w:r>
      <w:r>
        <w:rPr>
          <w:rFonts w:ascii="Times New Roman" w:eastAsia="Times New Roman"/>
          <w:color w:val="auto"/>
          <w:highlight w:val="none"/>
        </w:rPr>
        <w:t>3</w:t>
      </w:r>
      <w:r>
        <w:rPr>
          <w:color w:val="auto"/>
          <w:spacing w:val="-6"/>
          <w:highlight w:val="none"/>
        </w:rPr>
        <w:t>家时，采购人将宣布本次采购失败，并退还已递交的响应</w:t>
      </w:r>
      <w:r>
        <w:rPr>
          <w:color w:val="auto"/>
          <w:spacing w:val="-4"/>
          <w:highlight w:val="none"/>
        </w:rPr>
        <w:t>文件。</w:t>
      </w:r>
    </w:p>
    <w:p>
      <w:pPr>
        <w:pStyle w:val="12"/>
        <w:numPr>
          <w:ilvl w:val="2"/>
          <w:numId w:val="4"/>
        </w:numPr>
        <w:tabs>
          <w:tab w:val="left" w:pos="1190"/>
        </w:tabs>
        <w:spacing w:before="0" w:line="278" w:lineRule="exact"/>
        <w:ind w:left="1189"/>
        <w:rPr>
          <w:color w:val="auto"/>
          <w:highlight w:val="none"/>
        </w:rPr>
      </w:pPr>
      <w:r>
        <w:rPr>
          <w:color w:val="auto"/>
          <w:spacing w:val="-20"/>
          <w:highlight w:val="none"/>
        </w:rPr>
        <w:t xml:space="preserve">除第 </w:t>
      </w:r>
      <w:r>
        <w:rPr>
          <w:rFonts w:ascii="Times New Roman" w:eastAsia="Times New Roman"/>
          <w:color w:val="auto"/>
          <w:highlight w:val="none"/>
        </w:rPr>
        <w:t xml:space="preserve">4.2.2 </w:t>
      </w:r>
      <w:r>
        <w:rPr>
          <w:color w:val="auto"/>
          <w:spacing w:val="-3"/>
          <w:highlight w:val="none"/>
        </w:rPr>
        <w:t>项规定外，供应商所递交的响应文件不予退还。</w:t>
      </w:r>
    </w:p>
    <w:p>
      <w:pPr>
        <w:pStyle w:val="8"/>
        <w:numPr>
          <w:ilvl w:val="0"/>
          <w:numId w:val="4"/>
        </w:numPr>
        <w:tabs>
          <w:tab w:val="left" w:pos="571"/>
        </w:tabs>
        <w:spacing w:before="148"/>
        <w:rPr>
          <w:color w:val="auto"/>
          <w:highlight w:val="none"/>
        </w:rPr>
      </w:pPr>
      <w:r>
        <w:rPr>
          <w:color w:val="auto"/>
          <w:highlight w:val="none"/>
        </w:rPr>
        <w:t>启封</w:t>
      </w:r>
    </w:p>
    <w:p>
      <w:pPr>
        <w:pStyle w:val="8"/>
        <w:numPr>
          <w:ilvl w:val="1"/>
          <w:numId w:val="4"/>
        </w:numPr>
        <w:tabs>
          <w:tab w:val="left" w:pos="710"/>
        </w:tabs>
        <w:spacing w:before="123"/>
        <w:rPr>
          <w:color w:val="auto"/>
          <w:highlight w:val="none"/>
        </w:rPr>
      </w:pPr>
      <w:r>
        <w:rPr>
          <w:color w:val="auto"/>
          <w:spacing w:val="-3"/>
          <w:highlight w:val="none"/>
        </w:rPr>
        <w:t>启封时间和地点</w:t>
      </w:r>
    </w:p>
    <w:p>
      <w:pPr>
        <w:pStyle w:val="12"/>
        <w:spacing w:before="256"/>
        <w:ind w:left="640" w:firstLine="0"/>
        <w:rPr>
          <w:rFonts w:ascii="Times New Roman" w:hAnsi="Times New Roman" w:eastAsia="Times New Roman"/>
          <w:color w:val="auto"/>
          <w:highlight w:val="none"/>
        </w:rPr>
      </w:pPr>
      <w:r>
        <w:rPr>
          <w:color w:val="auto"/>
          <w:highlight w:val="none"/>
        </w:rPr>
        <w:t xml:space="preserve">采购人在本章第 </w:t>
      </w:r>
      <w:r>
        <w:rPr>
          <w:rFonts w:ascii="Times New Roman" w:hAnsi="Times New Roman" w:eastAsia="Times New Roman"/>
          <w:color w:val="auto"/>
          <w:highlight w:val="none"/>
        </w:rPr>
        <w:t xml:space="preserve">4.2.1 </w:t>
      </w:r>
      <w:r>
        <w:rPr>
          <w:color w:val="auto"/>
          <w:highlight w:val="none"/>
        </w:rPr>
        <w:t>项规定的响应文件递交截止时间（启封时间），按照第一章</w:t>
      </w:r>
      <w:r>
        <w:rPr>
          <w:rFonts w:ascii="Times New Roman" w:hAnsi="Times New Roman" w:eastAsia="Times New Roman"/>
          <w:color w:val="auto"/>
          <w:highlight w:val="none"/>
        </w:rPr>
        <w:t>“</w:t>
      </w:r>
      <w:r>
        <w:rPr>
          <w:color w:val="auto"/>
          <w:highlight w:val="none"/>
        </w:rPr>
        <w:t>采购公告</w:t>
      </w:r>
      <w:r>
        <w:rPr>
          <w:rFonts w:ascii="Times New Roman" w:hAnsi="Times New Roman" w:eastAsia="Times New Roman"/>
          <w:color w:val="auto"/>
          <w:highlight w:val="none"/>
        </w:rPr>
        <w:t>”</w:t>
      </w:r>
      <w:r>
        <w:rPr>
          <w:color w:val="auto"/>
          <w:highlight w:val="none"/>
        </w:rPr>
        <w:t xml:space="preserve">第 </w:t>
      </w:r>
      <w:r>
        <w:rPr>
          <w:rFonts w:ascii="Times New Roman" w:hAnsi="Times New Roman" w:eastAsia="Times New Roman"/>
          <w:color w:val="auto"/>
          <w:highlight w:val="none"/>
        </w:rPr>
        <w:t>6</w:t>
      </w:r>
    </w:p>
    <w:p>
      <w:pPr>
        <w:pStyle w:val="12"/>
        <w:ind w:firstLine="0"/>
        <w:rPr>
          <w:color w:val="auto"/>
          <w:highlight w:val="none"/>
        </w:rPr>
      </w:pPr>
      <w:r>
        <w:rPr>
          <w:color w:val="auto"/>
          <w:highlight w:val="none"/>
        </w:rPr>
        <w:t>条的规定进行启封。</w:t>
      </w:r>
    </w:p>
    <w:p>
      <w:pPr>
        <w:pStyle w:val="12"/>
        <w:spacing w:before="158"/>
        <w:ind w:left="640" w:firstLine="0"/>
        <w:rPr>
          <w:color w:val="auto"/>
          <w:highlight w:val="none"/>
        </w:rPr>
      </w:pPr>
      <w:r>
        <w:rPr>
          <w:color w:val="auto"/>
          <w:highlight w:val="none"/>
        </w:rPr>
        <w:t>供应商若未派法定代表人或其委托代理人出席启封活动，视为该供应商默认启封结果。</w:t>
      </w:r>
    </w:p>
    <w:p>
      <w:pPr>
        <w:pStyle w:val="8"/>
        <w:numPr>
          <w:ilvl w:val="1"/>
          <w:numId w:val="4"/>
        </w:numPr>
        <w:tabs>
          <w:tab w:val="left" w:pos="640"/>
        </w:tabs>
        <w:spacing w:before="150"/>
        <w:ind w:left="640" w:hanging="420"/>
        <w:rPr>
          <w:color w:val="auto"/>
          <w:highlight w:val="none"/>
        </w:rPr>
      </w:pPr>
      <w:r>
        <w:rPr>
          <w:color w:val="auto"/>
          <w:spacing w:val="-2"/>
          <w:highlight w:val="none"/>
        </w:rPr>
        <w:t>启封程序</w:t>
      </w:r>
    </w:p>
    <w:p>
      <w:pPr>
        <w:pStyle w:val="12"/>
        <w:numPr>
          <w:ilvl w:val="2"/>
          <w:numId w:val="4"/>
        </w:numPr>
        <w:tabs>
          <w:tab w:val="left" w:pos="1135"/>
        </w:tabs>
        <w:spacing w:before="253"/>
        <w:ind w:left="1134" w:hanging="495"/>
        <w:rPr>
          <w:color w:val="auto"/>
          <w:highlight w:val="none"/>
        </w:rPr>
      </w:pPr>
      <w:r>
        <w:rPr>
          <w:color w:val="auto"/>
          <w:spacing w:val="-3"/>
          <w:highlight w:val="none"/>
        </w:rPr>
        <w:t>主持人按下列程序进行启封：</w:t>
      </w:r>
    </w:p>
    <w:p>
      <w:pPr>
        <w:pStyle w:val="12"/>
        <w:numPr>
          <w:ilvl w:val="0"/>
          <w:numId w:val="9"/>
        </w:numPr>
        <w:tabs>
          <w:tab w:val="left" w:pos="1191"/>
        </w:tabs>
        <w:rPr>
          <w:color w:val="auto"/>
          <w:highlight w:val="none"/>
        </w:rPr>
      </w:pPr>
      <w:r>
        <w:rPr>
          <w:color w:val="auto"/>
          <w:spacing w:val="-3"/>
          <w:highlight w:val="none"/>
        </w:rPr>
        <w:t>公布在响应文件递交截止时间前递交响应文件的供应商名称；</w:t>
      </w:r>
    </w:p>
    <w:p>
      <w:pPr>
        <w:pStyle w:val="12"/>
        <w:numPr>
          <w:ilvl w:val="0"/>
          <w:numId w:val="9"/>
        </w:numPr>
        <w:tabs>
          <w:tab w:val="left" w:pos="1191"/>
        </w:tabs>
        <w:spacing w:before="160"/>
        <w:rPr>
          <w:color w:val="auto"/>
          <w:highlight w:val="none"/>
        </w:rPr>
      </w:pPr>
      <w:r>
        <w:rPr>
          <w:color w:val="auto"/>
          <w:spacing w:val="-3"/>
          <w:highlight w:val="none"/>
        </w:rPr>
        <w:t>由供应商推选的代表检查响应文件的密封情况；</w:t>
      </w:r>
    </w:p>
    <w:p>
      <w:pPr>
        <w:rPr>
          <w:color w:val="auto"/>
          <w:highlight w:val="none"/>
        </w:rPr>
        <w:sectPr>
          <w:pgSz w:w="11910" w:h="16840"/>
          <w:pgMar w:top="1440" w:right="841" w:bottom="1040" w:left="860" w:header="0" w:footer="856" w:gutter="0"/>
          <w:cols w:space="720" w:num="1"/>
        </w:sectPr>
      </w:pPr>
    </w:p>
    <w:p>
      <w:pPr>
        <w:pStyle w:val="12"/>
        <w:numPr>
          <w:ilvl w:val="0"/>
          <w:numId w:val="9"/>
        </w:numPr>
        <w:tabs>
          <w:tab w:val="left" w:pos="1191"/>
        </w:tabs>
        <w:spacing w:before="54" w:line="374" w:lineRule="auto"/>
        <w:ind w:left="220" w:right="128" w:firstLine="420"/>
        <w:rPr>
          <w:color w:val="auto"/>
          <w:highlight w:val="none"/>
        </w:rPr>
      </w:pPr>
      <w:r>
        <w:rPr>
          <w:color w:val="auto"/>
          <w:spacing w:val="-10"/>
          <w:highlight w:val="none"/>
        </w:rPr>
        <w:t>对响应文件进行启封，公布供应商名称、合同包名称、报价、质量目标、安全目标、服务期、</w:t>
      </w:r>
      <w:r>
        <w:rPr>
          <w:color w:val="auto"/>
          <w:spacing w:val="-4"/>
          <w:highlight w:val="none"/>
        </w:rPr>
        <w:t>响应保证金递交情况及其他内容；</w:t>
      </w:r>
    </w:p>
    <w:p>
      <w:pPr>
        <w:pStyle w:val="12"/>
        <w:numPr>
          <w:ilvl w:val="0"/>
          <w:numId w:val="9"/>
        </w:numPr>
        <w:tabs>
          <w:tab w:val="left" w:pos="1191"/>
        </w:tabs>
        <w:spacing w:before="0" w:line="281" w:lineRule="exact"/>
        <w:rPr>
          <w:color w:val="auto"/>
          <w:highlight w:val="none"/>
        </w:rPr>
      </w:pPr>
      <w:r>
        <w:rPr>
          <w:color w:val="auto"/>
          <w:spacing w:val="-3"/>
          <w:highlight w:val="none"/>
        </w:rPr>
        <w:t>供应商代表、采购人代表、记录人等有关人员在启封记录上签名确认；</w:t>
      </w:r>
    </w:p>
    <w:p>
      <w:pPr>
        <w:pStyle w:val="12"/>
        <w:numPr>
          <w:ilvl w:val="0"/>
          <w:numId w:val="9"/>
        </w:numPr>
        <w:tabs>
          <w:tab w:val="left" w:pos="1191"/>
        </w:tabs>
        <w:spacing w:before="159"/>
        <w:rPr>
          <w:color w:val="auto"/>
          <w:highlight w:val="none"/>
        </w:rPr>
      </w:pPr>
      <w:r>
        <w:rPr>
          <w:color w:val="auto"/>
          <w:spacing w:val="-2"/>
          <w:highlight w:val="none"/>
        </w:rPr>
        <w:t>启封结束。</w:t>
      </w:r>
    </w:p>
    <w:p>
      <w:pPr>
        <w:pStyle w:val="12"/>
        <w:numPr>
          <w:ilvl w:val="2"/>
          <w:numId w:val="4"/>
        </w:numPr>
        <w:tabs>
          <w:tab w:val="left" w:pos="1135"/>
        </w:tabs>
        <w:spacing w:before="158"/>
        <w:ind w:left="1134" w:hanging="495"/>
        <w:rPr>
          <w:color w:val="auto"/>
          <w:highlight w:val="none"/>
        </w:rPr>
      </w:pPr>
      <w:r>
        <w:rPr>
          <w:color w:val="auto"/>
          <w:spacing w:val="-3"/>
          <w:highlight w:val="none"/>
        </w:rPr>
        <w:t>若采购人发现响应文件出现以下任一情况，其报价将不再参加评审：</w:t>
      </w:r>
    </w:p>
    <w:p>
      <w:pPr>
        <w:pStyle w:val="12"/>
        <w:numPr>
          <w:ilvl w:val="0"/>
          <w:numId w:val="10"/>
        </w:numPr>
        <w:tabs>
          <w:tab w:val="left" w:pos="1191"/>
        </w:tabs>
        <w:rPr>
          <w:color w:val="auto"/>
          <w:highlight w:val="none"/>
        </w:rPr>
      </w:pPr>
      <w:r>
        <w:rPr>
          <w:color w:val="auto"/>
          <w:spacing w:val="-3"/>
          <w:highlight w:val="none"/>
        </w:rPr>
        <w:t>报价超出采购人公布的最高限价；</w:t>
      </w:r>
    </w:p>
    <w:p>
      <w:pPr>
        <w:pStyle w:val="12"/>
        <w:numPr>
          <w:ilvl w:val="0"/>
          <w:numId w:val="10"/>
        </w:numPr>
        <w:tabs>
          <w:tab w:val="left" w:pos="1191"/>
        </w:tabs>
        <w:spacing w:before="160"/>
        <w:rPr>
          <w:color w:val="auto"/>
          <w:highlight w:val="none"/>
        </w:rPr>
      </w:pPr>
      <w:r>
        <w:rPr>
          <w:color w:val="auto"/>
          <w:spacing w:val="-3"/>
          <w:highlight w:val="none"/>
        </w:rPr>
        <w:t>未在报价函上填写总报价；</w:t>
      </w:r>
    </w:p>
    <w:p>
      <w:pPr>
        <w:pStyle w:val="12"/>
        <w:numPr>
          <w:ilvl w:val="0"/>
          <w:numId w:val="10"/>
        </w:numPr>
        <w:tabs>
          <w:tab w:val="left" w:pos="1191"/>
        </w:tabs>
        <w:rPr>
          <w:color w:val="auto"/>
          <w:highlight w:val="none"/>
        </w:rPr>
      </w:pPr>
      <w:r>
        <w:rPr>
          <w:color w:val="auto"/>
          <w:spacing w:val="-3"/>
          <w:highlight w:val="none"/>
        </w:rPr>
        <w:t>报价函中的报价与已标价的报价清单总报价不一致</w:t>
      </w:r>
      <w:r>
        <w:rPr>
          <w:color w:val="auto"/>
          <w:highlight w:val="none"/>
        </w:rPr>
        <w:t>（</w:t>
      </w:r>
      <w:r>
        <w:rPr>
          <w:color w:val="auto"/>
          <w:spacing w:val="-3"/>
          <w:highlight w:val="none"/>
        </w:rPr>
        <w:t>四舍五入除外</w:t>
      </w:r>
      <w:r>
        <w:rPr>
          <w:color w:val="auto"/>
          <w:highlight w:val="none"/>
        </w:rPr>
        <w:t>）；</w:t>
      </w:r>
    </w:p>
    <w:p>
      <w:pPr>
        <w:pStyle w:val="12"/>
        <w:numPr>
          <w:ilvl w:val="0"/>
          <w:numId w:val="10"/>
        </w:numPr>
        <w:tabs>
          <w:tab w:val="left" w:pos="1191"/>
        </w:tabs>
        <w:rPr>
          <w:color w:val="auto"/>
          <w:highlight w:val="none"/>
        </w:rPr>
      </w:pPr>
      <w:r>
        <w:rPr>
          <w:color w:val="auto"/>
          <w:spacing w:val="-3"/>
          <w:highlight w:val="none"/>
        </w:rPr>
        <w:t>未按要求提交响应保证金</w:t>
      </w:r>
      <w:r>
        <w:rPr>
          <w:color w:val="auto"/>
          <w:highlight w:val="none"/>
        </w:rPr>
        <w:t>（</w:t>
      </w:r>
      <w:r>
        <w:rPr>
          <w:color w:val="auto"/>
          <w:spacing w:val="-2"/>
          <w:highlight w:val="none"/>
        </w:rPr>
        <w:t>如有</w:t>
      </w:r>
      <w:r>
        <w:rPr>
          <w:color w:val="auto"/>
          <w:highlight w:val="none"/>
        </w:rPr>
        <w:t>）。</w:t>
      </w:r>
    </w:p>
    <w:p>
      <w:pPr>
        <w:pStyle w:val="12"/>
        <w:numPr>
          <w:ilvl w:val="2"/>
          <w:numId w:val="4"/>
        </w:numPr>
        <w:tabs>
          <w:tab w:val="left" w:pos="1135"/>
        </w:tabs>
        <w:spacing w:before="160"/>
        <w:ind w:left="1134" w:hanging="495"/>
        <w:rPr>
          <w:color w:val="auto"/>
          <w:highlight w:val="none"/>
        </w:rPr>
      </w:pPr>
      <w:r>
        <w:rPr>
          <w:color w:val="auto"/>
          <w:spacing w:val="-3"/>
          <w:highlight w:val="none"/>
        </w:rPr>
        <w:t>供应商在启封过程中有疑问的，应当在现场提出，采购人将当场作出答复。</w:t>
      </w:r>
    </w:p>
    <w:p>
      <w:pPr>
        <w:pStyle w:val="8"/>
        <w:numPr>
          <w:ilvl w:val="0"/>
          <w:numId w:val="4"/>
        </w:numPr>
        <w:tabs>
          <w:tab w:val="left" w:pos="571"/>
        </w:tabs>
        <w:spacing w:before="148"/>
        <w:rPr>
          <w:color w:val="auto"/>
          <w:highlight w:val="none"/>
        </w:rPr>
      </w:pPr>
      <w:r>
        <w:rPr>
          <w:color w:val="auto"/>
          <w:highlight w:val="none"/>
        </w:rPr>
        <w:t>评审</w:t>
      </w:r>
    </w:p>
    <w:p>
      <w:pPr>
        <w:pStyle w:val="8"/>
        <w:numPr>
          <w:ilvl w:val="1"/>
          <w:numId w:val="4"/>
        </w:numPr>
        <w:tabs>
          <w:tab w:val="left" w:pos="640"/>
        </w:tabs>
        <w:spacing w:before="123"/>
        <w:ind w:left="640" w:hanging="420"/>
        <w:rPr>
          <w:color w:val="auto"/>
          <w:highlight w:val="none"/>
        </w:rPr>
      </w:pPr>
      <w:r>
        <w:rPr>
          <w:color w:val="auto"/>
          <w:spacing w:val="-2"/>
          <w:highlight w:val="none"/>
        </w:rPr>
        <w:t>评审小组</w:t>
      </w:r>
    </w:p>
    <w:p>
      <w:pPr>
        <w:pStyle w:val="12"/>
        <w:spacing w:before="254"/>
        <w:ind w:left="640" w:firstLine="0"/>
        <w:rPr>
          <w:color w:val="auto"/>
          <w:highlight w:val="none"/>
        </w:rPr>
      </w:pPr>
      <w:r>
        <w:rPr>
          <w:color w:val="auto"/>
          <w:highlight w:val="none"/>
        </w:rPr>
        <w:t>评审由采购人自行组建的评审小组负责。评审小组人数：</w:t>
      </w:r>
      <w:r>
        <w:rPr>
          <w:rFonts w:ascii="Times New Roman" w:eastAsia="Times New Roman"/>
          <w:color w:val="auto"/>
          <w:highlight w:val="none"/>
        </w:rPr>
        <w:t xml:space="preserve">3~7 </w:t>
      </w:r>
      <w:r>
        <w:rPr>
          <w:color w:val="auto"/>
          <w:highlight w:val="none"/>
        </w:rPr>
        <w:t>人（单数）。</w:t>
      </w:r>
    </w:p>
    <w:p>
      <w:pPr>
        <w:pStyle w:val="8"/>
        <w:numPr>
          <w:ilvl w:val="1"/>
          <w:numId w:val="4"/>
        </w:numPr>
        <w:tabs>
          <w:tab w:val="left" w:pos="640"/>
        </w:tabs>
        <w:spacing w:before="150"/>
        <w:ind w:left="640" w:hanging="420"/>
        <w:rPr>
          <w:color w:val="auto"/>
          <w:highlight w:val="none"/>
        </w:rPr>
      </w:pPr>
      <w:r>
        <w:rPr>
          <w:color w:val="auto"/>
          <w:highlight w:val="none"/>
        </w:rPr>
        <w:t>评审</w:t>
      </w:r>
    </w:p>
    <w:p>
      <w:pPr>
        <w:pStyle w:val="12"/>
        <w:numPr>
          <w:ilvl w:val="2"/>
          <w:numId w:val="4"/>
        </w:numPr>
        <w:tabs>
          <w:tab w:val="left" w:pos="1135"/>
        </w:tabs>
        <w:spacing w:before="253"/>
        <w:ind w:left="1134" w:hanging="495"/>
        <w:rPr>
          <w:color w:val="auto"/>
          <w:highlight w:val="none"/>
        </w:rPr>
      </w:pPr>
      <w:r>
        <w:rPr>
          <w:color w:val="auto"/>
          <w:spacing w:val="-3"/>
          <w:highlight w:val="none"/>
        </w:rPr>
        <w:t>评审小组按照第三章</w:t>
      </w:r>
      <w:r>
        <w:rPr>
          <w:rFonts w:ascii="Times New Roman" w:hAnsi="Times New Roman" w:eastAsia="Times New Roman"/>
          <w:color w:val="auto"/>
          <w:highlight w:val="none"/>
        </w:rPr>
        <w:t>“</w:t>
      </w:r>
      <w:r>
        <w:rPr>
          <w:color w:val="auto"/>
          <w:spacing w:val="-3"/>
          <w:highlight w:val="none"/>
        </w:rPr>
        <w:t>评审办法</w:t>
      </w:r>
      <w:r>
        <w:rPr>
          <w:rFonts w:ascii="Times New Roman" w:hAnsi="Times New Roman" w:eastAsia="Times New Roman"/>
          <w:color w:val="auto"/>
          <w:highlight w:val="none"/>
        </w:rPr>
        <w:t>”</w:t>
      </w:r>
      <w:r>
        <w:rPr>
          <w:color w:val="auto"/>
          <w:spacing w:val="-3"/>
          <w:highlight w:val="none"/>
        </w:rPr>
        <w:t>规定的方法、评审因素、标准和程序对响应文件进行评审。</w:t>
      </w:r>
    </w:p>
    <w:p>
      <w:pPr>
        <w:pStyle w:val="12"/>
        <w:numPr>
          <w:ilvl w:val="2"/>
          <w:numId w:val="4"/>
        </w:numPr>
        <w:tabs>
          <w:tab w:val="left" w:pos="1135"/>
        </w:tabs>
        <w:spacing w:line="376" w:lineRule="auto"/>
        <w:ind w:right="237" w:firstLine="420"/>
        <w:rPr>
          <w:color w:val="auto"/>
          <w:highlight w:val="none"/>
        </w:rPr>
      </w:pPr>
      <w:r>
        <w:rPr>
          <w:color w:val="auto"/>
          <w:spacing w:val="-1"/>
          <w:highlight w:val="none"/>
        </w:rPr>
        <w:t>评审完成后，评审小组应向采购人提交书面评审报告和成交候选人名单。评审小组推荐成交</w:t>
      </w:r>
      <w:r>
        <w:rPr>
          <w:color w:val="auto"/>
          <w:spacing w:val="-3"/>
          <w:highlight w:val="none"/>
        </w:rPr>
        <w:t>候选人的家数为：</w:t>
      </w:r>
      <w:r>
        <w:rPr>
          <w:rFonts w:ascii="Times New Roman" w:eastAsia="Times New Roman"/>
          <w:color w:val="auto"/>
          <w:highlight w:val="none"/>
        </w:rPr>
        <w:t xml:space="preserve">1 </w:t>
      </w:r>
      <w:r>
        <w:rPr>
          <w:color w:val="auto"/>
          <w:highlight w:val="none"/>
        </w:rPr>
        <w:t>家。</w:t>
      </w:r>
    </w:p>
    <w:p>
      <w:pPr>
        <w:pStyle w:val="8"/>
        <w:numPr>
          <w:ilvl w:val="0"/>
          <w:numId w:val="4"/>
        </w:numPr>
        <w:tabs>
          <w:tab w:val="left" w:pos="571"/>
        </w:tabs>
        <w:spacing w:line="345" w:lineRule="exact"/>
        <w:rPr>
          <w:color w:val="auto"/>
          <w:highlight w:val="none"/>
        </w:rPr>
      </w:pPr>
      <w:r>
        <w:rPr>
          <w:color w:val="auto"/>
          <w:spacing w:val="-2"/>
          <w:highlight w:val="none"/>
        </w:rPr>
        <w:t>合同授予</w:t>
      </w:r>
    </w:p>
    <w:p>
      <w:pPr>
        <w:pStyle w:val="8"/>
        <w:numPr>
          <w:ilvl w:val="1"/>
          <w:numId w:val="4"/>
        </w:numPr>
        <w:tabs>
          <w:tab w:val="left" w:pos="640"/>
        </w:tabs>
        <w:spacing w:before="124"/>
        <w:ind w:left="640" w:hanging="420"/>
        <w:rPr>
          <w:color w:val="auto"/>
          <w:highlight w:val="none"/>
        </w:rPr>
      </w:pPr>
      <w:r>
        <w:rPr>
          <w:color w:val="auto"/>
          <w:spacing w:val="-3"/>
          <w:highlight w:val="none"/>
        </w:rPr>
        <w:t>成交候选人公示</w:t>
      </w:r>
    </w:p>
    <w:p>
      <w:pPr>
        <w:pStyle w:val="12"/>
        <w:spacing w:before="256"/>
        <w:ind w:left="640" w:firstLine="0"/>
        <w:rPr>
          <w:color w:val="auto"/>
          <w:highlight w:val="none"/>
        </w:rPr>
      </w:pPr>
      <w:r>
        <w:rPr>
          <w:color w:val="auto"/>
          <w:highlight w:val="none"/>
        </w:rPr>
        <w:t xml:space="preserve">本次采用公开询比方式采购，公示期为 </w:t>
      </w:r>
      <w:r>
        <w:rPr>
          <w:rFonts w:ascii="Times New Roman" w:eastAsia="Times New Roman"/>
          <w:color w:val="auto"/>
          <w:highlight w:val="none"/>
        </w:rPr>
        <w:t xml:space="preserve">2 </w:t>
      </w:r>
      <w:r>
        <w:rPr>
          <w:color w:val="auto"/>
          <w:highlight w:val="none"/>
        </w:rPr>
        <w:t>日。</w:t>
      </w:r>
    </w:p>
    <w:p>
      <w:pPr>
        <w:pStyle w:val="8"/>
        <w:numPr>
          <w:ilvl w:val="1"/>
          <w:numId w:val="4"/>
        </w:numPr>
        <w:tabs>
          <w:tab w:val="left" w:pos="640"/>
        </w:tabs>
        <w:spacing w:before="147"/>
        <w:ind w:left="640" w:hanging="420"/>
        <w:rPr>
          <w:color w:val="auto"/>
          <w:highlight w:val="none"/>
        </w:rPr>
      </w:pPr>
      <w:r>
        <w:rPr>
          <w:color w:val="auto"/>
          <w:spacing w:val="-3"/>
          <w:highlight w:val="none"/>
        </w:rPr>
        <w:t>评审结果异议</w:t>
      </w:r>
    </w:p>
    <w:p>
      <w:pPr>
        <w:pStyle w:val="12"/>
        <w:spacing w:before="254"/>
        <w:ind w:left="640" w:firstLine="0"/>
        <w:rPr>
          <w:color w:val="auto"/>
          <w:highlight w:val="none"/>
        </w:rPr>
      </w:pPr>
      <w:r>
        <w:rPr>
          <w:color w:val="auto"/>
          <w:highlight w:val="none"/>
        </w:rPr>
        <w:t>供应商或其他利害关系人对评审结果有异议的，应在成交候选人公示期间提出。</w:t>
      </w:r>
    </w:p>
    <w:p>
      <w:pPr>
        <w:pStyle w:val="8"/>
        <w:numPr>
          <w:ilvl w:val="1"/>
          <w:numId w:val="4"/>
        </w:numPr>
        <w:tabs>
          <w:tab w:val="left" w:pos="640"/>
        </w:tabs>
        <w:spacing w:before="147"/>
        <w:ind w:left="640" w:hanging="420"/>
        <w:rPr>
          <w:color w:val="auto"/>
          <w:highlight w:val="none"/>
        </w:rPr>
      </w:pPr>
      <w:r>
        <w:rPr>
          <w:color w:val="auto"/>
          <w:spacing w:val="-3"/>
          <w:highlight w:val="none"/>
        </w:rPr>
        <w:t>成交候选人履约能力审查</w:t>
      </w:r>
    </w:p>
    <w:p>
      <w:pPr>
        <w:pStyle w:val="12"/>
        <w:spacing w:before="256" w:line="374" w:lineRule="auto"/>
        <w:ind w:right="128"/>
        <w:rPr>
          <w:color w:val="auto"/>
          <w:highlight w:val="none"/>
        </w:rPr>
      </w:pPr>
      <w:r>
        <w:rPr>
          <w:color w:val="auto"/>
          <w:spacing w:val="-6"/>
          <w:highlight w:val="none"/>
        </w:rPr>
        <w:t xml:space="preserve">成交候选人的经营、财务状况发生较大变化或存在违法行为，采购人认为可能影响其履约能力的， </w:t>
      </w:r>
      <w:r>
        <w:rPr>
          <w:color w:val="auto"/>
          <w:spacing w:val="-3"/>
          <w:highlight w:val="none"/>
        </w:rPr>
        <w:t>将在发出成交通知书前提请原评审小组按照询比文件规定的标准和方法进行审查确认。</w:t>
      </w:r>
    </w:p>
    <w:p>
      <w:pPr>
        <w:pStyle w:val="8"/>
        <w:numPr>
          <w:ilvl w:val="1"/>
          <w:numId w:val="4"/>
        </w:numPr>
        <w:tabs>
          <w:tab w:val="left" w:pos="640"/>
        </w:tabs>
        <w:spacing w:line="348" w:lineRule="exact"/>
        <w:ind w:left="640" w:hanging="420"/>
        <w:rPr>
          <w:color w:val="auto"/>
          <w:highlight w:val="none"/>
        </w:rPr>
      </w:pPr>
      <w:r>
        <w:rPr>
          <w:color w:val="auto"/>
          <w:spacing w:val="-2"/>
          <w:highlight w:val="none"/>
        </w:rPr>
        <w:t>签订合同</w:t>
      </w:r>
    </w:p>
    <w:p>
      <w:pPr>
        <w:pStyle w:val="12"/>
        <w:spacing w:before="256" w:line="374" w:lineRule="auto"/>
        <w:ind w:right="235"/>
        <w:jc w:val="both"/>
        <w:rPr>
          <w:color w:val="auto"/>
          <w:highlight w:val="none"/>
        </w:rPr>
      </w:pPr>
      <w:r>
        <w:rPr>
          <w:color w:val="auto"/>
          <w:spacing w:val="-5"/>
          <w:highlight w:val="none"/>
        </w:rPr>
        <w:t xml:space="preserve">采购人和成交人应在响应有效期内以及成交通知书发出之日起 </w:t>
      </w:r>
      <w:r>
        <w:rPr>
          <w:rFonts w:ascii="Times New Roman" w:eastAsia="Times New Roman"/>
          <w:color w:val="auto"/>
          <w:highlight w:val="none"/>
        </w:rPr>
        <w:t xml:space="preserve">30 </w:t>
      </w:r>
      <w:r>
        <w:rPr>
          <w:color w:val="auto"/>
          <w:spacing w:val="-6"/>
          <w:highlight w:val="none"/>
        </w:rPr>
        <w:t>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w:t>
      </w:r>
    </w:p>
    <w:p>
      <w:pPr>
        <w:spacing w:line="374" w:lineRule="auto"/>
        <w:jc w:val="both"/>
        <w:rPr>
          <w:color w:val="auto"/>
          <w:highlight w:val="none"/>
        </w:rPr>
        <w:sectPr>
          <w:footerReference r:id="rId6" w:type="default"/>
          <w:pgSz w:w="11910" w:h="16840"/>
          <w:pgMar w:top="1520" w:right="841" w:bottom="960" w:left="860" w:header="0" w:footer="776" w:gutter="0"/>
          <w:pgNumType w:start="10"/>
          <w:cols w:space="720" w:num="1"/>
        </w:sectPr>
      </w:pPr>
    </w:p>
    <w:p>
      <w:pPr>
        <w:pStyle w:val="12"/>
        <w:spacing w:before="54"/>
        <w:ind w:firstLine="0"/>
        <w:rPr>
          <w:color w:val="auto"/>
          <w:highlight w:val="none"/>
        </w:rPr>
      </w:pPr>
      <w:r>
        <w:rPr>
          <w:color w:val="auto"/>
          <w:highlight w:val="none"/>
        </w:rPr>
        <w:t>的损失超过响应保证金数额的，成交人还应对超过部分予以赔偿。</w:t>
      </w:r>
    </w:p>
    <w:p>
      <w:pPr>
        <w:pStyle w:val="8"/>
        <w:numPr>
          <w:ilvl w:val="0"/>
          <w:numId w:val="4"/>
        </w:numPr>
        <w:tabs>
          <w:tab w:val="left" w:pos="571"/>
        </w:tabs>
        <w:spacing w:before="147"/>
        <w:rPr>
          <w:color w:val="auto"/>
          <w:highlight w:val="none"/>
        </w:rPr>
      </w:pPr>
      <w:r>
        <w:rPr>
          <w:color w:val="auto"/>
          <w:spacing w:val="-2"/>
          <w:highlight w:val="none"/>
        </w:rPr>
        <w:t>纪律和监督</w:t>
      </w:r>
    </w:p>
    <w:p>
      <w:pPr>
        <w:pStyle w:val="12"/>
        <w:spacing w:before="253" w:line="376" w:lineRule="auto"/>
        <w:ind w:right="235"/>
        <w:rPr>
          <w:color w:val="auto"/>
          <w:highlight w:val="none"/>
        </w:rPr>
      </w:pPr>
      <w:r>
        <w:rPr>
          <w:color w:val="auto"/>
          <w:highlight w:val="none"/>
        </w:rPr>
        <w:t>供应商不得相互串通报价或与采购人串通报价，不得向采购人或评审小组成员行贿谋取成交，不得以他人名义报价或以其他方式弄虚作假骗取成交；供应商不得以任何方式干扰、影响评审工作。</w:t>
      </w:r>
    </w:p>
    <w:p>
      <w:pPr>
        <w:pStyle w:val="8"/>
        <w:numPr>
          <w:ilvl w:val="0"/>
          <w:numId w:val="11"/>
        </w:numPr>
        <w:tabs>
          <w:tab w:val="left" w:pos="501"/>
        </w:tabs>
        <w:spacing w:line="345" w:lineRule="exact"/>
        <w:rPr>
          <w:rFonts w:ascii="Times New Roman" w:eastAsia="Times New Roman"/>
          <w:color w:val="auto"/>
          <w:highlight w:val="none"/>
        </w:rPr>
      </w:pPr>
      <w:r>
        <w:rPr>
          <w:color w:val="auto"/>
          <w:highlight w:val="none"/>
        </w:rPr>
        <w:t>投诉</w:t>
      </w:r>
    </w:p>
    <w:p>
      <w:pPr>
        <w:pStyle w:val="12"/>
        <w:numPr>
          <w:ilvl w:val="1"/>
          <w:numId w:val="11"/>
        </w:numPr>
        <w:tabs>
          <w:tab w:val="left" w:pos="1024"/>
        </w:tabs>
        <w:spacing w:before="254"/>
        <w:rPr>
          <w:color w:val="auto"/>
          <w:highlight w:val="none"/>
        </w:rPr>
      </w:pPr>
      <w:r>
        <w:rPr>
          <w:color w:val="auto"/>
          <w:spacing w:val="-6"/>
          <w:highlight w:val="none"/>
        </w:rPr>
        <w:t>供应商或其他利害关系人认为询比活动不符合法律法规规定的，可以自知道或应当知道之日起</w:t>
      </w:r>
    </w:p>
    <w:p>
      <w:pPr>
        <w:pStyle w:val="12"/>
        <w:numPr>
          <w:ilvl w:val="0"/>
          <w:numId w:val="11"/>
        </w:numPr>
        <w:tabs>
          <w:tab w:val="left" w:pos="496"/>
        </w:tabs>
        <w:ind w:left="496" w:hanging="276"/>
        <w:rPr>
          <w:rFonts w:ascii="Times New Roman" w:eastAsia="Times New Roman"/>
          <w:color w:val="auto"/>
          <w:highlight w:val="none"/>
        </w:rPr>
      </w:pPr>
      <w:r>
        <w:rPr>
          <w:color w:val="auto"/>
          <w:spacing w:val="-3"/>
          <w:highlight w:val="none"/>
        </w:rPr>
        <w:t>日内向有关监督部门投诉。投诉应有明确的请求和必要的证明材料。</w:t>
      </w:r>
    </w:p>
    <w:p>
      <w:pPr>
        <w:pStyle w:val="12"/>
        <w:spacing w:before="148"/>
        <w:ind w:left="659" w:firstLine="0"/>
        <w:rPr>
          <w:color w:val="auto"/>
          <w:highlight w:val="none"/>
        </w:rPr>
      </w:pPr>
      <w:r>
        <w:rPr>
          <w:rFonts w:ascii="Times New Roman" w:eastAsia="Times New Roman"/>
          <w:color w:val="auto"/>
          <w:highlight w:val="none"/>
        </w:rPr>
        <w:t xml:space="preserve">9.2 </w:t>
      </w:r>
      <w:r>
        <w:rPr>
          <w:color w:val="auto"/>
          <w:highlight w:val="none"/>
        </w:rPr>
        <w:t>监督部门及联系方式：</w:t>
      </w:r>
    </w:p>
    <w:p>
      <w:pPr>
        <w:pStyle w:val="2"/>
        <w:spacing w:before="11"/>
        <w:rPr>
          <w:color w:val="auto"/>
          <w:sz w:val="20"/>
          <w:highlight w:val="none"/>
        </w:rPr>
      </w:pPr>
    </w:p>
    <w:p>
      <w:pPr>
        <w:pStyle w:val="12"/>
        <w:spacing w:before="0"/>
        <w:ind w:left="640" w:firstLine="0"/>
        <w:rPr>
          <w:color w:val="auto"/>
          <w:highlight w:val="none"/>
        </w:rPr>
      </w:pPr>
      <w:r>
        <w:rPr>
          <w:color w:val="auto"/>
          <w:highlight w:val="none"/>
        </w:rPr>
        <w:t>（</w:t>
      </w:r>
      <w:r>
        <w:rPr>
          <w:rFonts w:ascii="Times New Roman" w:eastAsia="Times New Roman"/>
          <w:color w:val="auto"/>
          <w:highlight w:val="none"/>
        </w:rPr>
        <w:t>1</w:t>
      </w:r>
      <w:r>
        <w:rPr>
          <w:color w:val="auto"/>
          <w:highlight w:val="none"/>
        </w:rPr>
        <w:t>）部门：</w:t>
      </w:r>
      <w:r>
        <w:rPr>
          <w:color w:val="auto"/>
          <w:highlight w:val="none"/>
          <w:u w:val="single"/>
        </w:rPr>
        <w:t>安徽省高速公路试验检测科研中心有限公司项目管理部</w:t>
      </w:r>
    </w:p>
    <w:p>
      <w:pPr>
        <w:pStyle w:val="2"/>
        <w:spacing w:before="7"/>
        <w:rPr>
          <w:color w:val="auto"/>
          <w:sz w:val="14"/>
          <w:highlight w:val="none"/>
        </w:rPr>
      </w:pPr>
    </w:p>
    <w:p>
      <w:pPr>
        <w:pStyle w:val="12"/>
        <w:spacing w:before="79"/>
        <w:ind w:left="640" w:firstLine="0"/>
        <w:rPr>
          <w:rFonts w:ascii="Times New Roman" w:eastAsia="Times New Roman"/>
          <w:color w:val="auto"/>
          <w:highlight w:val="none"/>
        </w:rPr>
      </w:pPr>
      <w:r>
        <w:rPr>
          <w:color w:val="auto"/>
          <w:highlight w:val="none"/>
        </w:rPr>
        <w:t>（</w:t>
      </w:r>
      <w:r>
        <w:rPr>
          <w:rFonts w:ascii="Times New Roman" w:eastAsia="Times New Roman"/>
          <w:color w:val="auto"/>
          <w:highlight w:val="none"/>
        </w:rPr>
        <w:t>2</w:t>
      </w:r>
      <w:r>
        <w:rPr>
          <w:color w:val="auto"/>
          <w:highlight w:val="none"/>
        </w:rPr>
        <w:t>）联系方式：</w:t>
      </w:r>
      <w:r>
        <w:rPr>
          <w:rFonts w:ascii="Times New Roman" w:eastAsia="Times New Roman"/>
          <w:color w:val="auto"/>
          <w:highlight w:val="none"/>
          <w:u w:val="single"/>
        </w:rPr>
        <w:t>0551-63813024</w:t>
      </w:r>
    </w:p>
    <w:p>
      <w:pPr>
        <w:rPr>
          <w:rFonts w:ascii="Times New Roman" w:eastAsia="Times New Roman"/>
          <w:color w:val="auto"/>
          <w:highlight w:val="none"/>
        </w:rPr>
        <w:sectPr>
          <w:pgSz w:w="11910" w:h="16840"/>
          <w:pgMar w:top="1520" w:right="841" w:bottom="1040" w:left="860" w:header="0" w:footer="776" w:gutter="0"/>
          <w:cols w:space="720" w:num="1"/>
        </w:sectPr>
      </w:pPr>
    </w:p>
    <w:p>
      <w:pPr>
        <w:pStyle w:val="2"/>
        <w:rPr>
          <w:rFonts w:ascii="Times New Roman"/>
          <w:color w:val="auto"/>
          <w:sz w:val="20"/>
          <w:highlight w:val="none"/>
        </w:rPr>
      </w:pPr>
    </w:p>
    <w:p>
      <w:pPr>
        <w:pStyle w:val="2"/>
        <w:rPr>
          <w:rFonts w:ascii="Times New Roman"/>
          <w:color w:val="auto"/>
          <w:sz w:val="20"/>
          <w:highlight w:val="none"/>
        </w:rPr>
      </w:pPr>
    </w:p>
    <w:p>
      <w:pPr>
        <w:pStyle w:val="2"/>
        <w:rPr>
          <w:rFonts w:ascii="Times New Roman"/>
          <w:color w:val="auto"/>
          <w:sz w:val="20"/>
          <w:highlight w:val="none"/>
        </w:rPr>
      </w:pPr>
    </w:p>
    <w:p>
      <w:pPr>
        <w:pStyle w:val="2"/>
        <w:rPr>
          <w:rFonts w:ascii="Times New Roman"/>
          <w:color w:val="auto"/>
          <w:sz w:val="20"/>
          <w:highlight w:val="none"/>
        </w:rPr>
      </w:pPr>
    </w:p>
    <w:p>
      <w:pPr>
        <w:pStyle w:val="2"/>
        <w:rPr>
          <w:rFonts w:ascii="Times New Roman"/>
          <w:color w:val="auto"/>
          <w:sz w:val="20"/>
          <w:highlight w:val="none"/>
        </w:rPr>
      </w:pPr>
    </w:p>
    <w:p>
      <w:pPr>
        <w:pStyle w:val="2"/>
        <w:rPr>
          <w:rFonts w:ascii="Times New Roman"/>
          <w:color w:val="auto"/>
          <w:sz w:val="20"/>
          <w:highlight w:val="none"/>
        </w:rPr>
      </w:pPr>
    </w:p>
    <w:p>
      <w:pPr>
        <w:pStyle w:val="2"/>
        <w:rPr>
          <w:rFonts w:ascii="Times New Roman"/>
          <w:color w:val="auto"/>
          <w:sz w:val="20"/>
          <w:highlight w:val="none"/>
        </w:rPr>
      </w:pPr>
    </w:p>
    <w:p>
      <w:pPr>
        <w:pStyle w:val="2"/>
        <w:rPr>
          <w:rFonts w:ascii="Times New Roman"/>
          <w:color w:val="auto"/>
          <w:sz w:val="20"/>
          <w:highlight w:val="none"/>
        </w:rPr>
      </w:pPr>
    </w:p>
    <w:p>
      <w:pPr>
        <w:pStyle w:val="2"/>
        <w:rPr>
          <w:rFonts w:ascii="Times New Roman"/>
          <w:color w:val="auto"/>
          <w:sz w:val="20"/>
          <w:highlight w:val="none"/>
        </w:rPr>
      </w:pPr>
    </w:p>
    <w:p>
      <w:pPr>
        <w:pStyle w:val="2"/>
        <w:rPr>
          <w:rFonts w:ascii="Times New Roman"/>
          <w:color w:val="auto"/>
          <w:sz w:val="20"/>
          <w:highlight w:val="none"/>
        </w:rPr>
      </w:pPr>
    </w:p>
    <w:p>
      <w:pPr>
        <w:pStyle w:val="2"/>
        <w:rPr>
          <w:rFonts w:ascii="Times New Roman"/>
          <w:color w:val="auto"/>
          <w:sz w:val="20"/>
          <w:highlight w:val="none"/>
        </w:rPr>
      </w:pPr>
    </w:p>
    <w:p>
      <w:pPr>
        <w:pStyle w:val="2"/>
        <w:rPr>
          <w:rFonts w:ascii="Times New Roman"/>
          <w:color w:val="auto"/>
          <w:sz w:val="20"/>
          <w:highlight w:val="none"/>
        </w:rPr>
      </w:pPr>
    </w:p>
    <w:p>
      <w:pPr>
        <w:pStyle w:val="2"/>
        <w:rPr>
          <w:rFonts w:ascii="Times New Roman"/>
          <w:color w:val="auto"/>
          <w:sz w:val="20"/>
          <w:highlight w:val="none"/>
        </w:rPr>
      </w:pPr>
    </w:p>
    <w:p>
      <w:pPr>
        <w:pStyle w:val="2"/>
        <w:rPr>
          <w:rFonts w:ascii="Times New Roman"/>
          <w:color w:val="auto"/>
          <w:sz w:val="20"/>
          <w:highlight w:val="none"/>
        </w:rPr>
      </w:pPr>
    </w:p>
    <w:p>
      <w:pPr>
        <w:pStyle w:val="2"/>
        <w:rPr>
          <w:rFonts w:ascii="Times New Roman"/>
          <w:color w:val="auto"/>
          <w:sz w:val="20"/>
          <w:highlight w:val="none"/>
        </w:rPr>
      </w:pPr>
    </w:p>
    <w:p>
      <w:pPr>
        <w:pStyle w:val="2"/>
        <w:rPr>
          <w:rFonts w:ascii="Times New Roman"/>
          <w:color w:val="auto"/>
          <w:sz w:val="20"/>
          <w:highlight w:val="none"/>
        </w:rPr>
      </w:pPr>
    </w:p>
    <w:p>
      <w:pPr>
        <w:pStyle w:val="2"/>
        <w:rPr>
          <w:rFonts w:ascii="Times New Roman"/>
          <w:color w:val="auto"/>
          <w:sz w:val="20"/>
          <w:highlight w:val="none"/>
        </w:rPr>
      </w:pPr>
    </w:p>
    <w:p>
      <w:pPr>
        <w:pStyle w:val="2"/>
        <w:rPr>
          <w:rFonts w:ascii="Times New Roman"/>
          <w:color w:val="auto"/>
          <w:sz w:val="20"/>
          <w:highlight w:val="none"/>
        </w:rPr>
      </w:pPr>
    </w:p>
    <w:p>
      <w:pPr>
        <w:pStyle w:val="2"/>
        <w:rPr>
          <w:rFonts w:ascii="Times New Roman"/>
          <w:color w:val="auto"/>
          <w:sz w:val="20"/>
          <w:highlight w:val="none"/>
        </w:rPr>
      </w:pPr>
    </w:p>
    <w:p>
      <w:pPr>
        <w:pStyle w:val="2"/>
        <w:rPr>
          <w:rFonts w:ascii="Times New Roman"/>
          <w:color w:val="auto"/>
          <w:sz w:val="20"/>
          <w:highlight w:val="none"/>
        </w:rPr>
      </w:pPr>
    </w:p>
    <w:p>
      <w:pPr>
        <w:pStyle w:val="2"/>
        <w:rPr>
          <w:rFonts w:ascii="Times New Roman"/>
          <w:color w:val="auto"/>
          <w:sz w:val="20"/>
          <w:highlight w:val="none"/>
        </w:rPr>
      </w:pPr>
    </w:p>
    <w:p>
      <w:pPr>
        <w:pStyle w:val="2"/>
        <w:rPr>
          <w:rFonts w:ascii="Times New Roman"/>
          <w:color w:val="auto"/>
          <w:sz w:val="20"/>
          <w:highlight w:val="none"/>
        </w:rPr>
      </w:pPr>
    </w:p>
    <w:p>
      <w:pPr>
        <w:pStyle w:val="2"/>
        <w:spacing w:before="8"/>
        <w:rPr>
          <w:rFonts w:ascii="Times New Roman"/>
          <w:color w:val="auto"/>
          <w:sz w:val="23"/>
          <w:highlight w:val="none"/>
        </w:rPr>
      </w:pPr>
    </w:p>
    <w:p>
      <w:pPr>
        <w:pStyle w:val="4"/>
        <w:rPr>
          <w:color w:val="auto"/>
          <w:highlight w:val="none"/>
        </w:rPr>
      </w:pPr>
      <w:bookmarkStart w:id="2" w:name="_TOC_250003"/>
      <w:bookmarkEnd w:id="2"/>
      <w:r>
        <w:rPr>
          <w:color w:val="auto"/>
          <w:highlight w:val="none"/>
        </w:rPr>
        <w:t>第三章 评审办法</w:t>
      </w:r>
    </w:p>
    <w:p>
      <w:pPr>
        <w:rPr>
          <w:color w:val="auto"/>
          <w:highlight w:val="none"/>
        </w:rPr>
        <w:sectPr>
          <w:pgSz w:w="11910" w:h="16840"/>
          <w:pgMar w:top="1600" w:right="841" w:bottom="1040" w:left="860" w:header="0" w:footer="776" w:gutter="0"/>
          <w:cols w:space="720" w:num="1"/>
        </w:sectPr>
      </w:pPr>
    </w:p>
    <w:p>
      <w:pPr>
        <w:widowControl/>
        <w:jc w:val="center"/>
        <w:rPr>
          <w:color w:val="auto"/>
          <w:highlight w:val="none"/>
        </w:rPr>
      </w:pPr>
      <w:r>
        <w:rPr>
          <w:rFonts w:hAnsi="宋体"/>
          <w:color w:val="auto"/>
          <w:sz w:val="28"/>
          <w:szCs w:val="28"/>
          <w:highlight w:val="none"/>
          <w:lang w:val="en-US"/>
        </w:rPr>
        <w:t>评审办法前附表（最低价法）</w:t>
      </w:r>
    </w:p>
    <w:p>
      <w:pPr>
        <w:pStyle w:val="2"/>
        <w:spacing w:before="4"/>
        <w:rPr>
          <w:rFonts w:ascii="Times New Roman"/>
          <w:color w:val="auto"/>
          <w:sz w:val="8"/>
          <w:highlight w:val="none"/>
        </w:rPr>
      </w:pPr>
    </w:p>
    <w:tbl>
      <w:tblPr>
        <w:tblStyle w:val="17"/>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8"/>
        <w:gridCol w:w="957"/>
        <w:gridCol w:w="1877"/>
        <w:gridCol w:w="56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645" w:type="dxa"/>
            <w:gridSpan w:val="2"/>
          </w:tcPr>
          <w:p>
            <w:pPr>
              <w:pStyle w:val="22"/>
              <w:spacing w:before="8"/>
              <w:rPr>
                <w:rFonts w:ascii="Times New Roman"/>
                <w:color w:val="auto"/>
                <w:sz w:val="17"/>
                <w:highlight w:val="none"/>
              </w:rPr>
            </w:pPr>
          </w:p>
          <w:p>
            <w:pPr>
              <w:pStyle w:val="22"/>
              <w:spacing w:before="1"/>
              <w:ind w:left="506"/>
              <w:rPr>
                <w:rFonts w:ascii="宋体" w:eastAsia="宋体"/>
                <w:b/>
                <w:color w:val="auto"/>
                <w:sz w:val="21"/>
                <w:highlight w:val="none"/>
              </w:rPr>
            </w:pPr>
            <w:r>
              <w:rPr>
                <w:rFonts w:hint="eastAsia" w:ascii="宋体" w:eastAsia="宋体"/>
                <w:b/>
                <w:color w:val="auto"/>
                <w:sz w:val="21"/>
                <w:highlight w:val="none"/>
              </w:rPr>
              <w:t>条款号</w:t>
            </w:r>
          </w:p>
        </w:tc>
        <w:tc>
          <w:tcPr>
            <w:tcW w:w="1877" w:type="dxa"/>
          </w:tcPr>
          <w:p>
            <w:pPr>
              <w:pStyle w:val="22"/>
              <w:spacing w:before="8"/>
              <w:rPr>
                <w:rFonts w:ascii="Times New Roman"/>
                <w:color w:val="auto"/>
                <w:sz w:val="17"/>
                <w:highlight w:val="none"/>
              </w:rPr>
            </w:pPr>
          </w:p>
          <w:p>
            <w:pPr>
              <w:pStyle w:val="22"/>
              <w:spacing w:before="1"/>
              <w:ind w:left="567"/>
              <w:rPr>
                <w:rFonts w:ascii="宋体" w:eastAsia="宋体"/>
                <w:b/>
                <w:color w:val="auto"/>
                <w:sz w:val="21"/>
                <w:highlight w:val="none"/>
              </w:rPr>
            </w:pPr>
            <w:r>
              <w:rPr>
                <w:rFonts w:hint="eastAsia" w:ascii="宋体" w:eastAsia="宋体"/>
                <w:b/>
                <w:color w:val="auto"/>
                <w:sz w:val="21"/>
                <w:highlight w:val="none"/>
              </w:rPr>
              <w:t>评审因素</w:t>
            </w:r>
          </w:p>
        </w:tc>
        <w:tc>
          <w:tcPr>
            <w:tcW w:w="5676" w:type="dxa"/>
          </w:tcPr>
          <w:p>
            <w:pPr>
              <w:pStyle w:val="22"/>
              <w:spacing w:before="8"/>
              <w:rPr>
                <w:rFonts w:ascii="Times New Roman"/>
                <w:color w:val="auto"/>
                <w:sz w:val="17"/>
                <w:highlight w:val="none"/>
              </w:rPr>
            </w:pPr>
          </w:p>
          <w:p>
            <w:pPr>
              <w:pStyle w:val="22"/>
              <w:spacing w:before="1"/>
              <w:ind w:left="2447" w:right="2335"/>
              <w:jc w:val="center"/>
              <w:rPr>
                <w:rFonts w:ascii="宋体" w:eastAsia="宋体"/>
                <w:b/>
                <w:color w:val="auto"/>
                <w:sz w:val="21"/>
                <w:highlight w:val="none"/>
              </w:rPr>
            </w:pPr>
            <w:r>
              <w:rPr>
                <w:rFonts w:hint="eastAsia" w:ascii="宋体" w:eastAsia="宋体"/>
                <w:b/>
                <w:color w:val="auto"/>
                <w:sz w:val="21"/>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688" w:type="dxa"/>
            <w:tcBorders>
              <w:bottom w:val="nil"/>
            </w:tcBorders>
          </w:tcPr>
          <w:p>
            <w:pPr>
              <w:pStyle w:val="22"/>
              <w:rPr>
                <w:rFonts w:ascii="Times New Roman"/>
                <w:color w:val="auto"/>
                <w:sz w:val="20"/>
                <w:highlight w:val="none"/>
              </w:rPr>
            </w:pPr>
          </w:p>
        </w:tc>
        <w:tc>
          <w:tcPr>
            <w:tcW w:w="957" w:type="dxa"/>
            <w:tcBorders>
              <w:bottom w:val="nil"/>
            </w:tcBorders>
          </w:tcPr>
          <w:p>
            <w:pPr>
              <w:pStyle w:val="22"/>
              <w:rPr>
                <w:rFonts w:ascii="Times New Roman"/>
                <w:color w:val="auto"/>
                <w:sz w:val="20"/>
                <w:highlight w:val="none"/>
              </w:rPr>
            </w:pPr>
          </w:p>
        </w:tc>
        <w:tc>
          <w:tcPr>
            <w:tcW w:w="1877" w:type="dxa"/>
            <w:tcBorders>
              <w:bottom w:val="nil"/>
            </w:tcBorders>
          </w:tcPr>
          <w:p>
            <w:pPr>
              <w:pStyle w:val="22"/>
              <w:rPr>
                <w:rFonts w:ascii="Times New Roman"/>
                <w:color w:val="auto"/>
                <w:sz w:val="20"/>
                <w:highlight w:val="none"/>
              </w:rPr>
            </w:pPr>
          </w:p>
        </w:tc>
        <w:tc>
          <w:tcPr>
            <w:tcW w:w="5676" w:type="dxa"/>
            <w:tcBorders>
              <w:bottom w:val="nil"/>
            </w:tcBorders>
          </w:tcPr>
          <w:p>
            <w:pPr>
              <w:pStyle w:val="22"/>
              <w:spacing w:before="1"/>
              <w:ind w:left="75"/>
              <w:rPr>
                <w:rFonts w:ascii="宋体" w:eastAsia="宋体"/>
                <w:color w:val="auto"/>
                <w:sz w:val="21"/>
                <w:highlight w:val="none"/>
              </w:rPr>
            </w:pPr>
            <w:r>
              <w:rPr>
                <w:rFonts w:hint="eastAsia" w:ascii="宋体" w:eastAsia="宋体"/>
                <w:color w:val="auto"/>
                <w:sz w:val="21"/>
                <w:highlight w:val="none"/>
              </w:rPr>
              <w:t>按评审价由低到高的顺序依次推荐成交候选人：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688" w:type="dxa"/>
            <w:tcBorders>
              <w:top w:val="nil"/>
              <w:bottom w:val="nil"/>
            </w:tcBorders>
          </w:tcPr>
          <w:p>
            <w:pPr>
              <w:pStyle w:val="22"/>
              <w:rPr>
                <w:rFonts w:ascii="Times New Roman"/>
                <w:color w:val="auto"/>
                <w:highlight w:val="none"/>
              </w:rPr>
            </w:pPr>
          </w:p>
          <w:p>
            <w:pPr>
              <w:pStyle w:val="22"/>
              <w:spacing w:before="169"/>
              <w:ind w:left="6"/>
              <w:jc w:val="center"/>
              <w:rPr>
                <w:rFonts w:ascii="Times New Roman"/>
                <w:color w:val="auto"/>
                <w:sz w:val="21"/>
                <w:highlight w:val="none"/>
              </w:rPr>
            </w:pPr>
            <w:r>
              <w:rPr>
                <w:rFonts w:ascii="Times New Roman"/>
                <w:color w:val="auto"/>
                <w:w w:val="99"/>
                <w:sz w:val="21"/>
                <w:highlight w:val="none"/>
              </w:rPr>
              <w:t>1</w:t>
            </w:r>
          </w:p>
        </w:tc>
        <w:tc>
          <w:tcPr>
            <w:tcW w:w="957" w:type="dxa"/>
            <w:tcBorders>
              <w:top w:val="nil"/>
              <w:bottom w:val="nil"/>
            </w:tcBorders>
          </w:tcPr>
          <w:p>
            <w:pPr>
              <w:pStyle w:val="22"/>
              <w:rPr>
                <w:rFonts w:ascii="Times New Roman"/>
                <w:color w:val="auto"/>
                <w:sz w:val="20"/>
                <w:highlight w:val="none"/>
              </w:rPr>
            </w:pPr>
          </w:p>
          <w:p>
            <w:pPr>
              <w:pStyle w:val="22"/>
              <w:spacing w:before="176"/>
              <w:ind w:left="58"/>
              <w:rPr>
                <w:rFonts w:ascii="宋体" w:eastAsia="宋体"/>
                <w:color w:val="auto"/>
                <w:sz w:val="21"/>
                <w:highlight w:val="none"/>
              </w:rPr>
            </w:pPr>
            <w:r>
              <w:rPr>
                <w:rFonts w:hint="eastAsia" w:ascii="宋体" w:eastAsia="宋体"/>
                <w:color w:val="auto"/>
                <w:sz w:val="21"/>
                <w:highlight w:val="none"/>
              </w:rPr>
              <w:t>评审方法</w:t>
            </w:r>
          </w:p>
        </w:tc>
        <w:tc>
          <w:tcPr>
            <w:tcW w:w="1877" w:type="dxa"/>
            <w:tcBorders>
              <w:top w:val="nil"/>
              <w:bottom w:val="nil"/>
            </w:tcBorders>
          </w:tcPr>
          <w:p>
            <w:pPr>
              <w:pStyle w:val="22"/>
              <w:spacing w:before="6"/>
              <w:rPr>
                <w:rFonts w:ascii="Times New Roman"/>
                <w:color w:val="auto"/>
                <w:sz w:val="23"/>
                <w:highlight w:val="none"/>
              </w:rPr>
            </w:pPr>
          </w:p>
          <w:p>
            <w:pPr>
              <w:pStyle w:val="22"/>
              <w:spacing w:line="270" w:lineRule="atLeast"/>
              <w:ind w:left="555" w:right="366" w:hanging="106"/>
              <w:rPr>
                <w:rFonts w:ascii="宋体" w:eastAsia="宋体"/>
                <w:color w:val="auto"/>
                <w:sz w:val="21"/>
                <w:highlight w:val="none"/>
              </w:rPr>
            </w:pPr>
            <w:r>
              <w:rPr>
                <w:rFonts w:hint="eastAsia" w:ascii="宋体" w:eastAsia="宋体"/>
                <w:color w:val="auto"/>
                <w:sz w:val="21"/>
                <w:highlight w:val="none"/>
              </w:rPr>
              <w:t>成交候选人排序方法</w:t>
            </w:r>
          </w:p>
        </w:tc>
        <w:tc>
          <w:tcPr>
            <w:tcW w:w="5676" w:type="dxa"/>
            <w:tcBorders>
              <w:top w:val="nil"/>
              <w:bottom w:val="nil"/>
            </w:tcBorders>
          </w:tcPr>
          <w:p>
            <w:pPr>
              <w:pStyle w:val="22"/>
              <w:spacing w:before="48"/>
              <w:ind w:left="75"/>
              <w:rPr>
                <w:rFonts w:ascii="宋体" w:eastAsia="宋体"/>
                <w:color w:val="auto"/>
                <w:sz w:val="21"/>
                <w:highlight w:val="none"/>
              </w:rPr>
            </w:pPr>
            <w:r>
              <w:rPr>
                <w:rFonts w:hint="eastAsia" w:ascii="宋体" w:eastAsia="宋体"/>
                <w:color w:val="auto"/>
                <w:sz w:val="21"/>
                <w:highlight w:val="none"/>
              </w:rPr>
              <w:t>（</w:t>
            </w:r>
            <w:r>
              <w:rPr>
                <w:rFonts w:ascii="Times New Roman" w:eastAsia="Times New Roman"/>
                <w:color w:val="auto"/>
                <w:sz w:val="21"/>
                <w:highlight w:val="none"/>
              </w:rPr>
              <w:t>1</w:t>
            </w:r>
            <w:r>
              <w:rPr>
                <w:rFonts w:hint="eastAsia" w:ascii="宋体" w:eastAsia="宋体"/>
                <w:color w:val="auto"/>
                <w:sz w:val="21"/>
                <w:highlight w:val="none"/>
              </w:rPr>
              <w:t>）对满足询比文件要求的响应文件，按照报价由低到高的</w:t>
            </w:r>
          </w:p>
          <w:p>
            <w:pPr>
              <w:pStyle w:val="22"/>
              <w:spacing w:before="91"/>
              <w:ind w:left="75"/>
              <w:rPr>
                <w:rFonts w:ascii="宋体" w:eastAsia="宋体"/>
                <w:color w:val="auto"/>
                <w:sz w:val="21"/>
                <w:highlight w:val="none"/>
              </w:rPr>
            </w:pPr>
            <w:r>
              <w:rPr>
                <w:rFonts w:hint="eastAsia" w:ascii="宋体" w:eastAsia="宋体"/>
                <w:color w:val="auto"/>
                <w:sz w:val="21"/>
                <w:highlight w:val="none"/>
              </w:rPr>
              <w:t>顺序推荐成交候选人；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688" w:type="dxa"/>
            <w:tcBorders>
              <w:top w:val="nil"/>
              <w:bottom w:val="nil"/>
            </w:tcBorders>
          </w:tcPr>
          <w:p>
            <w:pPr>
              <w:pStyle w:val="22"/>
              <w:rPr>
                <w:rFonts w:ascii="Times New Roman"/>
                <w:color w:val="auto"/>
                <w:sz w:val="20"/>
                <w:highlight w:val="none"/>
              </w:rPr>
            </w:pPr>
          </w:p>
        </w:tc>
        <w:tc>
          <w:tcPr>
            <w:tcW w:w="957" w:type="dxa"/>
            <w:tcBorders>
              <w:top w:val="nil"/>
              <w:bottom w:val="nil"/>
            </w:tcBorders>
          </w:tcPr>
          <w:p>
            <w:pPr>
              <w:pStyle w:val="22"/>
              <w:rPr>
                <w:rFonts w:ascii="Times New Roman"/>
                <w:color w:val="auto"/>
                <w:sz w:val="20"/>
                <w:highlight w:val="none"/>
              </w:rPr>
            </w:pPr>
          </w:p>
        </w:tc>
        <w:tc>
          <w:tcPr>
            <w:tcW w:w="1877" w:type="dxa"/>
            <w:tcBorders>
              <w:top w:val="nil"/>
              <w:bottom w:val="nil"/>
            </w:tcBorders>
          </w:tcPr>
          <w:p>
            <w:pPr>
              <w:pStyle w:val="22"/>
              <w:rPr>
                <w:rFonts w:ascii="Times New Roman"/>
                <w:color w:val="auto"/>
                <w:sz w:val="20"/>
                <w:highlight w:val="none"/>
              </w:rPr>
            </w:pPr>
          </w:p>
        </w:tc>
        <w:tc>
          <w:tcPr>
            <w:tcW w:w="5676" w:type="dxa"/>
            <w:tcBorders>
              <w:top w:val="nil"/>
              <w:bottom w:val="nil"/>
            </w:tcBorders>
          </w:tcPr>
          <w:p>
            <w:pPr>
              <w:pStyle w:val="22"/>
              <w:spacing w:line="227" w:lineRule="exact"/>
              <w:ind w:left="75"/>
              <w:rPr>
                <w:rFonts w:ascii="宋体" w:eastAsia="宋体"/>
                <w:color w:val="auto"/>
                <w:sz w:val="21"/>
                <w:highlight w:val="none"/>
              </w:rPr>
            </w:pPr>
            <w:r>
              <w:rPr>
                <w:rFonts w:hint="eastAsia" w:ascii="宋体" w:eastAsia="宋体"/>
                <w:color w:val="auto"/>
                <w:sz w:val="21"/>
                <w:highlight w:val="none"/>
              </w:rPr>
              <w:t>（</w:t>
            </w:r>
            <w:r>
              <w:rPr>
                <w:rFonts w:ascii="Times New Roman" w:eastAsia="Times New Roman"/>
                <w:color w:val="auto"/>
                <w:sz w:val="21"/>
                <w:highlight w:val="none"/>
              </w:rPr>
              <w:t>2</w:t>
            </w:r>
            <w:r>
              <w:rPr>
                <w:rFonts w:hint="eastAsia" w:ascii="宋体" w:eastAsia="宋体"/>
                <w:color w:val="auto"/>
                <w:sz w:val="21"/>
                <w:highlight w:val="none"/>
              </w:rPr>
              <w:t>）若出现报价相同的情况，按递交响应文件的时间先后顺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688" w:type="dxa"/>
            <w:tcBorders>
              <w:top w:val="nil"/>
            </w:tcBorders>
          </w:tcPr>
          <w:p>
            <w:pPr>
              <w:pStyle w:val="22"/>
              <w:rPr>
                <w:rFonts w:ascii="Times New Roman"/>
                <w:color w:val="auto"/>
                <w:sz w:val="20"/>
                <w:highlight w:val="none"/>
              </w:rPr>
            </w:pPr>
          </w:p>
        </w:tc>
        <w:tc>
          <w:tcPr>
            <w:tcW w:w="957" w:type="dxa"/>
            <w:tcBorders>
              <w:top w:val="nil"/>
            </w:tcBorders>
          </w:tcPr>
          <w:p>
            <w:pPr>
              <w:pStyle w:val="22"/>
              <w:rPr>
                <w:rFonts w:ascii="Times New Roman"/>
                <w:color w:val="auto"/>
                <w:sz w:val="20"/>
                <w:highlight w:val="none"/>
              </w:rPr>
            </w:pPr>
          </w:p>
        </w:tc>
        <w:tc>
          <w:tcPr>
            <w:tcW w:w="1877" w:type="dxa"/>
            <w:tcBorders>
              <w:top w:val="nil"/>
            </w:tcBorders>
          </w:tcPr>
          <w:p>
            <w:pPr>
              <w:pStyle w:val="22"/>
              <w:rPr>
                <w:rFonts w:ascii="Times New Roman"/>
                <w:color w:val="auto"/>
                <w:sz w:val="20"/>
                <w:highlight w:val="none"/>
              </w:rPr>
            </w:pPr>
          </w:p>
        </w:tc>
        <w:tc>
          <w:tcPr>
            <w:tcW w:w="5676" w:type="dxa"/>
            <w:tcBorders>
              <w:top w:val="nil"/>
            </w:tcBorders>
          </w:tcPr>
          <w:p>
            <w:pPr>
              <w:pStyle w:val="22"/>
              <w:spacing w:before="37" w:line="251" w:lineRule="exact"/>
              <w:ind w:left="75"/>
              <w:rPr>
                <w:rFonts w:ascii="宋体" w:eastAsia="宋体"/>
                <w:color w:val="auto"/>
                <w:sz w:val="21"/>
                <w:highlight w:val="none"/>
              </w:rPr>
            </w:pPr>
            <w:r>
              <w:rPr>
                <w:rFonts w:hint="eastAsia" w:ascii="宋体" w:eastAsia="宋体"/>
                <w:color w:val="auto"/>
                <w:sz w:val="21"/>
                <w:highlight w:val="none"/>
              </w:rPr>
              <w:t>序推荐成交候选人。</w:t>
            </w:r>
          </w:p>
        </w:tc>
      </w:tr>
    </w:tbl>
    <w:p>
      <w:pPr>
        <w:pStyle w:val="2"/>
        <w:rPr>
          <w:rFonts w:ascii="Times New Roman"/>
          <w:color w:val="auto"/>
          <w:sz w:val="20"/>
          <w:highlight w:val="none"/>
        </w:rPr>
      </w:pPr>
    </w:p>
    <w:p>
      <w:pPr>
        <w:pStyle w:val="2"/>
        <w:spacing w:before="5" w:after="1"/>
        <w:rPr>
          <w:rFonts w:ascii="Times New Roman"/>
          <w:color w:val="auto"/>
          <w:sz w:val="11"/>
          <w:highlight w:val="none"/>
        </w:rPr>
      </w:pPr>
    </w:p>
    <w:tbl>
      <w:tblPr>
        <w:tblStyle w:val="17"/>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961"/>
        <w:gridCol w:w="1894"/>
        <w:gridCol w:w="56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1645" w:type="dxa"/>
            <w:gridSpan w:val="2"/>
          </w:tcPr>
          <w:p>
            <w:pPr>
              <w:pStyle w:val="22"/>
              <w:spacing w:before="7"/>
              <w:rPr>
                <w:rFonts w:ascii="Times New Roman"/>
                <w:color w:val="auto"/>
                <w:sz w:val="21"/>
                <w:highlight w:val="none"/>
              </w:rPr>
            </w:pPr>
          </w:p>
          <w:p>
            <w:pPr>
              <w:pStyle w:val="22"/>
              <w:ind w:left="506"/>
              <w:rPr>
                <w:rFonts w:ascii="宋体" w:eastAsia="宋体"/>
                <w:b/>
                <w:color w:val="auto"/>
                <w:sz w:val="21"/>
                <w:highlight w:val="none"/>
              </w:rPr>
            </w:pPr>
            <w:r>
              <w:rPr>
                <w:rFonts w:hint="eastAsia" w:ascii="宋体" w:eastAsia="宋体"/>
                <w:b/>
                <w:color w:val="auto"/>
                <w:sz w:val="21"/>
                <w:highlight w:val="none"/>
              </w:rPr>
              <w:t>条款号</w:t>
            </w:r>
          </w:p>
        </w:tc>
        <w:tc>
          <w:tcPr>
            <w:tcW w:w="1894" w:type="dxa"/>
          </w:tcPr>
          <w:p>
            <w:pPr>
              <w:pStyle w:val="22"/>
              <w:spacing w:before="7"/>
              <w:rPr>
                <w:rFonts w:ascii="Times New Roman"/>
                <w:color w:val="auto"/>
                <w:sz w:val="21"/>
                <w:highlight w:val="none"/>
              </w:rPr>
            </w:pPr>
          </w:p>
          <w:p>
            <w:pPr>
              <w:pStyle w:val="22"/>
              <w:ind w:left="26" w:right="19"/>
              <w:jc w:val="center"/>
              <w:rPr>
                <w:rFonts w:ascii="宋体" w:eastAsia="宋体"/>
                <w:b/>
                <w:color w:val="auto"/>
                <w:sz w:val="21"/>
                <w:highlight w:val="none"/>
              </w:rPr>
            </w:pPr>
            <w:r>
              <w:rPr>
                <w:rFonts w:hint="eastAsia" w:ascii="宋体" w:eastAsia="宋体"/>
                <w:b/>
                <w:color w:val="auto"/>
                <w:sz w:val="21"/>
                <w:highlight w:val="none"/>
              </w:rPr>
              <w:t>评审因素</w:t>
            </w:r>
          </w:p>
        </w:tc>
        <w:tc>
          <w:tcPr>
            <w:tcW w:w="5659" w:type="dxa"/>
          </w:tcPr>
          <w:p>
            <w:pPr>
              <w:pStyle w:val="22"/>
              <w:spacing w:before="7"/>
              <w:rPr>
                <w:rFonts w:ascii="Times New Roman"/>
                <w:color w:val="auto"/>
                <w:sz w:val="21"/>
                <w:highlight w:val="none"/>
              </w:rPr>
            </w:pPr>
          </w:p>
          <w:p>
            <w:pPr>
              <w:pStyle w:val="22"/>
              <w:ind w:left="2387" w:right="2378"/>
              <w:jc w:val="center"/>
              <w:rPr>
                <w:rFonts w:ascii="宋体" w:eastAsia="宋体"/>
                <w:b/>
                <w:color w:val="auto"/>
                <w:sz w:val="21"/>
                <w:highlight w:val="none"/>
              </w:rPr>
            </w:pPr>
            <w:r>
              <w:rPr>
                <w:rFonts w:hint="eastAsia" w:ascii="宋体" w:eastAsia="宋体"/>
                <w:b/>
                <w:color w:val="auto"/>
                <w:sz w:val="21"/>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684" w:type="dxa"/>
            <w:vMerge w:val="restart"/>
          </w:tcPr>
          <w:p>
            <w:pPr>
              <w:pStyle w:val="22"/>
              <w:rPr>
                <w:rFonts w:ascii="Times New Roman"/>
                <w:color w:val="auto"/>
                <w:highlight w:val="none"/>
              </w:rPr>
            </w:pPr>
          </w:p>
          <w:p>
            <w:pPr>
              <w:pStyle w:val="22"/>
              <w:rPr>
                <w:rFonts w:ascii="Times New Roman"/>
                <w:color w:val="auto"/>
                <w:highlight w:val="none"/>
              </w:rPr>
            </w:pPr>
          </w:p>
          <w:p>
            <w:pPr>
              <w:pStyle w:val="22"/>
              <w:rPr>
                <w:rFonts w:ascii="Times New Roman"/>
                <w:color w:val="auto"/>
                <w:highlight w:val="none"/>
              </w:rPr>
            </w:pPr>
          </w:p>
          <w:p>
            <w:pPr>
              <w:pStyle w:val="22"/>
              <w:rPr>
                <w:rFonts w:ascii="Times New Roman"/>
                <w:color w:val="auto"/>
                <w:highlight w:val="none"/>
              </w:rPr>
            </w:pPr>
          </w:p>
          <w:p>
            <w:pPr>
              <w:pStyle w:val="22"/>
              <w:spacing w:before="9"/>
              <w:rPr>
                <w:rFonts w:ascii="Times New Roman"/>
                <w:color w:val="auto"/>
                <w:sz w:val="27"/>
                <w:highlight w:val="none"/>
              </w:rPr>
            </w:pPr>
          </w:p>
          <w:p>
            <w:pPr>
              <w:pStyle w:val="22"/>
              <w:ind w:left="131"/>
              <w:rPr>
                <w:rFonts w:ascii="Times New Roman"/>
                <w:color w:val="auto"/>
                <w:sz w:val="21"/>
                <w:highlight w:val="none"/>
              </w:rPr>
            </w:pPr>
            <w:r>
              <w:rPr>
                <w:rFonts w:ascii="Times New Roman"/>
                <w:color w:val="auto"/>
                <w:sz w:val="21"/>
                <w:highlight w:val="none"/>
              </w:rPr>
              <w:t>2.1.1</w:t>
            </w:r>
          </w:p>
        </w:tc>
        <w:tc>
          <w:tcPr>
            <w:tcW w:w="961" w:type="dxa"/>
            <w:vMerge w:val="restart"/>
          </w:tcPr>
          <w:p>
            <w:pPr>
              <w:pStyle w:val="22"/>
              <w:rPr>
                <w:rFonts w:ascii="Times New Roman"/>
                <w:color w:val="auto"/>
                <w:sz w:val="20"/>
                <w:highlight w:val="none"/>
              </w:rPr>
            </w:pPr>
          </w:p>
          <w:p>
            <w:pPr>
              <w:pStyle w:val="22"/>
              <w:rPr>
                <w:rFonts w:ascii="Times New Roman"/>
                <w:color w:val="auto"/>
                <w:sz w:val="20"/>
                <w:highlight w:val="none"/>
              </w:rPr>
            </w:pPr>
          </w:p>
          <w:p>
            <w:pPr>
              <w:pStyle w:val="22"/>
              <w:rPr>
                <w:rFonts w:ascii="Times New Roman"/>
                <w:color w:val="auto"/>
                <w:sz w:val="20"/>
                <w:highlight w:val="none"/>
              </w:rPr>
            </w:pPr>
          </w:p>
          <w:p>
            <w:pPr>
              <w:pStyle w:val="22"/>
              <w:rPr>
                <w:rFonts w:ascii="Times New Roman"/>
                <w:color w:val="auto"/>
                <w:sz w:val="20"/>
                <w:highlight w:val="none"/>
              </w:rPr>
            </w:pPr>
          </w:p>
          <w:p>
            <w:pPr>
              <w:pStyle w:val="22"/>
              <w:spacing w:before="8"/>
              <w:rPr>
                <w:rFonts w:ascii="Times New Roman"/>
                <w:color w:val="auto"/>
                <w:sz w:val="17"/>
                <w:highlight w:val="none"/>
              </w:rPr>
            </w:pPr>
          </w:p>
          <w:p>
            <w:pPr>
              <w:pStyle w:val="22"/>
              <w:spacing w:line="321" w:lineRule="auto"/>
              <w:ind w:left="268" w:right="51" w:hanging="209"/>
              <w:rPr>
                <w:rFonts w:ascii="宋体" w:eastAsia="宋体"/>
                <w:color w:val="auto"/>
                <w:sz w:val="21"/>
                <w:highlight w:val="none"/>
              </w:rPr>
            </w:pPr>
            <w:r>
              <w:rPr>
                <w:rFonts w:hint="eastAsia" w:ascii="宋体" w:eastAsia="宋体"/>
                <w:color w:val="auto"/>
                <w:sz w:val="21"/>
                <w:highlight w:val="none"/>
              </w:rPr>
              <w:t>形式评审标准</w:t>
            </w:r>
          </w:p>
        </w:tc>
        <w:tc>
          <w:tcPr>
            <w:tcW w:w="1894" w:type="dxa"/>
          </w:tcPr>
          <w:p>
            <w:pPr>
              <w:pStyle w:val="22"/>
              <w:spacing w:before="6"/>
              <w:rPr>
                <w:rFonts w:ascii="Times New Roman"/>
                <w:color w:val="auto"/>
                <w:sz w:val="21"/>
                <w:highlight w:val="none"/>
              </w:rPr>
            </w:pPr>
          </w:p>
          <w:p>
            <w:pPr>
              <w:pStyle w:val="22"/>
              <w:ind w:left="103" w:right="19"/>
              <w:jc w:val="center"/>
              <w:rPr>
                <w:rFonts w:ascii="宋体" w:eastAsia="宋体"/>
                <w:color w:val="auto"/>
                <w:sz w:val="21"/>
                <w:highlight w:val="none"/>
              </w:rPr>
            </w:pPr>
            <w:r>
              <w:rPr>
                <w:rFonts w:hint="eastAsia" w:ascii="宋体" w:eastAsia="宋体"/>
                <w:color w:val="auto"/>
                <w:sz w:val="21"/>
                <w:highlight w:val="none"/>
              </w:rPr>
              <w:t>供应商名称</w:t>
            </w:r>
          </w:p>
        </w:tc>
        <w:tc>
          <w:tcPr>
            <w:tcW w:w="5659" w:type="dxa"/>
          </w:tcPr>
          <w:p>
            <w:pPr>
              <w:pStyle w:val="22"/>
              <w:spacing w:before="6"/>
              <w:rPr>
                <w:rFonts w:ascii="Times New Roman"/>
                <w:color w:val="auto"/>
                <w:sz w:val="21"/>
                <w:highlight w:val="none"/>
              </w:rPr>
            </w:pPr>
          </w:p>
          <w:p>
            <w:pPr>
              <w:pStyle w:val="22"/>
              <w:ind w:left="75"/>
              <w:rPr>
                <w:rFonts w:ascii="宋体" w:eastAsia="宋体"/>
                <w:color w:val="auto"/>
                <w:sz w:val="21"/>
                <w:highlight w:val="none"/>
              </w:rPr>
            </w:pPr>
            <w:r>
              <w:rPr>
                <w:rFonts w:hint="eastAsia" w:ascii="宋体" w:eastAsia="宋体"/>
                <w:color w:val="auto"/>
                <w:sz w:val="21"/>
                <w:highlight w:val="none"/>
              </w:rPr>
              <w:t>与营业执照一致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684" w:type="dxa"/>
            <w:vMerge w:val="continue"/>
            <w:tcBorders>
              <w:top w:val="nil"/>
            </w:tcBorders>
          </w:tcPr>
          <w:p>
            <w:pPr>
              <w:rPr>
                <w:color w:val="auto"/>
                <w:sz w:val="2"/>
                <w:szCs w:val="2"/>
                <w:highlight w:val="none"/>
              </w:rPr>
            </w:pPr>
          </w:p>
        </w:tc>
        <w:tc>
          <w:tcPr>
            <w:tcW w:w="961" w:type="dxa"/>
            <w:vMerge w:val="continue"/>
            <w:tcBorders>
              <w:top w:val="nil"/>
            </w:tcBorders>
          </w:tcPr>
          <w:p>
            <w:pPr>
              <w:rPr>
                <w:color w:val="auto"/>
                <w:sz w:val="2"/>
                <w:szCs w:val="2"/>
                <w:highlight w:val="none"/>
              </w:rPr>
            </w:pPr>
          </w:p>
        </w:tc>
        <w:tc>
          <w:tcPr>
            <w:tcW w:w="1894" w:type="dxa"/>
          </w:tcPr>
          <w:p>
            <w:pPr>
              <w:pStyle w:val="22"/>
              <w:spacing w:before="7"/>
              <w:rPr>
                <w:rFonts w:ascii="Times New Roman"/>
                <w:color w:val="auto"/>
                <w:sz w:val="21"/>
                <w:highlight w:val="none"/>
              </w:rPr>
            </w:pPr>
          </w:p>
          <w:p>
            <w:pPr>
              <w:pStyle w:val="22"/>
              <w:ind w:left="100" w:right="19"/>
              <w:jc w:val="center"/>
              <w:rPr>
                <w:rFonts w:ascii="宋体" w:eastAsia="宋体"/>
                <w:color w:val="auto"/>
                <w:sz w:val="21"/>
                <w:highlight w:val="none"/>
              </w:rPr>
            </w:pPr>
            <w:r>
              <w:rPr>
                <w:rFonts w:hint="eastAsia" w:ascii="宋体" w:eastAsia="宋体"/>
                <w:color w:val="auto"/>
                <w:sz w:val="21"/>
                <w:highlight w:val="none"/>
              </w:rPr>
              <w:t>响应文件格式</w:t>
            </w:r>
          </w:p>
        </w:tc>
        <w:tc>
          <w:tcPr>
            <w:tcW w:w="5659" w:type="dxa"/>
          </w:tcPr>
          <w:p>
            <w:pPr>
              <w:pStyle w:val="22"/>
              <w:spacing w:before="7"/>
              <w:rPr>
                <w:rFonts w:ascii="Times New Roman"/>
                <w:color w:val="auto"/>
                <w:sz w:val="21"/>
                <w:highlight w:val="none"/>
              </w:rPr>
            </w:pPr>
          </w:p>
          <w:p>
            <w:pPr>
              <w:pStyle w:val="22"/>
              <w:ind w:left="75"/>
              <w:rPr>
                <w:rFonts w:ascii="宋体" w:hAnsi="宋体" w:eastAsia="宋体"/>
                <w:color w:val="auto"/>
                <w:sz w:val="21"/>
                <w:highlight w:val="none"/>
              </w:rPr>
            </w:pPr>
            <w:r>
              <w:rPr>
                <w:rFonts w:hint="eastAsia" w:ascii="宋体" w:hAnsi="宋体" w:eastAsia="宋体"/>
                <w:color w:val="auto"/>
                <w:sz w:val="21"/>
                <w:highlight w:val="none"/>
              </w:rPr>
              <w:t>符合第六章</w:t>
            </w:r>
            <w:r>
              <w:rPr>
                <w:rFonts w:ascii="Times New Roman" w:hAnsi="Times New Roman" w:eastAsia="Times New Roman"/>
                <w:color w:val="auto"/>
                <w:sz w:val="21"/>
                <w:highlight w:val="none"/>
              </w:rPr>
              <w:t>“</w:t>
            </w:r>
            <w:r>
              <w:rPr>
                <w:rFonts w:hint="eastAsia" w:ascii="宋体" w:hAnsi="宋体" w:eastAsia="宋体"/>
                <w:color w:val="auto"/>
                <w:sz w:val="21"/>
                <w:highlight w:val="none"/>
              </w:rPr>
              <w:t>响应文件格式</w:t>
            </w:r>
            <w:r>
              <w:rPr>
                <w:rFonts w:ascii="Times New Roman" w:hAnsi="Times New Roman" w:eastAsia="Times New Roman"/>
                <w:color w:val="auto"/>
                <w:sz w:val="21"/>
                <w:highlight w:val="none"/>
              </w:rPr>
              <w:t>”</w:t>
            </w:r>
            <w:r>
              <w:rPr>
                <w:rFonts w:hint="eastAsia" w:ascii="宋体" w:hAnsi="宋体" w:eastAsia="宋体"/>
                <w:color w:val="auto"/>
                <w:sz w:val="21"/>
                <w:highlight w:val="none"/>
              </w:rPr>
              <w:t>的规定，关键字迹清晰可辨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684" w:type="dxa"/>
            <w:vMerge w:val="continue"/>
            <w:tcBorders>
              <w:top w:val="nil"/>
            </w:tcBorders>
          </w:tcPr>
          <w:p>
            <w:pPr>
              <w:rPr>
                <w:color w:val="auto"/>
                <w:sz w:val="2"/>
                <w:szCs w:val="2"/>
                <w:highlight w:val="none"/>
              </w:rPr>
            </w:pPr>
          </w:p>
        </w:tc>
        <w:tc>
          <w:tcPr>
            <w:tcW w:w="961" w:type="dxa"/>
            <w:vMerge w:val="continue"/>
            <w:tcBorders>
              <w:top w:val="nil"/>
            </w:tcBorders>
          </w:tcPr>
          <w:p>
            <w:pPr>
              <w:rPr>
                <w:color w:val="auto"/>
                <w:sz w:val="2"/>
                <w:szCs w:val="2"/>
                <w:highlight w:val="none"/>
              </w:rPr>
            </w:pPr>
          </w:p>
        </w:tc>
        <w:tc>
          <w:tcPr>
            <w:tcW w:w="1894" w:type="dxa"/>
          </w:tcPr>
          <w:p>
            <w:pPr>
              <w:pStyle w:val="22"/>
              <w:spacing w:before="6"/>
              <w:rPr>
                <w:rFonts w:ascii="Times New Roman"/>
                <w:color w:val="auto"/>
                <w:sz w:val="21"/>
                <w:highlight w:val="none"/>
              </w:rPr>
            </w:pPr>
          </w:p>
          <w:p>
            <w:pPr>
              <w:pStyle w:val="22"/>
              <w:ind w:left="103" w:right="19"/>
              <w:jc w:val="center"/>
              <w:rPr>
                <w:rFonts w:ascii="宋体" w:eastAsia="宋体"/>
                <w:color w:val="auto"/>
                <w:sz w:val="21"/>
                <w:highlight w:val="none"/>
              </w:rPr>
            </w:pPr>
            <w:r>
              <w:rPr>
                <w:rFonts w:hint="eastAsia" w:ascii="宋体" w:eastAsia="宋体"/>
                <w:color w:val="auto"/>
                <w:sz w:val="21"/>
                <w:highlight w:val="none"/>
              </w:rPr>
              <w:t>签名及盖章</w:t>
            </w:r>
          </w:p>
        </w:tc>
        <w:tc>
          <w:tcPr>
            <w:tcW w:w="5659" w:type="dxa"/>
          </w:tcPr>
          <w:p>
            <w:pPr>
              <w:pStyle w:val="22"/>
              <w:spacing w:before="6"/>
              <w:rPr>
                <w:rFonts w:ascii="Times New Roman"/>
                <w:color w:val="auto"/>
                <w:sz w:val="21"/>
                <w:highlight w:val="none"/>
              </w:rPr>
            </w:pPr>
          </w:p>
          <w:p>
            <w:pPr>
              <w:pStyle w:val="22"/>
              <w:ind w:left="75"/>
              <w:rPr>
                <w:rFonts w:ascii="宋体" w:hAnsi="宋体" w:eastAsia="宋体"/>
                <w:color w:val="auto"/>
                <w:sz w:val="21"/>
                <w:highlight w:val="none"/>
              </w:rPr>
            </w:pPr>
            <w:r>
              <w:rPr>
                <w:rFonts w:hint="eastAsia" w:ascii="宋体" w:hAnsi="宋体" w:eastAsia="宋体"/>
                <w:color w:val="auto"/>
                <w:sz w:val="21"/>
                <w:highlight w:val="none"/>
              </w:rPr>
              <w:t>符合第二章</w:t>
            </w:r>
            <w:r>
              <w:rPr>
                <w:rFonts w:ascii="Times New Roman" w:hAnsi="Times New Roman" w:eastAsia="Times New Roman"/>
                <w:color w:val="auto"/>
                <w:sz w:val="21"/>
                <w:highlight w:val="none"/>
              </w:rPr>
              <w:t>“</w:t>
            </w:r>
            <w:r>
              <w:rPr>
                <w:rFonts w:hint="eastAsia" w:ascii="宋体" w:hAnsi="宋体" w:eastAsia="宋体"/>
                <w:color w:val="auto"/>
                <w:sz w:val="21"/>
                <w:highlight w:val="none"/>
              </w:rPr>
              <w:t>供应商须知</w:t>
            </w:r>
            <w:r>
              <w:rPr>
                <w:rFonts w:ascii="Times New Roman" w:hAnsi="Times New Roman" w:eastAsia="Times New Roman"/>
                <w:color w:val="auto"/>
                <w:sz w:val="21"/>
                <w:highlight w:val="none"/>
              </w:rPr>
              <w:t>”</w:t>
            </w:r>
            <w:r>
              <w:rPr>
                <w:rFonts w:hint="eastAsia" w:ascii="宋体" w:hAnsi="宋体" w:eastAsia="宋体"/>
                <w:color w:val="auto"/>
                <w:sz w:val="21"/>
                <w:highlight w:val="none"/>
              </w:rPr>
              <w:t xml:space="preserve">第 </w:t>
            </w:r>
            <w:r>
              <w:rPr>
                <w:rFonts w:ascii="Times New Roman" w:hAnsi="Times New Roman" w:eastAsia="Times New Roman"/>
                <w:color w:val="auto"/>
                <w:sz w:val="21"/>
                <w:highlight w:val="none"/>
              </w:rPr>
              <w:t xml:space="preserve">3.6.3 </w:t>
            </w:r>
            <w:r>
              <w:rPr>
                <w:rFonts w:hint="eastAsia" w:ascii="宋体" w:hAnsi="宋体" w:eastAsia="宋体"/>
                <w:color w:val="auto"/>
                <w:sz w:val="21"/>
                <w:highlight w:val="none"/>
              </w:rPr>
              <w:t>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84" w:type="dxa"/>
            <w:vMerge w:val="continue"/>
            <w:tcBorders>
              <w:top w:val="nil"/>
            </w:tcBorders>
          </w:tcPr>
          <w:p>
            <w:pPr>
              <w:rPr>
                <w:color w:val="auto"/>
                <w:sz w:val="2"/>
                <w:szCs w:val="2"/>
                <w:highlight w:val="none"/>
              </w:rPr>
            </w:pPr>
          </w:p>
        </w:tc>
        <w:tc>
          <w:tcPr>
            <w:tcW w:w="961" w:type="dxa"/>
            <w:vMerge w:val="continue"/>
            <w:tcBorders>
              <w:top w:val="nil"/>
            </w:tcBorders>
          </w:tcPr>
          <w:p>
            <w:pPr>
              <w:rPr>
                <w:color w:val="auto"/>
                <w:sz w:val="2"/>
                <w:szCs w:val="2"/>
                <w:highlight w:val="none"/>
              </w:rPr>
            </w:pPr>
          </w:p>
        </w:tc>
        <w:tc>
          <w:tcPr>
            <w:tcW w:w="1894" w:type="dxa"/>
          </w:tcPr>
          <w:p>
            <w:pPr>
              <w:pStyle w:val="22"/>
              <w:spacing w:before="10" w:line="360" w:lineRule="exact"/>
              <w:ind w:left="879" w:right="61" w:hanging="732"/>
              <w:rPr>
                <w:rFonts w:ascii="宋体" w:eastAsia="宋体"/>
                <w:color w:val="auto"/>
                <w:sz w:val="21"/>
                <w:highlight w:val="none"/>
              </w:rPr>
            </w:pPr>
            <w:r>
              <w:rPr>
                <w:rFonts w:ascii="Times New Roman" w:eastAsia="Times New Roman"/>
                <w:color w:val="auto"/>
                <w:sz w:val="21"/>
                <w:highlight w:val="none"/>
              </w:rPr>
              <w:t xml:space="preserve">U </w:t>
            </w:r>
            <w:r>
              <w:rPr>
                <w:rFonts w:hint="eastAsia" w:ascii="宋体" w:eastAsia="宋体"/>
                <w:color w:val="auto"/>
                <w:sz w:val="21"/>
                <w:highlight w:val="none"/>
              </w:rPr>
              <w:t>盘及响应文件份数</w:t>
            </w:r>
          </w:p>
        </w:tc>
        <w:tc>
          <w:tcPr>
            <w:tcW w:w="5659" w:type="dxa"/>
          </w:tcPr>
          <w:p>
            <w:pPr>
              <w:pStyle w:val="22"/>
              <w:spacing w:before="3"/>
              <w:rPr>
                <w:rFonts w:ascii="Times New Roman"/>
                <w:color w:val="auto"/>
                <w:sz w:val="23"/>
                <w:highlight w:val="none"/>
              </w:rPr>
            </w:pPr>
          </w:p>
          <w:p>
            <w:pPr>
              <w:pStyle w:val="22"/>
              <w:ind w:left="75"/>
              <w:rPr>
                <w:rFonts w:ascii="宋体" w:hAnsi="宋体" w:eastAsia="宋体"/>
                <w:color w:val="auto"/>
                <w:sz w:val="21"/>
                <w:highlight w:val="none"/>
              </w:rPr>
            </w:pPr>
            <w:r>
              <w:rPr>
                <w:rFonts w:hint="eastAsia" w:ascii="宋体" w:hAnsi="宋体" w:eastAsia="宋体"/>
                <w:color w:val="auto"/>
                <w:sz w:val="21"/>
                <w:highlight w:val="none"/>
              </w:rPr>
              <w:t>符合第二章</w:t>
            </w:r>
            <w:r>
              <w:rPr>
                <w:rFonts w:ascii="Times New Roman" w:hAnsi="Times New Roman" w:eastAsia="Times New Roman"/>
                <w:color w:val="auto"/>
                <w:sz w:val="21"/>
                <w:highlight w:val="none"/>
              </w:rPr>
              <w:t>“</w:t>
            </w:r>
            <w:r>
              <w:rPr>
                <w:rFonts w:hint="eastAsia" w:ascii="宋体" w:hAnsi="宋体" w:eastAsia="宋体"/>
                <w:color w:val="auto"/>
                <w:sz w:val="21"/>
                <w:highlight w:val="none"/>
              </w:rPr>
              <w:t>供应商须知</w:t>
            </w:r>
            <w:r>
              <w:rPr>
                <w:rFonts w:ascii="Times New Roman" w:hAnsi="Times New Roman" w:eastAsia="Times New Roman"/>
                <w:color w:val="auto"/>
                <w:sz w:val="21"/>
                <w:highlight w:val="none"/>
              </w:rPr>
              <w:t>”</w:t>
            </w:r>
            <w:r>
              <w:rPr>
                <w:rFonts w:hint="eastAsia" w:ascii="宋体" w:hAnsi="宋体" w:eastAsia="宋体"/>
                <w:color w:val="auto"/>
                <w:sz w:val="21"/>
                <w:highlight w:val="none"/>
              </w:rPr>
              <w:t xml:space="preserve">第 </w:t>
            </w:r>
            <w:r>
              <w:rPr>
                <w:rFonts w:ascii="Times New Roman" w:hAnsi="Times New Roman" w:eastAsia="Times New Roman"/>
                <w:color w:val="auto"/>
                <w:sz w:val="21"/>
                <w:highlight w:val="none"/>
              </w:rPr>
              <w:t xml:space="preserve">3.6.3 </w:t>
            </w:r>
            <w:r>
              <w:rPr>
                <w:rFonts w:hint="eastAsia" w:ascii="宋体" w:hAnsi="宋体" w:eastAsia="宋体"/>
                <w:color w:val="auto"/>
                <w:sz w:val="21"/>
                <w:highlight w:val="none"/>
              </w:rPr>
              <w:t>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684" w:type="dxa"/>
          </w:tcPr>
          <w:p>
            <w:pPr>
              <w:pStyle w:val="22"/>
              <w:spacing w:before="10"/>
              <w:rPr>
                <w:rFonts w:ascii="Times New Roman"/>
                <w:color w:val="auto"/>
                <w:sz w:val="24"/>
                <w:highlight w:val="none"/>
              </w:rPr>
            </w:pPr>
          </w:p>
          <w:p>
            <w:pPr>
              <w:pStyle w:val="22"/>
              <w:ind w:left="131"/>
              <w:rPr>
                <w:rFonts w:ascii="Times New Roman"/>
                <w:color w:val="auto"/>
                <w:sz w:val="21"/>
                <w:highlight w:val="none"/>
              </w:rPr>
            </w:pPr>
            <w:r>
              <w:rPr>
                <w:rFonts w:ascii="Times New Roman"/>
                <w:color w:val="auto"/>
                <w:sz w:val="21"/>
                <w:highlight w:val="none"/>
              </w:rPr>
              <w:t>2.1.2</w:t>
            </w:r>
          </w:p>
        </w:tc>
        <w:tc>
          <w:tcPr>
            <w:tcW w:w="961" w:type="dxa"/>
          </w:tcPr>
          <w:p>
            <w:pPr>
              <w:pStyle w:val="22"/>
              <w:spacing w:before="77"/>
              <w:ind w:left="38" w:right="32"/>
              <w:jc w:val="center"/>
              <w:rPr>
                <w:rFonts w:ascii="宋体" w:eastAsia="宋体"/>
                <w:color w:val="auto"/>
                <w:sz w:val="21"/>
                <w:highlight w:val="none"/>
              </w:rPr>
            </w:pPr>
            <w:r>
              <w:rPr>
                <w:rFonts w:hint="eastAsia" w:ascii="宋体" w:eastAsia="宋体"/>
                <w:color w:val="auto"/>
                <w:sz w:val="21"/>
                <w:highlight w:val="none"/>
              </w:rPr>
              <w:t>资格评审</w:t>
            </w:r>
          </w:p>
          <w:p>
            <w:pPr>
              <w:pStyle w:val="22"/>
              <w:spacing w:before="91" w:line="252" w:lineRule="exact"/>
              <w:ind w:left="35" w:right="32"/>
              <w:jc w:val="center"/>
              <w:rPr>
                <w:rFonts w:ascii="宋体" w:eastAsia="宋体"/>
                <w:color w:val="auto"/>
                <w:sz w:val="21"/>
                <w:highlight w:val="none"/>
              </w:rPr>
            </w:pPr>
            <w:r>
              <w:rPr>
                <w:rFonts w:hint="eastAsia" w:ascii="宋体" w:eastAsia="宋体"/>
                <w:color w:val="auto"/>
                <w:sz w:val="21"/>
                <w:highlight w:val="none"/>
              </w:rPr>
              <w:t>标准</w:t>
            </w:r>
          </w:p>
        </w:tc>
        <w:tc>
          <w:tcPr>
            <w:tcW w:w="1894" w:type="dxa"/>
          </w:tcPr>
          <w:p>
            <w:pPr>
              <w:pStyle w:val="22"/>
              <w:spacing w:before="10" w:line="360" w:lineRule="exact"/>
              <w:ind w:left="879" w:right="61" w:hanging="732"/>
              <w:rPr>
                <w:rFonts w:ascii="Times New Roman" w:eastAsia="Times New Roman"/>
                <w:color w:val="auto"/>
                <w:sz w:val="21"/>
                <w:highlight w:val="none"/>
              </w:rPr>
            </w:pPr>
            <w:r>
              <w:rPr>
                <w:rFonts w:hint="eastAsia" w:ascii="Times New Roman" w:eastAsia="Times New Roman"/>
                <w:color w:val="auto"/>
                <w:sz w:val="21"/>
                <w:highlight w:val="none"/>
              </w:rPr>
              <w:t>资质条件、</w:t>
            </w:r>
          </w:p>
          <w:p>
            <w:pPr>
              <w:pStyle w:val="22"/>
              <w:spacing w:before="10" w:line="360" w:lineRule="exact"/>
              <w:ind w:left="879" w:right="61" w:hanging="732"/>
              <w:rPr>
                <w:rFonts w:ascii="宋体" w:eastAsia="宋体"/>
                <w:color w:val="auto"/>
                <w:sz w:val="21"/>
                <w:highlight w:val="none"/>
                <w:lang w:val="en-US"/>
              </w:rPr>
            </w:pPr>
            <w:r>
              <w:rPr>
                <w:rFonts w:hint="eastAsia" w:ascii="Times New Roman" w:eastAsia="Times New Roman"/>
                <w:color w:val="auto"/>
                <w:sz w:val="21"/>
                <w:highlight w:val="none"/>
              </w:rPr>
              <w:t>能</w:t>
            </w:r>
            <w:r>
              <w:rPr>
                <w:rFonts w:hint="eastAsia" w:ascii="Times New Roman" w:eastAsia="宋体"/>
                <w:color w:val="auto"/>
                <w:sz w:val="21"/>
                <w:highlight w:val="none"/>
                <w:lang w:val="en-US"/>
              </w:rPr>
              <w:t>力、信誉</w:t>
            </w:r>
          </w:p>
        </w:tc>
        <w:tc>
          <w:tcPr>
            <w:tcW w:w="5659" w:type="dxa"/>
          </w:tcPr>
          <w:p>
            <w:pPr>
              <w:pStyle w:val="22"/>
              <w:spacing w:before="4"/>
              <w:rPr>
                <w:rFonts w:ascii="Times New Roman"/>
                <w:color w:val="auto"/>
                <w:highlight w:val="none"/>
              </w:rPr>
            </w:pPr>
          </w:p>
          <w:p>
            <w:pPr>
              <w:pStyle w:val="22"/>
              <w:spacing w:before="1"/>
              <w:ind w:left="75"/>
              <w:rPr>
                <w:rFonts w:ascii="宋体" w:hAnsi="宋体" w:eastAsia="宋体"/>
                <w:color w:val="auto"/>
                <w:sz w:val="21"/>
                <w:highlight w:val="none"/>
              </w:rPr>
            </w:pPr>
            <w:r>
              <w:rPr>
                <w:rFonts w:hint="eastAsia" w:ascii="宋体" w:hAnsi="宋体" w:eastAsia="宋体"/>
                <w:color w:val="auto"/>
                <w:sz w:val="21"/>
                <w:highlight w:val="none"/>
              </w:rPr>
              <w:t>符合第二章</w:t>
            </w:r>
            <w:r>
              <w:rPr>
                <w:rFonts w:ascii="Times New Roman" w:hAnsi="Times New Roman" w:eastAsia="Times New Roman"/>
                <w:color w:val="auto"/>
                <w:sz w:val="21"/>
                <w:highlight w:val="none"/>
              </w:rPr>
              <w:t>“</w:t>
            </w:r>
            <w:r>
              <w:rPr>
                <w:rFonts w:hint="eastAsia" w:ascii="宋体" w:hAnsi="宋体" w:eastAsia="宋体"/>
                <w:color w:val="auto"/>
                <w:sz w:val="21"/>
                <w:highlight w:val="none"/>
              </w:rPr>
              <w:t>供应商须知</w:t>
            </w:r>
            <w:r>
              <w:rPr>
                <w:rFonts w:ascii="Times New Roman" w:hAnsi="Times New Roman" w:eastAsia="Times New Roman"/>
                <w:color w:val="auto"/>
                <w:sz w:val="21"/>
                <w:highlight w:val="none"/>
              </w:rPr>
              <w:t>”</w:t>
            </w:r>
            <w:r>
              <w:rPr>
                <w:rFonts w:hint="eastAsia" w:ascii="宋体" w:hAnsi="宋体" w:eastAsia="宋体"/>
                <w:color w:val="auto"/>
                <w:sz w:val="21"/>
                <w:highlight w:val="none"/>
              </w:rPr>
              <w:t xml:space="preserve">第 </w:t>
            </w:r>
            <w:r>
              <w:rPr>
                <w:rFonts w:ascii="Times New Roman" w:hAnsi="Times New Roman" w:eastAsia="Times New Roman"/>
                <w:color w:val="auto"/>
                <w:sz w:val="21"/>
                <w:highlight w:val="none"/>
              </w:rPr>
              <w:t xml:space="preserve">1.2 </w:t>
            </w:r>
            <w:r>
              <w:rPr>
                <w:rFonts w:hint="eastAsia" w:ascii="宋体" w:hAnsi="宋体" w:eastAsia="宋体"/>
                <w:color w:val="auto"/>
                <w:sz w:val="21"/>
                <w:highlight w:val="none"/>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684" w:type="dxa"/>
            <w:vMerge w:val="restart"/>
          </w:tcPr>
          <w:p>
            <w:pPr>
              <w:pStyle w:val="22"/>
              <w:rPr>
                <w:rFonts w:ascii="Times New Roman"/>
                <w:color w:val="auto"/>
                <w:highlight w:val="none"/>
              </w:rPr>
            </w:pPr>
          </w:p>
          <w:p>
            <w:pPr>
              <w:pStyle w:val="22"/>
              <w:rPr>
                <w:rFonts w:ascii="Times New Roman"/>
                <w:color w:val="auto"/>
                <w:highlight w:val="none"/>
              </w:rPr>
            </w:pPr>
          </w:p>
          <w:p>
            <w:pPr>
              <w:pStyle w:val="22"/>
              <w:rPr>
                <w:rFonts w:ascii="Times New Roman"/>
                <w:color w:val="auto"/>
                <w:highlight w:val="none"/>
              </w:rPr>
            </w:pPr>
          </w:p>
          <w:p>
            <w:pPr>
              <w:pStyle w:val="22"/>
              <w:rPr>
                <w:rFonts w:ascii="Times New Roman"/>
                <w:color w:val="auto"/>
                <w:highlight w:val="none"/>
              </w:rPr>
            </w:pPr>
          </w:p>
          <w:p>
            <w:pPr>
              <w:pStyle w:val="22"/>
              <w:rPr>
                <w:rFonts w:ascii="Times New Roman"/>
                <w:color w:val="auto"/>
                <w:highlight w:val="none"/>
              </w:rPr>
            </w:pPr>
          </w:p>
          <w:p>
            <w:pPr>
              <w:pStyle w:val="22"/>
              <w:rPr>
                <w:rFonts w:ascii="Times New Roman"/>
                <w:color w:val="auto"/>
                <w:highlight w:val="none"/>
              </w:rPr>
            </w:pPr>
          </w:p>
          <w:p>
            <w:pPr>
              <w:pStyle w:val="22"/>
              <w:rPr>
                <w:rFonts w:ascii="Times New Roman"/>
                <w:color w:val="auto"/>
                <w:highlight w:val="none"/>
              </w:rPr>
            </w:pPr>
          </w:p>
          <w:p>
            <w:pPr>
              <w:pStyle w:val="22"/>
              <w:rPr>
                <w:rFonts w:ascii="Times New Roman"/>
                <w:color w:val="auto"/>
                <w:highlight w:val="none"/>
              </w:rPr>
            </w:pPr>
          </w:p>
          <w:p>
            <w:pPr>
              <w:pStyle w:val="22"/>
              <w:rPr>
                <w:rFonts w:ascii="Times New Roman"/>
                <w:color w:val="auto"/>
                <w:highlight w:val="none"/>
              </w:rPr>
            </w:pPr>
          </w:p>
          <w:p>
            <w:pPr>
              <w:pStyle w:val="22"/>
              <w:rPr>
                <w:rFonts w:ascii="Times New Roman"/>
                <w:color w:val="auto"/>
                <w:highlight w:val="none"/>
              </w:rPr>
            </w:pPr>
          </w:p>
          <w:p>
            <w:pPr>
              <w:pStyle w:val="22"/>
              <w:rPr>
                <w:rFonts w:ascii="Times New Roman"/>
                <w:color w:val="auto"/>
                <w:highlight w:val="none"/>
              </w:rPr>
            </w:pPr>
          </w:p>
          <w:p>
            <w:pPr>
              <w:pStyle w:val="22"/>
              <w:spacing w:before="3"/>
              <w:rPr>
                <w:rFonts w:ascii="Times New Roman"/>
                <w:color w:val="auto"/>
                <w:highlight w:val="none"/>
              </w:rPr>
            </w:pPr>
          </w:p>
          <w:p>
            <w:pPr>
              <w:pStyle w:val="22"/>
              <w:ind w:left="131"/>
              <w:rPr>
                <w:rFonts w:ascii="Times New Roman"/>
                <w:color w:val="auto"/>
                <w:sz w:val="21"/>
                <w:highlight w:val="none"/>
              </w:rPr>
            </w:pPr>
            <w:r>
              <w:rPr>
                <w:rFonts w:ascii="Times New Roman"/>
                <w:color w:val="auto"/>
                <w:sz w:val="21"/>
                <w:highlight w:val="none"/>
              </w:rPr>
              <w:t>2.1.3</w:t>
            </w:r>
          </w:p>
        </w:tc>
        <w:tc>
          <w:tcPr>
            <w:tcW w:w="961" w:type="dxa"/>
            <w:vMerge w:val="restart"/>
          </w:tcPr>
          <w:p>
            <w:pPr>
              <w:pStyle w:val="22"/>
              <w:rPr>
                <w:rFonts w:ascii="Times New Roman"/>
                <w:color w:val="auto"/>
                <w:sz w:val="20"/>
                <w:highlight w:val="none"/>
              </w:rPr>
            </w:pPr>
          </w:p>
          <w:p>
            <w:pPr>
              <w:pStyle w:val="22"/>
              <w:rPr>
                <w:rFonts w:ascii="Times New Roman"/>
                <w:color w:val="auto"/>
                <w:sz w:val="20"/>
                <w:highlight w:val="none"/>
              </w:rPr>
            </w:pPr>
          </w:p>
          <w:p>
            <w:pPr>
              <w:pStyle w:val="22"/>
              <w:rPr>
                <w:rFonts w:ascii="Times New Roman"/>
                <w:color w:val="auto"/>
                <w:sz w:val="20"/>
                <w:highlight w:val="none"/>
              </w:rPr>
            </w:pPr>
          </w:p>
          <w:p>
            <w:pPr>
              <w:pStyle w:val="22"/>
              <w:rPr>
                <w:rFonts w:ascii="Times New Roman"/>
                <w:color w:val="auto"/>
                <w:sz w:val="20"/>
                <w:highlight w:val="none"/>
              </w:rPr>
            </w:pPr>
          </w:p>
          <w:p>
            <w:pPr>
              <w:pStyle w:val="22"/>
              <w:rPr>
                <w:rFonts w:ascii="Times New Roman"/>
                <w:color w:val="auto"/>
                <w:sz w:val="20"/>
                <w:highlight w:val="none"/>
              </w:rPr>
            </w:pPr>
          </w:p>
          <w:p>
            <w:pPr>
              <w:pStyle w:val="22"/>
              <w:rPr>
                <w:rFonts w:ascii="Times New Roman"/>
                <w:color w:val="auto"/>
                <w:sz w:val="20"/>
                <w:highlight w:val="none"/>
              </w:rPr>
            </w:pPr>
          </w:p>
          <w:p>
            <w:pPr>
              <w:pStyle w:val="22"/>
              <w:rPr>
                <w:rFonts w:ascii="Times New Roman"/>
                <w:color w:val="auto"/>
                <w:sz w:val="20"/>
                <w:highlight w:val="none"/>
              </w:rPr>
            </w:pPr>
          </w:p>
          <w:p>
            <w:pPr>
              <w:pStyle w:val="22"/>
              <w:rPr>
                <w:rFonts w:ascii="Times New Roman"/>
                <w:color w:val="auto"/>
                <w:sz w:val="20"/>
                <w:highlight w:val="none"/>
              </w:rPr>
            </w:pPr>
          </w:p>
          <w:p>
            <w:pPr>
              <w:pStyle w:val="22"/>
              <w:rPr>
                <w:rFonts w:ascii="Times New Roman"/>
                <w:color w:val="auto"/>
                <w:sz w:val="20"/>
                <w:highlight w:val="none"/>
              </w:rPr>
            </w:pPr>
          </w:p>
          <w:p>
            <w:pPr>
              <w:pStyle w:val="22"/>
              <w:rPr>
                <w:rFonts w:ascii="Times New Roman"/>
                <w:color w:val="auto"/>
                <w:sz w:val="20"/>
                <w:highlight w:val="none"/>
              </w:rPr>
            </w:pPr>
          </w:p>
          <w:p>
            <w:pPr>
              <w:pStyle w:val="22"/>
              <w:rPr>
                <w:rFonts w:ascii="Times New Roman"/>
                <w:color w:val="auto"/>
                <w:sz w:val="20"/>
                <w:highlight w:val="none"/>
              </w:rPr>
            </w:pPr>
          </w:p>
          <w:p>
            <w:pPr>
              <w:pStyle w:val="22"/>
              <w:spacing w:before="1"/>
              <w:rPr>
                <w:rFonts w:ascii="Times New Roman"/>
                <w:color w:val="auto"/>
                <w:sz w:val="26"/>
                <w:highlight w:val="none"/>
              </w:rPr>
            </w:pPr>
          </w:p>
          <w:p>
            <w:pPr>
              <w:pStyle w:val="22"/>
              <w:spacing w:before="1" w:line="321" w:lineRule="auto"/>
              <w:ind w:left="165" w:right="51" w:hanging="106"/>
              <w:rPr>
                <w:rFonts w:ascii="宋体" w:eastAsia="宋体"/>
                <w:color w:val="auto"/>
                <w:sz w:val="21"/>
                <w:highlight w:val="none"/>
              </w:rPr>
            </w:pPr>
            <w:r>
              <w:rPr>
                <w:rFonts w:hint="eastAsia" w:ascii="宋体" w:eastAsia="宋体"/>
                <w:color w:val="auto"/>
                <w:sz w:val="21"/>
                <w:highlight w:val="none"/>
              </w:rPr>
              <w:t>响应性评审标准</w:t>
            </w:r>
          </w:p>
        </w:tc>
        <w:tc>
          <w:tcPr>
            <w:tcW w:w="1894" w:type="dxa"/>
          </w:tcPr>
          <w:p>
            <w:pPr>
              <w:pStyle w:val="22"/>
              <w:spacing w:before="6"/>
              <w:rPr>
                <w:rFonts w:ascii="Times New Roman"/>
                <w:color w:val="auto"/>
                <w:sz w:val="21"/>
                <w:highlight w:val="none"/>
              </w:rPr>
            </w:pPr>
          </w:p>
          <w:p>
            <w:pPr>
              <w:pStyle w:val="22"/>
              <w:ind w:left="98" w:right="19"/>
              <w:jc w:val="center"/>
              <w:rPr>
                <w:rFonts w:ascii="宋体" w:eastAsia="宋体"/>
                <w:color w:val="auto"/>
                <w:sz w:val="21"/>
                <w:highlight w:val="none"/>
              </w:rPr>
            </w:pPr>
            <w:r>
              <w:rPr>
                <w:rFonts w:hint="eastAsia" w:ascii="宋体" w:eastAsia="宋体"/>
                <w:color w:val="auto"/>
                <w:sz w:val="21"/>
                <w:highlight w:val="none"/>
              </w:rPr>
              <w:t>报价内容</w:t>
            </w:r>
          </w:p>
        </w:tc>
        <w:tc>
          <w:tcPr>
            <w:tcW w:w="5659" w:type="dxa"/>
          </w:tcPr>
          <w:p>
            <w:pPr>
              <w:pStyle w:val="22"/>
              <w:spacing w:before="6"/>
              <w:rPr>
                <w:rFonts w:ascii="Times New Roman"/>
                <w:color w:val="auto"/>
                <w:sz w:val="21"/>
                <w:highlight w:val="none"/>
              </w:rPr>
            </w:pPr>
          </w:p>
          <w:p>
            <w:pPr>
              <w:pStyle w:val="22"/>
              <w:ind w:left="75"/>
              <w:rPr>
                <w:rFonts w:ascii="宋体" w:hAnsi="宋体" w:eastAsia="宋体"/>
                <w:color w:val="auto"/>
                <w:sz w:val="21"/>
                <w:highlight w:val="none"/>
              </w:rPr>
            </w:pPr>
            <w:r>
              <w:rPr>
                <w:rFonts w:hint="eastAsia" w:ascii="宋体" w:hAnsi="宋体" w:eastAsia="宋体"/>
                <w:color w:val="auto"/>
                <w:sz w:val="21"/>
                <w:highlight w:val="none"/>
              </w:rPr>
              <w:t>符合第一章</w:t>
            </w:r>
            <w:r>
              <w:rPr>
                <w:rFonts w:ascii="Times New Roman" w:hAnsi="Times New Roman" w:eastAsia="Times New Roman"/>
                <w:color w:val="auto"/>
                <w:sz w:val="21"/>
                <w:highlight w:val="none"/>
              </w:rPr>
              <w:t>“</w:t>
            </w:r>
            <w:r>
              <w:rPr>
                <w:rFonts w:hint="eastAsia" w:ascii="宋体" w:hAnsi="宋体" w:eastAsia="宋体"/>
                <w:color w:val="auto"/>
                <w:sz w:val="21"/>
                <w:highlight w:val="none"/>
              </w:rPr>
              <w:t>采购公告</w:t>
            </w:r>
            <w:r>
              <w:rPr>
                <w:rFonts w:ascii="Times New Roman" w:hAnsi="Times New Roman" w:eastAsia="Times New Roman"/>
                <w:color w:val="auto"/>
                <w:sz w:val="21"/>
                <w:highlight w:val="none"/>
              </w:rPr>
              <w:t>”</w:t>
            </w:r>
            <w:r>
              <w:rPr>
                <w:rFonts w:hint="eastAsia" w:ascii="宋体" w:hAnsi="宋体" w:eastAsia="宋体"/>
                <w:color w:val="auto"/>
                <w:sz w:val="21"/>
                <w:highlight w:val="none"/>
              </w:rPr>
              <w:t>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684" w:type="dxa"/>
            <w:vMerge w:val="continue"/>
            <w:tcBorders>
              <w:top w:val="nil"/>
            </w:tcBorders>
          </w:tcPr>
          <w:p>
            <w:pPr>
              <w:rPr>
                <w:color w:val="auto"/>
                <w:sz w:val="2"/>
                <w:szCs w:val="2"/>
                <w:highlight w:val="none"/>
              </w:rPr>
            </w:pPr>
          </w:p>
        </w:tc>
        <w:tc>
          <w:tcPr>
            <w:tcW w:w="961" w:type="dxa"/>
            <w:vMerge w:val="continue"/>
            <w:tcBorders>
              <w:top w:val="nil"/>
            </w:tcBorders>
          </w:tcPr>
          <w:p>
            <w:pPr>
              <w:rPr>
                <w:color w:val="auto"/>
                <w:sz w:val="2"/>
                <w:szCs w:val="2"/>
                <w:highlight w:val="none"/>
              </w:rPr>
            </w:pPr>
          </w:p>
        </w:tc>
        <w:tc>
          <w:tcPr>
            <w:tcW w:w="1894" w:type="dxa"/>
          </w:tcPr>
          <w:p>
            <w:pPr>
              <w:pStyle w:val="22"/>
              <w:spacing w:before="5"/>
              <w:rPr>
                <w:rFonts w:ascii="Times New Roman"/>
                <w:color w:val="auto"/>
                <w:sz w:val="21"/>
                <w:highlight w:val="none"/>
              </w:rPr>
            </w:pPr>
          </w:p>
          <w:p>
            <w:pPr>
              <w:pStyle w:val="22"/>
              <w:ind w:left="100" w:right="19"/>
              <w:jc w:val="center"/>
              <w:rPr>
                <w:rFonts w:ascii="宋体" w:eastAsia="宋体"/>
                <w:color w:val="auto"/>
                <w:sz w:val="21"/>
                <w:highlight w:val="none"/>
              </w:rPr>
            </w:pPr>
            <w:r>
              <w:rPr>
                <w:rFonts w:hint="eastAsia" w:ascii="宋体" w:eastAsia="宋体"/>
                <w:color w:val="auto"/>
                <w:sz w:val="21"/>
                <w:highlight w:val="none"/>
              </w:rPr>
              <w:t>服务期</w:t>
            </w:r>
          </w:p>
        </w:tc>
        <w:tc>
          <w:tcPr>
            <w:tcW w:w="5659" w:type="dxa"/>
          </w:tcPr>
          <w:p>
            <w:pPr>
              <w:pStyle w:val="22"/>
              <w:spacing w:before="5"/>
              <w:rPr>
                <w:rFonts w:ascii="Times New Roman"/>
                <w:color w:val="auto"/>
                <w:sz w:val="21"/>
                <w:highlight w:val="none"/>
              </w:rPr>
            </w:pPr>
          </w:p>
          <w:p>
            <w:pPr>
              <w:pStyle w:val="22"/>
              <w:ind w:left="75"/>
              <w:rPr>
                <w:rFonts w:ascii="宋体" w:hAnsi="宋体" w:eastAsia="宋体"/>
                <w:color w:val="auto"/>
                <w:sz w:val="21"/>
                <w:highlight w:val="none"/>
              </w:rPr>
            </w:pPr>
            <w:r>
              <w:rPr>
                <w:rFonts w:hint="eastAsia" w:ascii="宋体" w:hAnsi="宋体" w:eastAsia="宋体"/>
                <w:color w:val="auto"/>
                <w:sz w:val="21"/>
                <w:highlight w:val="none"/>
              </w:rPr>
              <w:t>符合第一章</w:t>
            </w:r>
            <w:r>
              <w:rPr>
                <w:rFonts w:ascii="Times New Roman" w:hAnsi="Times New Roman" w:eastAsia="Times New Roman"/>
                <w:color w:val="auto"/>
                <w:sz w:val="21"/>
                <w:highlight w:val="none"/>
              </w:rPr>
              <w:t>“</w:t>
            </w:r>
            <w:r>
              <w:rPr>
                <w:rFonts w:hint="eastAsia" w:ascii="宋体" w:hAnsi="宋体" w:eastAsia="宋体"/>
                <w:color w:val="auto"/>
                <w:sz w:val="21"/>
                <w:highlight w:val="none"/>
              </w:rPr>
              <w:t>采购公告</w:t>
            </w:r>
            <w:r>
              <w:rPr>
                <w:rFonts w:ascii="Times New Roman" w:hAnsi="Times New Roman" w:eastAsia="Times New Roman"/>
                <w:color w:val="auto"/>
                <w:sz w:val="21"/>
                <w:highlight w:val="none"/>
              </w:rPr>
              <w:t>”</w:t>
            </w:r>
            <w:r>
              <w:rPr>
                <w:rFonts w:hint="eastAsia" w:ascii="宋体" w:hAnsi="宋体" w:eastAsia="宋体"/>
                <w:color w:val="auto"/>
                <w:sz w:val="21"/>
                <w:highlight w:val="none"/>
              </w:rPr>
              <w:t>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9" w:hRule="atLeast"/>
        </w:trPr>
        <w:tc>
          <w:tcPr>
            <w:tcW w:w="684" w:type="dxa"/>
            <w:vMerge w:val="continue"/>
            <w:tcBorders>
              <w:top w:val="nil"/>
            </w:tcBorders>
          </w:tcPr>
          <w:p>
            <w:pPr>
              <w:rPr>
                <w:color w:val="auto"/>
                <w:sz w:val="2"/>
                <w:szCs w:val="2"/>
                <w:highlight w:val="none"/>
              </w:rPr>
            </w:pPr>
          </w:p>
        </w:tc>
        <w:tc>
          <w:tcPr>
            <w:tcW w:w="961" w:type="dxa"/>
            <w:vMerge w:val="continue"/>
            <w:tcBorders>
              <w:top w:val="nil"/>
            </w:tcBorders>
          </w:tcPr>
          <w:p>
            <w:pPr>
              <w:rPr>
                <w:color w:val="auto"/>
                <w:sz w:val="2"/>
                <w:szCs w:val="2"/>
                <w:highlight w:val="none"/>
              </w:rPr>
            </w:pPr>
          </w:p>
        </w:tc>
        <w:tc>
          <w:tcPr>
            <w:tcW w:w="1894" w:type="dxa"/>
          </w:tcPr>
          <w:p>
            <w:pPr>
              <w:pStyle w:val="22"/>
              <w:spacing w:before="6"/>
              <w:rPr>
                <w:rFonts w:ascii="Times New Roman"/>
                <w:color w:val="auto"/>
                <w:sz w:val="21"/>
                <w:highlight w:val="none"/>
              </w:rPr>
            </w:pPr>
          </w:p>
          <w:p>
            <w:pPr>
              <w:pStyle w:val="22"/>
              <w:ind w:left="98" w:right="19"/>
              <w:jc w:val="center"/>
              <w:rPr>
                <w:rFonts w:ascii="宋体" w:eastAsia="宋体"/>
                <w:color w:val="auto"/>
                <w:sz w:val="21"/>
                <w:highlight w:val="none"/>
              </w:rPr>
            </w:pPr>
            <w:r>
              <w:rPr>
                <w:rFonts w:hint="eastAsia" w:ascii="宋体" w:eastAsia="宋体"/>
                <w:color w:val="auto"/>
                <w:sz w:val="21"/>
                <w:highlight w:val="none"/>
              </w:rPr>
              <w:t>质量要求</w:t>
            </w:r>
          </w:p>
        </w:tc>
        <w:tc>
          <w:tcPr>
            <w:tcW w:w="5659" w:type="dxa"/>
          </w:tcPr>
          <w:p>
            <w:pPr>
              <w:pStyle w:val="22"/>
              <w:spacing w:before="6"/>
              <w:rPr>
                <w:rFonts w:ascii="Times New Roman"/>
                <w:color w:val="auto"/>
                <w:sz w:val="21"/>
                <w:highlight w:val="none"/>
              </w:rPr>
            </w:pPr>
          </w:p>
          <w:p>
            <w:pPr>
              <w:pStyle w:val="22"/>
              <w:ind w:left="75"/>
              <w:rPr>
                <w:rFonts w:ascii="宋体" w:hAnsi="宋体" w:eastAsia="宋体"/>
                <w:color w:val="auto"/>
                <w:sz w:val="21"/>
                <w:highlight w:val="none"/>
              </w:rPr>
            </w:pPr>
            <w:r>
              <w:rPr>
                <w:rFonts w:hint="eastAsia" w:ascii="宋体" w:hAnsi="宋体" w:eastAsia="宋体"/>
                <w:color w:val="auto"/>
                <w:sz w:val="21"/>
                <w:highlight w:val="none"/>
              </w:rPr>
              <w:t>符合第二章</w:t>
            </w:r>
            <w:r>
              <w:rPr>
                <w:rFonts w:ascii="Times New Roman" w:hAnsi="Times New Roman" w:eastAsia="Times New Roman"/>
                <w:color w:val="auto"/>
                <w:sz w:val="21"/>
                <w:highlight w:val="none"/>
              </w:rPr>
              <w:t>“</w:t>
            </w:r>
            <w:r>
              <w:rPr>
                <w:rFonts w:hint="eastAsia" w:ascii="宋体" w:hAnsi="宋体" w:eastAsia="宋体"/>
                <w:color w:val="auto"/>
                <w:sz w:val="21"/>
                <w:highlight w:val="none"/>
              </w:rPr>
              <w:t>供应商须知</w:t>
            </w:r>
            <w:r>
              <w:rPr>
                <w:rFonts w:ascii="Times New Roman" w:hAnsi="Times New Roman" w:eastAsia="Times New Roman"/>
                <w:color w:val="auto"/>
                <w:sz w:val="21"/>
                <w:highlight w:val="none"/>
              </w:rPr>
              <w:t>”</w:t>
            </w:r>
            <w:r>
              <w:rPr>
                <w:rFonts w:hint="eastAsia" w:ascii="宋体" w:hAnsi="宋体" w:eastAsia="宋体"/>
                <w:color w:val="auto"/>
                <w:sz w:val="21"/>
                <w:highlight w:val="none"/>
              </w:rPr>
              <w:t xml:space="preserve">第 </w:t>
            </w:r>
            <w:r>
              <w:rPr>
                <w:rFonts w:ascii="Times New Roman" w:hAnsi="Times New Roman" w:eastAsia="Times New Roman"/>
                <w:color w:val="auto"/>
                <w:sz w:val="21"/>
                <w:highlight w:val="none"/>
              </w:rPr>
              <w:t xml:space="preserve">1.1.1 </w:t>
            </w:r>
            <w:r>
              <w:rPr>
                <w:rFonts w:hint="eastAsia" w:ascii="宋体" w:hAnsi="宋体" w:eastAsia="宋体"/>
                <w:color w:val="auto"/>
                <w:sz w:val="21"/>
                <w:highlight w:val="none"/>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684" w:type="dxa"/>
            <w:vMerge w:val="continue"/>
            <w:tcBorders>
              <w:top w:val="nil"/>
            </w:tcBorders>
          </w:tcPr>
          <w:p>
            <w:pPr>
              <w:rPr>
                <w:color w:val="auto"/>
                <w:sz w:val="2"/>
                <w:szCs w:val="2"/>
                <w:highlight w:val="none"/>
              </w:rPr>
            </w:pPr>
          </w:p>
        </w:tc>
        <w:tc>
          <w:tcPr>
            <w:tcW w:w="961" w:type="dxa"/>
            <w:vMerge w:val="continue"/>
            <w:tcBorders>
              <w:top w:val="nil"/>
            </w:tcBorders>
          </w:tcPr>
          <w:p>
            <w:pPr>
              <w:rPr>
                <w:color w:val="auto"/>
                <w:sz w:val="2"/>
                <w:szCs w:val="2"/>
                <w:highlight w:val="none"/>
              </w:rPr>
            </w:pPr>
          </w:p>
        </w:tc>
        <w:tc>
          <w:tcPr>
            <w:tcW w:w="1894" w:type="dxa"/>
          </w:tcPr>
          <w:p>
            <w:pPr>
              <w:pStyle w:val="22"/>
              <w:spacing w:before="5"/>
              <w:rPr>
                <w:rFonts w:ascii="Times New Roman"/>
                <w:color w:val="auto"/>
                <w:sz w:val="21"/>
                <w:highlight w:val="none"/>
              </w:rPr>
            </w:pPr>
          </w:p>
          <w:p>
            <w:pPr>
              <w:pStyle w:val="22"/>
              <w:ind w:left="98" w:right="19"/>
              <w:jc w:val="center"/>
              <w:rPr>
                <w:rFonts w:ascii="宋体" w:eastAsia="宋体"/>
                <w:color w:val="auto"/>
                <w:sz w:val="21"/>
                <w:highlight w:val="none"/>
              </w:rPr>
            </w:pPr>
            <w:r>
              <w:rPr>
                <w:rFonts w:hint="eastAsia" w:ascii="宋体" w:eastAsia="宋体"/>
                <w:color w:val="auto"/>
                <w:sz w:val="21"/>
                <w:highlight w:val="none"/>
              </w:rPr>
              <w:t>安全目标</w:t>
            </w:r>
          </w:p>
        </w:tc>
        <w:tc>
          <w:tcPr>
            <w:tcW w:w="5659" w:type="dxa"/>
          </w:tcPr>
          <w:p>
            <w:pPr>
              <w:pStyle w:val="22"/>
              <w:spacing w:before="5"/>
              <w:rPr>
                <w:rFonts w:ascii="Times New Roman"/>
                <w:color w:val="auto"/>
                <w:sz w:val="21"/>
                <w:highlight w:val="none"/>
              </w:rPr>
            </w:pPr>
          </w:p>
          <w:p>
            <w:pPr>
              <w:pStyle w:val="22"/>
              <w:ind w:left="75"/>
              <w:rPr>
                <w:rFonts w:ascii="宋体" w:hAnsi="宋体" w:eastAsia="宋体"/>
                <w:color w:val="auto"/>
                <w:sz w:val="21"/>
                <w:highlight w:val="none"/>
              </w:rPr>
            </w:pPr>
            <w:r>
              <w:rPr>
                <w:rFonts w:hint="eastAsia" w:ascii="宋体" w:hAnsi="宋体" w:eastAsia="宋体"/>
                <w:color w:val="auto"/>
                <w:sz w:val="21"/>
                <w:highlight w:val="none"/>
              </w:rPr>
              <w:t>符合第二章</w:t>
            </w:r>
            <w:r>
              <w:rPr>
                <w:rFonts w:ascii="Times New Roman" w:hAnsi="Times New Roman" w:eastAsia="Times New Roman"/>
                <w:color w:val="auto"/>
                <w:sz w:val="21"/>
                <w:highlight w:val="none"/>
              </w:rPr>
              <w:t>“</w:t>
            </w:r>
            <w:r>
              <w:rPr>
                <w:rFonts w:hint="eastAsia" w:ascii="宋体" w:hAnsi="宋体" w:eastAsia="宋体"/>
                <w:color w:val="auto"/>
                <w:sz w:val="21"/>
                <w:highlight w:val="none"/>
              </w:rPr>
              <w:t>供应商须知</w:t>
            </w:r>
            <w:r>
              <w:rPr>
                <w:rFonts w:ascii="Times New Roman" w:hAnsi="Times New Roman" w:eastAsia="Times New Roman"/>
                <w:color w:val="auto"/>
                <w:sz w:val="21"/>
                <w:highlight w:val="none"/>
              </w:rPr>
              <w:t>”</w:t>
            </w:r>
            <w:r>
              <w:rPr>
                <w:rFonts w:hint="eastAsia" w:ascii="宋体" w:hAnsi="宋体" w:eastAsia="宋体"/>
                <w:color w:val="auto"/>
                <w:sz w:val="21"/>
                <w:highlight w:val="none"/>
              </w:rPr>
              <w:t xml:space="preserve">第 </w:t>
            </w:r>
            <w:r>
              <w:rPr>
                <w:rFonts w:ascii="Times New Roman" w:hAnsi="Times New Roman" w:eastAsia="Times New Roman"/>
                <w:color w:val="auto"/>
                <w:sz w:val="21"/>
                <w:highlight w:val="none"/>
              </w:rPr>
              <w:t xml:space="preserve">1.1.2 </w:t>
            </w:r>
            <w:r>
              <w:rPr>
                <w:rFonts w:hint="eastAsia" w:ascii="宋体" w:hAnsi="宋体" w:eastAsia="宋体"/>
                <w:color w:val="auto"/>
                <w:sz w:val="21"/>
                <w:highlight w:val="none"/>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684" w:type="dxa"/>
            <w:vMerge w:val="continue"/>
            <w:tcBorders>
              <w:top w:val="nil"/>
            </w:tcBorders>
          </w:tcPr>
          <w:p>
            <w:pPr>
              <w:rPr>
                <w:color w:val="auto"/>
                <w:sz w:val="2"/>
                <w:szCs w:val="2"/>
                <w:highlight w:val="none"/>
              </w:rPr>
            </w:pPr>
          </w:p>
        </w:tc>
        <w:tc>
          <w:tcPr>
            <w:tcW w:w="961" w:type="dxa"/>
            <w:vMerge w:val="continue"/>
            <w:tcBorders>
              <w:top w:val="nil"/>
            </w:tcBorders>
          </w:tcPr>
          <w:p>
            <w:pPr>
              <w:rPr>
                <w:color w:val="auto"/>
                <w:sz w:val="2"/>
                <w:szCs w:val="2"/>
                <w:highlight w:val="none"/>
              </w:rPr>
            </w:pPr>
          </w:p>
        </w:tc>
        <w:tc>
          <w:tcPr>
            <w:tcW w:w="1894" w:type="dxa"/>
          </w:tcPr>
          <w:p>
            <w:pPr>
              <w:pStyle w:val="22"/>
              <w:spacing w:before="6"/>
              <w:rPr>
                <w:rFonts w:ascii="Times New Roman"/>
                <w:color w:val="auto"/>
                <w:sz w:val="21"/>
                <w:highlight w:val="none"/>
              </w:rPr>
            </w:pPr>
          </w:p>
          <w:p>
            <w:pPr>
              <w:pStyle w:val="22"/>
              <w:ind w:left="103" w:right="19"/>
              <w:jc w:val="center"/>
              <w:rPr>
                <w:rFonts w:ascii="宋体" w:eastAsia="宋体"/>
                <w:color w:val="auto"/>
                <w:sz w:val="21"/>
                <w:highlight w:val="none"/>
              </w:rPr>
            </w:pPr>
            <w:r>
              <w:rPr>
                <w:rFonts w:hint="eastAsia" w:ascii="宋体" w:eastAsia="宋体"/>
                <w:color w:val="auto"/>
                <w:sz w:val="21"/>
                <w:highlight w:val="none"/>
              </w:rPr>
              <w:t>响应有效期</w:t>
            </w:r>
          </w:p>
        </w:tc>
        <w:tc>
          <w:tcPr>
            <w:tcW w:w="5659" w:type="dxa"/>
          </w:tcPr>
          <w:p>
            <w:pPr>
              <w:pStyle w:val="22"/>
              <w:spacing w:before="6"/>
              <w:rPr>
                <w:rFonts w:ascii="Times New Roman"/>
                <w:color w:val="auto"/>
                <w:sz w:val="21"/>
                <w:highlight w:val="none"/>
              </w:rPr>
            </w:pPr>
          </w:p>
          <w:p>
            <w:pPr>
              <w:pStyle w:val="22"/>
              <w:ind w:left="75"/>
              <w:rPr>
                <w:rFonts w:ascii="宋体" w:hAnsi="宋体" w:eastAsia="宋体"/>
                <w:color w:val="auto"/>
                <w:sz w:val="21"/>
                <w:highlight w:val="none"/>
              </w:rPr>
            </w:pPr>
            <w:r>
              <w:rPr>
                <w:rFonts w:hint="eastAsia" w:ascii="宋体" w:hAnsi="宋体" w:eastAsia="宋体"/>
                <w:color w:val="auto"/>
                <w:sz w:val="21"/>
                <w:highlight w:val="none"/>
              </w:rPr>
              <w:t>符合第二章</w:t>
            </w:r>
            <w:r>
              <w:rPr>
                <w:rFonts w:ascii="Times New Roman" w:hAnsi="Times New Roman" w:eastAsia="Times New Roman"/>
                <w:color w:val="auto"/>
                <w:sz w:val="21"/>
                <w:highlight w:val="none"/>
              </w:rPr>
              <w:t>“</w:t>
            </w:r>
            <w:r>
              <w:rPr>
                <w:rFonts w:hint="eastAsia" w:ascii="宋体" w:hAnsi="宋体" w:eastAsia="宋体"/>
                <w:color w:val="auto"/>
                <w:sz w:val="21"/>
                <w:highlight w:val="none"/>
              </w:rPr>
              <w:t>供应商须知</w:t>
            </w:r>
            <w:r>
              <w:rPr>
                <w:rFonts w:ascii="Times New Roman" w:hAnsi="Times New Roman" w:eastAsia="Times New Roman"/>
                <w:color w:val="auto"/>
                <w:sz w:val="21"/>
                <w:highlight w:val="none"/>
              </w:rPr>
              <w:t>”</w:t>
            </w:r>
            <w:r>
              <w:rPr>
                <w:rFonts w:hint="eastAsia" w:ascii="宋体" w:hAnsi="宋体" w:eastAsia="宋体"/>
                <w:color w:val="auto"/>
                <w:sz w:val="21"/>
                <w:highlight w:val="none"/>
              </w:rPr>
              <w:t xml:space="preserve">第 </w:t>
            </w:r>
            <w:r>
              <w:rPr>
                <w:rFonts w:ascii="Times New Roman" w:hAnsi="Times New Roman" w:eastAsia="Times New Roman"/>
                <w:color w:val="auto"/>
                <w:sz w:val="21"/>
                <w:highlight w:val="none"/>
              </w:rPr>
              <w:t xml:space="preserve">3.3.1 </w:t>
            </w:r>
            <w:r>
              <w:rPr>
                <w:rFonts w:hint="eastAsia" w:ascii="宋体" w:hAnsi="宋体" w:eastAsia="宋体"/>
                <w:color w:val="auto"/>
                <w:sz w:val="21"/>
                <w:highlight w:val="none"/>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684" w:type="dxa"/>
            <w:vMerge w:val="continue"/>
            <w:tcBorders>
              <w:top w:val="nil"/>
            </w:tcBorders>
          </w:tcPr>
          <w:p>
            <w:pPr>
              <w:rPr>
                <w:color w:val="auto"/>
                <w:sz w:val="2"/>
                <w:szCs w:val="2"/>
                <w:highlight w:val="none"/>
              </w:rPr>
            </w:pPr>
          </w:p>
        </w:tc>
        <w:tc>
          <w:tcPr>
            <w:tcW w:w="961" w:type="dxa"/>
            <w:vMerge w:val="continue"/>
            <w:tcBorders>
              <w:top w:val="nil"/>
            </w:tcBorders>
          </w:tcPr>
          <w:p>
            <w:pPr>
              <w:rPr>
                <w:color w:val="auto"/>
                <w:sz w:val="2"/>
                <w:szCs w:val="2"/>
                <w:highlight w:val="none"/>
              </w:rPr>
            </w:pPr>
          </w:p>
        </w:tc>
        <w:tc>
          <w:tcPr>
            <w:tcW w:w="1894" w:type="dxa"/>
          </w:tcPr>
          <w:p>
            <w:pPr>
              <w:pStyle w:val="22"/>
              <w:spacing w:before="5"/>
              <w:rPr>
                <w:rFonts w:ascii="Times New Roman"/>
                <w:color w:val="auto"/>
                <w:sz w:val="21"/>
                <w:highlight w:val="none"/>
              </w:rPr>
            </w:pPr>
          </w:p>
          <w:p>
            <w:pPr>
              <w:pStyle w:val="22"/>
              <w:ind w:left="103" w:right="19"/>
              <w:jc w:val="center"/>
              <w:rPr>
                <w:rFonts w:ascii="宋体" w:eastAsia="宋体"/>
                <w:color w:val="auto"/>
                <w:sz w:val="21"/>
                <w:highlight w:val="none"/>
              </w:rPr>
            </w:pPr>
            <w:r>
              <w:rPr>
                <w:rFonts w:hint="eastAsia" w:ascii="宋体" w:eastAsia="宋体"/>
                <w:color w:val="auto"/>
                <w:sz w:val="21"/>
                <w:highlight w:val="none"/>
              </w:rPr>
              <w:t>响应保证金</w:t>
            </w:r>
          </w:p>
        </w:tc>
        <w:tc>
          <w:tcPr>
            <w:tcW w:w="5659" w:type="dxa"/>
          </w:tcPr>
          <w:p>
            <w:pPr>
              <w:pStyle w:val="22"/>
              <w:spacing w:before="5"/>
              <w:rPr>
                <w:rFonts w:ascii="Times New Roman"/>
                <w:color w:val="auto"/>
                <w:sz w:val="21"/>
                <w:highlight w:val="none"/>
              </w:rPr>
            </w:pPr>
          </w:p>
          <w:p>
            <w:pPr>
              <w:pStyle w:val="22"/>
              <w:ind w:left="75"/>
              <w:rPr>
                <w:rFonts w:ascii="宋体" w:hAnsi="宋体" w:eastAsia="宋体"/>
                <w:color w:val="auto"/>
                <w:sz w:val="21"/>
                <w:highlight w:val="none"/>
              </w:rPr>
            </w:pPr>
            <w:r>
              <w:rPr>
                <w:rFonts w:hint="eastAsia" w:ascii="宋体" w:hAnsi="宋体" w:eastAsia="宋体"/>
                <w:color w:val="auto"/>
                <w:sz w:val="21"/>
                <w:highlight w:val="none"/>
              </w:rPr>
              <w:t>符合第二章</w:t>
            </w:r>
            <w:r>
              <w:rPr>
                <w:rFonts w:ascii="Times New Roman" w:hAnsi="Times New Roman" w:eastAsia="Times New Roman"/>
                <w:color w:val="auto"/>
                <w:sz w:val="21"/>
                <w:highlight w:val="none"/>
              </w:rPr>
              <w:t>“</w:t>
            </w:r>
            <w:r>
              <w:rPr>
                <w:rFonts w:hint="eastAsia" w:ascii="宋体" w:hAnsi="宋体" w:eastAsia="宋体"/>
                <w:color w:val="auto"/>
                <w:sz w:val="21"/>
                <w:highlight w:val="none"/>
              </w:rPr>
              <w:t>供应商须知</w:t>
            </w:r>
            <w:r>
              <w:rPr>
                <w:rFonts w:ascii="Times New Roman" w:hAnsi="Times New Roman" w:eastAsia="Times New Roman"/>
                <w:color w:val="auto"/>
                <w:sz w:val="21"/>
                <w:highlight w:val="none"/>
              </w:rPr>
              <w:t>”</w:t>
            </w:r>
            <w:r>
              <w:rPr>
                <w:rFonts w:hint="eastAsia" w:ascii="宋体" w:hAnsi="宋体" w:eastAsia="宋体"/>
                <w:color w:val="auto"/>
                <w:sz w:val="21"/>
                <w:highlight w:val="none"/>
              </w:rPr>
              <w:t xml:space="preserve">第 </w:t>
            </w:r>
            <w:r>
              <w:rPr>
                <w:rFonts w:ascii="Times New Roman" w:hAnsi="Times New Roman" w:eastAsia="Times New Roman"/>
                <w:color w:val="auto"/>
                <w:sz w:val="21"/>
                <w:highlight w:val="none"/>
              </w:rPr>
              <w:t xml:space="preserve">3.4.1 </w:t>
            </w:r>
            <w:r>
              <w:rPr>
                <w:rFonts w:hint="eastAsia" w:ascii="宋体" w:hAnsi="宋体" w:eastAsia="宋体"/>
                <w:color w:val="auto"/>
                <w:sz w:val="21"/>
                <w:highlight w:val="none"/>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684" w:type="dxa"/>
            <w:vMerge w:val="continue"/>
            <w:tcBorders>
              <w:top w:val="nil"/>
            </w:tcBorders>
          </w:tcPr>
          <w:p>
            <w:pPr>
              <w:rPr>
                <w:color w:val="auto"/>
                <w:sz w:val="2"/>
                <w:szCs w:val="2"/>
                <w:highlight w:val="none"/>
              </w:rPr>
            </w:pPr>
          </w:p>
        </w:tc>
        <w:tc>
          <w:tcPr>
            <w:tcW w:w="961" w:type="dxa"/>
            <w:vMerge w:val="continue"/>
            <w:tcBorders>
              <w:top w:val="nil"/>
            </w:tcBorders>
          </w:tcPr>
          <w:p>
            <w:pPr>
              <w:rPr>
                <w:color w:val="auto"/>
                <w:sz w:val="2"/>
                <w:szCs w:val="2"/>
                <w:highlight w:val="none"/>
              </w:rPr>
            </w:pPr>
          </w:p>
        </w:tc>
        <w:tc>
          <w:tcPr>
            <w:tcW w:w="1894" w:type="dxa"/>
          </w:tcPr>
          <w:p>
            <w:pPr>
              <w:pStyle w:val="22"/>
              <w:spacing w:before="6"/>
              <w:rPr>
                <w:rFonts w:ascii="Times New Roman"/>
                <w:color w:val="auto"/>
                <w:sz w:val="21"/>
                <w:highlight w:val="none"/>
              </w:rPr>
            </w:pPr>
          </w:p>
          <w:p>
            <w:pPr>
              <w:pStyle w:val="22"/>
              <w:ind w:left="98" w:right="19"/>
              <w:jc w:val="center"/>
              <w:rPr>
                <w:rFonts w:ascii="宋体" w:eastAsia="宋体"/>
                <w:color w:val="auto"/>
                <w:sz w:val="21"/>
                <w:highlight w:val="none"/>
              </w:rPr>
            </w:pPr>
            <w:r>
              <w:rPr>
                <w:rFonts w:hint="eastAsia" w:ascii="宋体" w:eastAsia="宋体"/>
                <w:color w:val="auto"/>
                <w:sz w:val="21"/>
                <w:highlight w:val="none"/>
              </w:rPr>
              <w:t>权利义务</w:t>
            </w:r>
          </w:p>
        </w:tc>
        <w:tc>
          <w:tcPr>
            <w:tcW w:w="5659" w:type="dxa"/>
          </w:tcPr>
          <w:p>
            <w:pPr>
              <w:pStyle w:val="22"/>
              <w:spacing w:before="6"/>
              <w:rPr>
                <w:rFonts w:ascii="Times New Roman"/>
                <w:color w:val="auto"/>
                <w:sz w:val="21"/>
                <w:highlight w:val="none"/>
              </w:rPr>
            </w:pPr>
          </w:p>
          <w:p>
            <w:pPr>
              <w:pStyle w:val="22"/>
              <w:ind w:left="75"/>
              <w:rPr>
                <w:rFonts w:ascii="宋体" w:eastAsia="宋体"/>
                <w:color w:val="auto"/>
                <w:sz w:val="21"/>
                <w:highlight w:val="none"/>
              </w:rPr>
            </w:pPr>
            <w:r>
              <w:rPr>
                <w:rFonts w:hint="eastAsia" w:ascii="宋体" w:eastAsia="宋体"/>
                <w:color w:val="auto"/>
                <w:sz w:val="21"/>
                <w:highlight w:val="none"/>
              </w:rPr>
              <w:t>符合询比文件规定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684" w:type="dxa"/>
            <w:vMerge w:val="continue"/>
            <w:tcBorders>
              <w:top w:val="nil"/>
            </w:tcBorders>
          </w:tcPr>
          <w:p>
            <w:pPr>
              <w:rPr>
                <w:color w:val="auto"/>
                <w:sz w:val="2"/>
                <w:szCs w:val="2"/>
                <w:highlight w:val="none"/>
              </w:rPr>
            </w:pPr>
          </w:p>
        </w:tc>
        <w:tc>
          <w:tcPr>
            <w:tcW w:w="961" w:type="dxa"/>
            <w:vMerge w:val="continue"/>
            <w:tcBorders>
              <w:top w:val="nil"/>
            </w:tcBorders>
          </w:tcPr>
          <w:p>
            <w:pPr>
              <w:rPr>
                <w:color w:val="auto"/>
                <w:sz w:val="2"/>
                <w:szCs w:val="2"/>
                <w:highlight w:val="none"/>
              </w:rPr>
            </w:pPr>
          </w:p>
        </w:tc>
        <w:tc>
          <w:tcPr>
            <w:tcW w:w="1894" w:type="dxa"/>
          </w:tcPr>
          <w:p>
            <w:pPr>
              <w:pStyle w:val="22"/>
              <w:spacing w:before="5"/>
              <w:rPr>
                <w:rFonts w:ascii="Times New Roman"/>
                <w:color w:val="auto"/>
                <w:sz w:val="21"/>
                <w:highlight w:val="none"/>
              </w:rPr>
            </w:pPr>
          </w:p>
          <w:p>
            <w:pPr>
              <w:pStyle w:val="22"/>
              <w:ind w:left="100" w:right="19"/>
              <w:jc w:val="center"/>
              <w:rPr>
                <w:rFonts w:ascii="宋体" w:eastAsia="宋体"/>
                <w:color w:val="auto"/>
                <w:sz w:val="21"/>
                <w:highlight w:val="none"/>
              </w:rPr>
            </w:pPr>
            <w:r>
              <w:rPr>
                <w:rFonts w:hint="eastAsia" w:ascii="宋体" w:eastAsia="宋体"/>
                <w:color w:val="auto"/>
                <w:sz w:val="21"/>
                <w:highlight w:val="none"/>
              </w:rPr>
              <w:t>询比文件的获取</w:t>
            </w:r>
          </w:p>
        </w:tc>
        <w:tc>
          <w:tcPr>
            <w:tcW w:w="5659" w:type="dxa"/>
            <w:tcBorders>
              <w:bottom w:val="single" w:color="000000" w:sz="6" w:space="0"/>
            </w:tcBorders>
          </w:tcPr>
          <w:p>
            <w:pPr>
              <w:pStyle w:val="22"/>
              <w:spacing w:before="5"/>
              <w:rPr>
                <w:rFonts w:ascii="Times New Roman"/>
                <w:color w:val="auto"/>
                <w:sz w:val="21"/>
                <w:highlight w:val="none"/>
              </w:rPr>
            </w:pPr>
          </w:p>
          <w:p>
            <w:pPr>
              <w:pStyle w:val="22"/>
              <w:ind w:left="75"/>
              <w:rPr>
                <w:rFonts w:ascii="宋体" w:hAnsi="宋体" w:eastAsia="宋体"/>
                <w:color w:val="auto"/>
                <w:sz w:val="21"/>
                <w:highlight w:val="none"/>
              </w:rPr>
            </w:pPr>
            <w:r>
              <w:rPr>
                <w:rFonts w:hint="eastAsia" w:ascii="宋体" w:hAnsi="宋体" w:eastAsia="宋体"/>
                <w:color w:val="auto"/>
                <w:sz w:val="21"/>
                <w:highlight w:val="none"/>
              </w:rPr>
              <w:t>符合第一章</w:t>
            </w:r>
            <w:r>
              <w:rPr>
                <w:rFonts w:ascii="Times New Roman" w:hAnsi="Times New Roman" w:eastAsia="Times New Roman"/>
                <w:color w:val="auto"/>
                <w:sz w:val="21"/>
                <w:highlight w:val="none"/>
              </w:rPr>
              <w:t>“</w:t>
            </w:r>
            <w:r>
              <w:rPr>
                <w:rFonts w:hint="eastAsia" w:ascii="宋体" w:hAnsi="宋体" w:eastAsia="宋体"/>
                <w:color w:val="auto"/>
                <w:sz w:val="21"/>
                <w:highlight w:val="none"/>
              </w:rPr>
              <w:t>采购公告</w:t>
            </w:r>
            <w:r>
              <w:rPr>
                <w:rFonts w:ascii="Times New Roman" w:hAnsi="Times New Roman" w:eastAsia="Times New Roman"/>
                <w:color w:val="auto"/>
                <w:sz w:val="21"/>
                <w:highlight w:val="none"/>
              </w:rPr>
              <w:t>”</w:t>
            </w:r>
            <w:r>
              <w:rPr>
                <w:rFonts w:hint="eastAsia" w:ascii="宋体" w:hAnsi="宋体" w:eastAsia="宋体"/>
                <w:color w:val="auto"/>
                <w:sz w:val="21"/>
                <w:highlight w:val="none"/>
              </w:rPr>
              <w:t>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684" w:type="dxa"/>
            <w:vMerge w:val="continue"/>
            <w:tcBorders>
              <w:top w:val="nil"/>
            </w:tcBorders>
          </w:tcPr>
          <w:p>
            <w:pPr>
              <w:rPr>
                <w:color w:val="auto"/>
                <w:sz w:val="2"/>
                <w:szCs w:val="2"/>
                <w:highlight w:val="none"/>
              </w:rPr>
            </w:pPr>
          </w:p>
        </w:tc>
        <w:tc>
          <w:tcPr>
            <w:tcW w:w="961" w:type="dxa"/>
            <w:vMerge w:val="continue"/>
            <w:tcBorders>
              <w:top w:val="nil"/>
            </w:tcBorders>
          </w:tcPr>
          <w:p>
            <w:pPr>
              <w:rPr>
                <w:color w:val="auto"/>
                <w:sz w:val="2"/>
                <w:szCs w:val="2"/>
                <w:highlight w:val="none"/>
              </w:rPr>
            </w:pPr>
          </w:p>
        </w:tc>
        <w:tc>
          <w:tcPr>
            <w:tcW w:w="1894" w:type="dxa"/>
          </w:tcPr>
          <w:p>
            <w:pPr>
              <w:pStyle w:val="22"/>
              <w:spacing w:before="6"/>
              <w:rPr>
                <w:rFonts w:ascii="Times New Roman"/>
                <w:color w:val="auto"/>
                <w:sz w:val="21"/>
                <w:highlight w:val="none"/>
              </w:rPr>
            </w:pPr>
          </w:p>
          <w:p>
            <w:pPr>
              <w:pStyle w:val="22"/>
              <w:ind w:left="100" w:right="19"/>
              <w:jc w:val="center"/>
              <w:rPr>
                <w:rFonts w:ascii="宋体" w:eastAsia="宋体"/>
                <w:color w:val="auto"/>
                <w:sz w:val="21"/>
                <w:highlight w:val="none"/>
              </w:rPr>
            </w:pPr>
            <w:r>
              <w:rPr>
                <w:rFonts w:hint="eastAsia" w:ascii="宋体" w:eastAsia="宋体"/>
                <w:color w:val="auto"/>
                <w:sz w:val="21"/>
                <w:highlight w:val="none"/>
              </w:rPr>
              <w:t>联合体</w:t>
            </w:r>
          </w:p>
        </w:tc>
        <w:tc>
          <w:tcPr>
            <w:tcW w:w="5659" w:type="dxa"/>
            <w:tcBorders>
              <w:top w:val="single" w:color="000000" w:sz="6" w:space="0"/>
              <w:right w:val="single" w:color="000000" w:sz="6" w:space="0"/>
            </w:tcBorders>
          </w:tcPr>
          <w:p>
            <w:pPr>
              <w:pStyle w:val="22"/>
              <w:spacing w:before="6"/>
              <w:rPr>
                <w:rFonts w:ascii="Times New Roman"/>
                <w:color w:val="auto"/>
                <w:sz w:val="21"/>
                <w:highlight w:val="none"/>
              </w:rPr>
            </w:pPr>
          </w:p>
          <w:p>
            <w:pPr>
              <w:pStyle w:val="22"/>
              <w:ind w:left="75"/>
              <w:rPr>
                <w:rFonts w:ascii="宋体" w:eastAsia="宋体"/>
                <w:color w:val="auto"/>
                <w:sz w:val="21"/>
                <w:highlight w:val="none"/>
              </w:rPr>
            </w:pPr>
            <w:r>
              <w:rPr>
                <w:rFonts w:hint="eastAsia" w:ascii="宋体" w:eastAsia="宋体"/>
                <w:color w:val="auto"/>
                <w:sz w:val="21"/>
                <w:highlight w:val="none"/>
              </w:rPr>
              <w:t>未以联合体形式报价</w:t>
            </w:r>
          </w:p>
        </w:tc>
      </w:tr>
    </w:tbl>
    <w:p>
      <w:pPr>
        <w:rPr>
          <w:rFonts w:ascii="宋体" w:eastAsia="宋体"/>
          <w:color w:val="auto"/>
          <w:sz w:val="21"/>
          <w:highlight w:val="none"/>
        </w:rPr>
        <w:sectPr>
          <w:pgSz w:w="11910" w:h="16840"/>
          <w:pgMar w:top="1600" w:right="841" w:bottom="960" w:left="860" w:header="0" w:footer="776" w:gutter="0"/>
          <w:cols w:space="720" w:num="1"/>
        </w:sectPr>
      </w:pPr>
    </w:p>
    <w:tbl>
      <w:tblPr>
        <w:tblStyle w:val="17"/>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961"/>
        <w:gridCol w:w="1894"/>
        <w:gridCol w:w="56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684" w:type="dxa"/>
            <w:vMerge w:val="restart"/>
          </w:tcPr>
          <w:p>
            <w:pPr>
              <w:pStyle w:val="22"/>
              <w:rPr>
                <w:rFonts w:ascii="Times New Roman"/>
                <w:color w:val="auto"/>
                <w:sz w:val="20"/>
                <w:highlight w:val="none"/>
              </w:rPr>
            </w:pPr>
          </w:p>
        </w:tc>
        <w:tc>
          <w:tcPr>
            <w:tcW w:w="961" w:type="dxa"/>
            <w:vMerge w:val="restart"/>
          </w:tcPr>
          <w:p>
            <w:pPr>
              <w:pStyle w:val="22"/>
              <w:rPr>
                <w:rFonts w:ascii="Times New Roman"/>
                <w:color w:val="auto"/>
                <w:sz w:val="20"/>
                <w:highlight w:val="none"/>
              </w:rPr>
            </w:pPr>
          </w:p>
        </w:tc>
        <w:tc>
          <w:tcPr>
            <w:tcW w:w="1894" w:type="dxa"/>
          </w:tcPr>
          <w:p>
            <w:pPr>
              <w:pStyle w:val="22"/>
              <w:spacing w:before="7"/>
              <w:rPr>
                <w:rFonts w:ascii="Times New Roman"/>
                <w:color w:val="auto"/>
                <w:sz w:val="21"/>
                <w:highlight w:val="none"/>
              </w:rPr>
            </w:pPr>
          </w:p>
          <w:p>
            <w:pPr>
              <w:pStyle w:val="22"/>
              <w:ind w:left="100" w:right="19"/>
              <w:jc w:val="center"/>
              <w:rPr>
                <w:rFonts w:ascii="宋体" w:eastAsia="宋体"/>
                <w:color w:val="auto"/>
                <w:sz w:val="21"/>
                <w:highlight w:val="none"/>
              </w:rPr>
            </w:pPr>
            <w:r>
              <w:rPr>
                <w:rFonts w:hint="eastAsia" w:ascii="宋体" w:eastAsia="宋体"/>
                <w:color w:val="auto"/>
                <w:sz w:val="21"/>
                <w:highlight w:val="none"/>
              </w:rPr>
              <w:t>分包</w:t>
            </w:r>
          </w:p>
        </w:tc>
        <w:tc>
          <w:tcPr>
            <w:tcW w:w="5659" w:type="dxa"/>
            <w:tcBorders>
              <w:top w:val="single" w:color="000000" w:sz="6" w:space="0"/>
              <w:bottom w:val="single" w:color="000000" w:sz="6" w:space="0"/>
              <w:right w:val="single" w:color="000000" w:sz="6" w:space="0"/>
            </w:tcBorders>
          </w:tcPr>
          <w:p>
            <w:pPr>
              <w:pStyle w:val="22"/>
              <w:spacing w:before="7"/>
              <w:rPr>
                <w:rFonts w:ascii="Times New Roman"/>
                <w:color w:val="auto"/>
                <w:sz w:val="21"/>
                <w:highlight w:val="none"/>
              </w:rPr>
            </w:pPr>
          </w:p>
          <w:p>
            <w:pPr>
              <w:pStyle w:val="22"/>
              <w:ind w:left="75"/>
              <w:rPr>
                <w:rFonts w:ascii="宋体" w:eastAsia="宋体"/>
                <w:color w:val="auto"/>
                <w:sz w:val="21"/>
                <w:highlight w:val="none"/>
              </w:rPr>
            </w:pPr>
            <w:r>
              <w:rPr>
                <w:rFonts w:hint="eastAsia" w:ascii="宋体" w:eastAsia="宋体"/>
                <w:color w:val="auto"/>
                <w:sz w:val="21"/>
                <w:highlight w:val="none"/>
              </w:rPr>
              <w:t>不得分包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5" w:hRule="atLeast"/>
        </w:trPr>
        <w:tc>
          <w:tcPr>
            <w:tcW w:w="684" w:type="dxa"/>
            <w:vMerge w:val="continue"/>
            <w:tcBorders>
              <w:top w:val="nil"/>
            </w:tcBorders>
          </w:tcPr>
          <w:p>
            <w:pPr>
              <w:rPr>
                <w:color w:val="auto"/>
                <w:sz w:val="2"/>
                <w:szCs w:val="2"/>
                <w:highlight w:val="none"/>
              </w:rPr>
            </w:pPr>
          </w:p>
        </w:tc>
        <w:tc>
          <w:tcPr>
            <w:tcW w:w="961" w:type="dxa"/>
            <w:vMerge w:val="continue"/>
            <w:tcBorders>
              <w:top w:val="nil"/>
            </w:tcBorders>
          </w:tcPr>
          <w:p>
            <w:pPr>
              <w:rPr>
                <w:color w:val="auto"/>
                <w:sz w:val="2"/>
                <w:szCs w:val="2"/>
                <w:highlight w:val="none"/>
              </w:rPr>
            </w:pPr>
          </w:p>
        </w:tc>
        <w:tc>
          <w:tcPr>
            <w:tcW w:w="1894" w:type="dxa"/>
          </w:tcPr>
          <w:p>
            <w:pPr>
              <w:pStyle w:val="22"/>
              <w:rPr>
                <w:rFonts w:ascii="Times New Roman"/>
                <w:color w:val="auto"/>
                <w:sz w:val="20"/>
                <w:highlight w:val="none"/>
              </w:rPr>
            </w:pPr>
          </w:p>
          <w:p>
            <w:pPr>
              <w:pStyle w:val="22"/>
              <w:rPr>
                <w:rFonts w:ascii="Times New Roman"/>
                <w:color w:val="auto"/>
                <w:sz w:val="20"/>
                <w:highlight w:val="none"/>
              </w:rPr>
            </w:pPr>
          </w:p>
          <w:p>
            <w:pPr>
              <w:pStyle w:val="22"/>
              <w:rPr>
                <w:rFonts w:ascii="Times New Roman"/>
                <w:color w:val="auto"/>
                <w:sz w:val="20"/>
                <w:highlight w:val="none"/>
              </w:rPr>
            </w:pPr>
          </w:p>
          <w:p>
            <w:pPr>
              <w:pStyle w:val="22"/>
              <w:rPr>
                <w:rFonts w:ascii="Times New Roman"/>
                <w:color w:val="auto"/>
                <w:sz w:val="20"/>
                <w:highlight w:val="none"/>
              </w:rPr>
            </w:pPr>
          </w:p>
          <w:p>
            <w:pPr>
              <w:pStyle w:val="22"/>
              <w:rPr>
                <w:rFonts w:ascii="Times New Roman"/>
                <w:color w:val="auto"/>
                <w:sz w:val="20"/>
                <w:highlight w:val="none"/>
              </w:rPr>
            </w:pPr>
          </w:p>
          <w:p>
            <w:pPr>
              <w:pStyle w:val="22"/>
              <w:rPr>
                <w:rFonts w:ascii="Times New Roman"/>
                <w:color w:val="auto"/>
                <w:sz w:val="20"/>
                <w:highlight w:val="none"/>
              </w:rPr>
            </w:pPr>
          </w:p>
          <w:p>
            <w:pPr>
              <w:pStyle w:val="22"/>
              <w:spacing w:before="1"/>
              <w:rPr>
                <w:rFonts w:ascii="Times New Roman"/>
                <w:color w:val="auto"/>
                <w:sz w:val="16"/>
                <w:highlight w:val="none"/>
              </w:rPr>
            </w:pPr>
          </w:p>
          <w:p>
            <w:pPr>
              <w:pStyle w:val="22"/>
              <w:ind w:left="100" w:right="19"/>
              <w:jc w:val="center"/>
              <w:rPr>
                <w:rFonts w:ascii="宋体" w:eastAsia="宋体"/>
                <w:color w:val="auto"/>
                <w:sz w:val="21"/>
                <w:highlight w:val="none"/>
              </w:rPr>
            </w:pPr>
            <w:r>
              <w:rPr>
                <w:rFonts w:hint="eastAsia" w:ascii="宋体" w:eastAsia="宋体"/>
                <w:color w:val="auto"/>
                <w:sz w:val="21"/>
                <w:highlight w:val="none"/>
              </w:rPr>
              <w:t>报价</w:t>
            </w:r>
          </w:p>
        </w:tc>
        <w:tc>
          <w:tcPr>
            <w:tcW w:w="5659" w:type="dxa"/>
            <w:tcBorders>
              <w:top w:val="single" w:color="000000" w:sz="6" w:space="0"/>
              <w:right w:val="single" w:color="000000" w:sz="6" w:space="0"/>
            </w:tcBorders>
          </w:tcPr>
          <w:p>
            <w:pPr>
              <w:pStyle w:val="22"/>
              <w:numPr>
                <w:ilvl w:val="0"/>
                <w:numId w:val="12"/>
              </w:numPr>
              <w:tabs>
                <w:tab w:val="left" w:pos="600"/>
              </w:tabs>
              <w:spacing w:before="89"/>
              <w:rPr>
                <w:rFonts w:ascii="宋体" w:eastAsia="宋体"/>
                <w:color w:val="auto"/>
                <w:sz w:val="21"/>
                <w:highlight w:val="none"/>
              </w:rPr>
            </w:pPr>
            <w:r>
              <w:rPr>
                <w:rFonts w:hint="eastAsia" w:ascii="宋体" w:eastAsia="宋体"/>
                <w:color w:val="auto"/>
                <w:sz w:val="21"/>
                <w:highlight w:val="none"/>
              </w:rPr>
              <w:t>报价未超过询比文件设定的最高限价。</w:t>
            </w:r>
          </w:p>
          <w:p>
            <w:pPr>
              <w:pStyle w:val="22"/>
              <w:numPr>
                <w:ilvl w:val="0"/>
                <w:numId w:val="12"/>
              </w:numPr>
              <w:tabs>
                <w:tab w:val="left" w:pos="600"/>
              </w:tabs>
              <w:spacing w:before="91" w:line="321" w:lineRule="auto"/>
              <w:ind w:left="75" w:right="6" w:firstLine="0"/>
              <w:rPr>
                <w:rFonts w:ascii="宋体" w:eastAsia="宋体"/>
                <w:color w:val="auto"/>
                <w:sz w:val="21"/>
                <w:highlight w:val="none"/>
              </w:rPr>
            </w:pPr>
            <w:r>
              <w:rPr>
                <w:rFonts w:hint="eastAsia" w:ascii="宋体" w:eastAsia="宋体"/>
                <w:color w:val="auto"/>
                <w:sz w:val="21"/>
                <w:highlight w:val="none"/>
              </w:rPr>
              <w:t>已标价的报价清单总报价和报价函的报价一致（四舍五 入除外）。</w:t>
            </w:r>
          </w:p>
          <w:p>
            <w:pPr>
              <w:pStyle w:val="22"/>
              <w:numPr>
                <w:ilvl w:val="0"/>
                <w:numId w:val="12"/>
              </w:numPr>
              <w:tabs>
                <w:tab w:val="left" w:pos="600"/>
              </w:tabs>
              <w:spacing w:line="321" w:lineRule="auto"/>
              <w:ind w:left="75" w:right="6" w:firstLine="0"/>
              <w:rPr>
                <w:rFonts w:ascii="宋体" w:eastAsia="宋体"/>
                <w:color w:val="auto"/>
                <w:sz w:val="21"/>
                <w:highlight w:val="none"/>
              </w:rPr>
            </w:pPr>
            <w:r>
              <w:rPr>
                <w:rFonts w:hint="eastAsia" w:ascii="宋体" w:eastAsia="宋体"/>
                <w:color w:val="auto"/>
                <w:sz w:val="21"/>
                <w:highlight w:val="none"/>
              </w:rPr>
              <w:t>报价的大写数值能确定具体数值，未出现数量级错误、 报价金额单位错误。</w:t>
            </w:r>
          </w:p>
          <w:p>
            <w:pPr>
              <w:pStyle w:val="22"/>
              <w:numPr>
                <w:ilvl w:val="0"/>
                <w:numId w:val="12"/>
              </w:numPr>
              <w:tabs>
                <w:tab w:val="left" w:pos="600"/>
              </w:tabs>
              <w:spacing w:line="268" w:lineRule="exact"/>
              <w:rPr>
                <w:rFonts w:ascii="宋体" w:eastAsia="宋体"/>
                <w:color w:val="auto"/>
                <w:sz w:val="21"/>
                <w:highlight w:val="none"/>
              </w:rPr>
            </w:pPr>
            <w:r>
              <w:rPr>
                <w:rFonts w:hint="eastAsia" w:ascii="宋体" w:eastAsia="宋体"/>
                <w:color w:val="auto"/>
                <w:sz w:val="21"/>
                <w:highlight w:val="none"/>
              </w:rPr>
              <w:t>同一供应商未递交两个及以上不同的报价。</w:t>
            </w:r>
          </w:p>
          <w:p>
            <w:pPr>
              <w:pStyle w:val="22"/>
              <w:numPr>
                <w:ilvl w:val="0"/>
                <w:numId w:val="12"/>
              </w:numPr>
              <w:tabs>
                <w:tab w:val="left" w:pos="600"/>
              </w:tabs>
              <w:spacing w:line="321" w:lineRule="auto"/>
              <w:ind w:left="75" w:right="6" w:firstLine="0"/>
              <w:rPr>
                <w:rFonts w:ascii="宋体" w:eastAsia="宋体"/>
                <w:color w:val="auto"/>
                <w:sz w:val="21"/>
                <w:highlight w:val="none"/>
              </w:rPr>
            </w:pPr>
            <w:r>
              <w:rPr>
                <w:rFonts w:hint="eastAsia" w:ascii="宋体" w:eastAsia="宋体"/>
                <w:color w:val="auto"/>
                <w:sz w:val="21"/>
                <w:highlight w:val="none"/>
              </w:rPr>
              <w:t>供应商按采购人提供的书面报价清单填写了报价，且未 修改报价清单说明、数量等实质性内容。</w:t>
            </w:r>
          </w:p>
          <w:p>
            <w:pPr>
              <w:pStyle w:val="22"/>
              <w:numPr>
                <w:ilvl w:val="0"/>
                <w:numId w:val="12"/>
              </w:numPr>
              <w:tabs>
                <w:tab w:val="left" w:pos="600"/>
              </w:tabs>
              <w:spacing w:line="222" w:lineRule="exact"/>
              <w:rPr>
                <w:rFonts w:ascii="宋体" w:eastAsia="宋体"/>
                <w:color w:val="auto"/>
                <w:sz w:val="21"/>
                <w:highlight w:val="none"/>
              </w:rPr>
            </w:pPr>
            <w:r>
              <w:rPr>
                <w:rFonts w:hint="eastAsia" w:ascii="宋体" w:eastAsia="宋体"/>
                <w:color w:val="auto"/>
                <w:sz w:val="21"/>
                <w:highlight w:val="none"/>
              </w:rPr>
              <w:t>已标价报价清单中未更改询比文件确定的暂列金额。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684" w:type="dxa"/>
            <w:vMerge w:val="continue"/>
            <w:tcBorders>
              <w:top w:val="nil"/>
            </w:tcBorders>
          </w:tcPr>
          <w:p>
            <w:pPr>
              <w:rPr>
                <w:color w:val="auto"/>
                <w:sz w:val="2"/>
                <w:szCs w:val="2"/>
                <w:highlight w:val="none"/>
              </w:rPr>
            </w:pPr>
          </w:p>
        </w:tc>
        <w:tc>
          <w:tcPr>
            <w:tcW w:w="961" w:type="dxa"/>
            <w:vMerge w:val="continue"/>
            <w:tcBorders>
              <w:top w:val="nil"/>
            </w:tcBorders>
          </w:tcPr>
          <w:p>
            <w:pPr>
              <w:rPr>
                <w:color w:val="auto"/>
                <w:sz w:val="2"/>
                <w:szCs w:val="2"/>
                <w:highlight w:val="none"/>
              </w:rPr>
            </w:pPr>
          </w:p>
        </w:tc>
        <w:tc>
          <w:tcPr>
            <w:tcW w:w="1894" w:type="dxa"/>
          </w:tcPr>
          <w:p>
            <w:pPr>
              <w:pStyle w:val="22"/>
              <w:spacing w:before="7"/>
              <w:rPr>
                <w:rFonts w:ascii="Times New Roman"/>
                <w:color w:val="auto"/>
                <w:sz w:val="21"/>
                <w:highlight w:val="none"/>
              </w:rPr>
            </w:pPr>
          </w:p>
          <w:p>
            <w:pPr>
              <w:pStyle w:val="22"/>
              <w:ind w:left="75"/>
              <w:rPr>
                <w:rFonts w:ascii="宋体" w:eastAsia="宋体"/>
                <w:color w:val="auto"/>
                <w:sz w:val="21"/>
                <w:highlight w:val="none"/>
              </w:rPr>
            </w:pPr>
            <w:r>
              <w:rPr>
                <w:rFonts w:hint="eastAsia" w:ascii="宋体" w:eastAsia="宋体"/>
                <w:color w:val="auto"/>
                <w:sz w:val="21"/>
                <w:highlight w:val="none"/>
              </w:rPr>
              <w:t>其他实质性要求</w:t>
            </w:r>
          </w:p>
        </w:tc>
        <w:tc>
          <w:tcPr>
            <w:tcW w:w="5659" w:type="dxa"/>
          </w:tcPr>
          <w:p>
            <w:pPr>
              <w:pStyle w:val="22"/>
              <w:spacing w:before="7"/>
              <w:rPr>
                <w:rFonts w:ascii="Times New Roman"/>
                <w:color w:val="auto"/>
                <w:sz w:val="21"/>
                <w:highlight w:val="none"/>
              </w:rPr>
            </w:pPr>
          </w:p>
          <w:p>
            <w:pPr>
              <w:pStyle w:val="22"/>
              <w:ind w:left="75"/>
              <w:rPr>
                <w:rFonts w:ascii="宋体" w:eastAsia="宋体"/>
                <w:color w:val="auto"/>
                <w:sz w:val="21"/>
                <w:highlight w:val="none"/>
              </w:rPr>
            </w:pPr>
            <w:r>
              <w:rPr>
                <w:rFonts w:hint="eastAsia" w:ascii="宋体" w:eastAsia="宋体"/>
                <w:color w:val="auto"/>
                <w:sz w:val="21"/>
                <w:highlight w:val="none"/>
              </w:rPr>
              <w:t>符合询比文件的其他实质性要求和条件</w:t>
            </w:r>
          </w:p>
        </w:tc>
      </w:tr>
    </w:tbl>
    <w:p>
      <w:pPr>
        <w:pStyle w:val="2"/>
        <w:spacing w:before="11"/>
        <w:rPr>
          <w:rFonts w:ascii="Times New Roman"/>
          <w:color w:val="auto"/>
          <w:sz w:val="20"/>
          <w:highlight w:val="none"/>
        </w:rPr>
      </w:pPr>
    </w:p>
    <w:tbl>
      <w:tblPr>
        <w:tblStyle w:val="17"/>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2"/>
        <w:gridCol w:w="1605"/>
        <w:gridCol w:w="1365"/>
        <w:gridCol w:w="52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597" w:type="dxa"/>
            <w:gridSpan w:val="2"/>
          </w:tcPr>
          <w:p>
            <w:pPr>
              <w:pStyle w:val="22"/>
              <w:spacing w:before="7"/>
              <w:rPr>
                <w:rFonts w:ascii="Times New Roman"/>
                <w:color w:val="auto"/>
                <w:sz w:val="17"/>
                <w:highlight w:val="none"/>
              </w:rPr>
            </w:pPr>
          </w:p>
          <w:p>
            <w:pPr>
              <w:pStyle w:val="22"/>
              <w:ind w:left="959" w:right="954"/>
              <w:jc w:val="center"/>
              <w:rPr>
                <w:rFonts w:ascii="宋体" w:eastAsia="宋体"/>
                <w:b/>
                <w:color w:val="auto"/>
                <w:sz w:val="21"/>
                <w:highlight w:val="none"/>
              </w:rPr>
            </w:pPr>
            <w:r>
              <w:rPr>
                <w:rFonts w:hint="eastAsia" w:ascii="宋体" w:eastAsia="宋体"/>
                <w:b/>
                <w:color w:val="auto"/>
                <w:sz w:val="21"/>
                <w:highlight w:val="none"/>
              </w:rPr>
              <w:t>条款号</w:t>
            </w:r>
          </w:p>
        </w:tc>
        <w:tc>
          <w:tcPr>
            <w:tcW w:w="1365" w:type="dxa"/>
          </w:tcPr>
          <w:p>
            <w:pPr>
              <w:pStyle w:val="22"/>
              <w:spacing w:before="7"/>
              <w:rPr>
                <w:rFonts w:ascii="Times New Roman"/>
                <w:color w:val="auto"/>
                <w:sz w:val="17"/>
                <w:highlight w:val="none"/>
              </w:rPr>
            </w:pPr>
          </w:p>
          <w:p>
            <w:pPr>
              <w:pStyle w:val="22"/>
              <w:ind w:left="136" w:right="128"/>
              <w:jc w:val="center"/>
              <w:rPr>
                <w:rFonts w:ascii="宋体" w:eastAsia="宋体"/>
                <w:b/>
                <w:color w:val="auto"/>
                <w:sz w:val="21"/>
                <w:highlight w:val="none"/>
              </w:rPr>
            </w:pPr>
            <w:r>
              <w:rPr>
                <w:rFonts w:hint="eastAsia" w:ascii="宋体" w:eastAsia="宋体"/>
                <w:b/>
                <w:color w:val="auto"/>
                <w:sz w:val="21"/>
                <w:highlight w:val="none"/>
              </w:rPr>
              <w:t>量化因素</w:t>
            </w:r>
          </w:p>
        </w:tc>
        <w:tc>
          <w:tcPr>
            <w:tcW w:w="5299" w:type="dxa"/>
          </w:tcPr>
          <w:p>
            <w:pPr>
              <w:pStyle w:val="22"/>
              <w:spacing w:before="7"/>
              <w:rPr>
                <w:rFonts w:ascii="Times New Roman"/>
                <w:color w:val="auto"/>
                <w:sz w:val="17"/>
                <w:highlight w:val="none"/>
              </w:rPr>
            </w:pPr>
          </w:p>
          <w:p>
            <w:pPr>
              <w:pStyle w:val="22"/>
              <w:ind w:left="107" w:right="101"/>
              <w:jc w:val="center"/>
              <w:rPr>
                <w:rFonts w:ascii="宋体" w:eastAsia="宋体"/>
                <w:b/>
                <w:color w:val="auto"/>
                <w:sz w:val="21"/>
                <w:highlight w:val="none"/>
              </w:rPr>
            </w:pPr>
            <w:r>
              <w:rPr>
                <w:rFonts w:hint="eastAsia" w:ascii="宋体" w:eastAsia="宋体"/>
                <w:b/>
                <w:color w:val="auto"/>
                <w:sz w:val="21"/>
                <w:highlight w:val="none"/>
              </w:rPr>
              <w:t>量化标准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992" w:type="dxa"/>
          </w:tcPr>
          <w:p>
            <w:pPr>
              <w:pStyle w:val="22"/>
              <w:spacing w:before="11"/>
              <w:rPr>
                <w:rFonts w:ascii="Times New Roman"/>
                <w:color w:val="auto"/>
                <w:sz w:val="18"/>
                <w:highlight w:val="none"/>
              </w:rPr>
            </w:pPr>
          </w:p>
          <w:p>
            <w:pPr>
              <w:pStyle w:val="22"/>
              <w:ind w:left="343" w:right="335"/>
              <w:jc w:val="center"/>
              <w:rPr>
                <w:rFonts w:ascii="Times New Roman"/>
                <w:color w:val="auto"/>
                <w:sz w:val="21"/>
                <w:highlight w:val="none"/>
              </w:rPr>
            </w:pPr>
            <w:r>
              <w:rPr>
                <w:rFonts w:ascii="Times New Roman"/>
                <w:color w:val="auto"/>
                <w:sz w:val="21"/>
                <w:highlight w:val="none"/>
              </w:rPr>
              <w:t>2.2</w:t>
            </w:r>
          </w:p>
        </w:tc>
        <w:tc>
          <w:tcPr>
            <w:tcW w:w="1605" w:type="dxa"/>
          </w:tcPr>
          <w:p>
            <w:pPr>
              <w:pStyle w:val="22"/>
              <w:spacing w:before="8"/>
              <w:rPr>
                <w:rFonts w:ascii="Times New Roman"/>
                <w:color w:val="auto"/>
                <w:sz w:val="17"/>
                <w:highlight w:val="none"/>
              </w:rPr>
            </w:pPr>
          </w:p>
          <w:p>
            <w:pPr>
              <w:pStyle w:val="22"/>
              <w:spacing w:before="1"/>
              <w:ind w:left="170"/>
              <w:rPr>
                <w:rFonts w:ascii="宋体" w:eastAsia="宋体"/>
                <w:color w:val="auto"/>
                <w:sz w:val="21"/>
                <w:highlight w:val="none"/>
              </w:rPr>
            </w:pPr>
            <w:r>
              <w:rPr>
                <w:rFonts w:hint="eastAsia" w:ascii="宋体" w:eastAsia="宋体"/>
                <w:color w:val="auto"/>
                <w:sz w:val="21"/>
                <w:highlight w:val="none"/>
              </w:rPr>
              <w:t>详细评审标准</w:t>
            </w:r>
          </w:p>
        </w:tc>
        <w:tc>
          <w:tcPr>
            <w:tcW w:w="1365" w:type="dxa"/>
          </w:tcPr>
          <w:p>
            <w:pPr>
              <w:pStyle w:val="22"/>
              <w:spacing w:before="8"/>
              <w:rPr>
                <w:rFonts w:ascii="Times New Roman"/>
                <w:color w:val="auto"/>
                <w:sz w:val="17"/>
                <w:highlight w:val="none"/>
              </w:rPr>
            </w:pPr>
          </w:p>
          <w:p>
            <w:pPr>
              <w:pStyle w:val="22"/>
              <w:spacing w:before="1"/>
              <w:ind w:left="136" w:right="128"/>
              <w:jc w:val="center"/>
              <w:rPr>
                <w:rFonts w:ascii="宋体" w:eastAsia="宋体"/>
                <w:color w:val="auto"/>
                <w:sz w:val="21"/>
                <w:highlight w:val="none"/>
              </w:rPr>
            </w:pPr>
            <w:r>
              <w:rPr>
                <w:rFonts w:hint="eastAsia" w:ascii="宋体" w:eastAsia="宋体"/>
                <w:color w:val="auto"/>
                <w:sz w:val="21"/>
                <w:highlight w:val="none"/>
              </w:rPr>
              <w:t>评审价计算</w:t>
            </w:r>
          </w:p>
        </w:tc>
        <w:tc>
          <w:tcPr>
            <w:tcW w:w="5299" w:type="dxa"/>
          </w:tcPr>
          <w:p>
            <w:pPr>
              <w:pStyle w:val="22"/>
              <w:spacing w:before="8"/>
              <w:rPr>
                <w:rFonts w:ascii="Times New Roman"/>
                <w:color w:val="auto"/>
                <w:sz w:val="21"/>
                <w:szCs w:val="21"/>
                <w:highlight w:val="none"/>
              </w:rPr>
            </w:pPr>
          </w:p>
          <w:p>
            <w:pPr>
              <w:pStyle w:val="22"/>
              <w:spacing w:before="1"/>
              <w:ind w:left="223" w:right="101"/>
              <w:jc w:val="center"/>
              <w:rPr>
                <w:rFonts w:ascii="宋体" w:eastAsia="宋体"/>
                <w:color w:val="auto"/>
                <w:sz w:val="21"/>
                <w:szCs w:val="21"/>
                <w:highlight w:val="none"/>
              </w:rPr>
            </w:pPr>
            <w:r>
              <w:rPr>
                <w:rFonts w:hint="eastAsia" w:ascii="宋体" w:eastAsia="宋体"/>
                <w:color w:val="auto"/>
                <w:w w:val="95"/>
                <w:sz w:val="21"/>
                <w:szCs w:val="21"/>
                <w:highlight w:val="none"/>
              </w:rPr>
              <w:t>评审价＝</w:t>
            </w:r>
            <w:r>
              <w:rPr>
                <w:rFonts w:hint="eastAsia" w:ascii="宋体" w:eastAsia="宋体"/>
                <w:color w:val="auto"/>
                <w:spacing w:val="-9"/>
                <w:w w:val="95"/>
                <w:sz w:val="21"/>
                <w:szCs w:val="21"/>
                <w:highlight w:val="none"/>
              </w:rPr>
              <w:t>报价函文字报价</w:t>
            </w:r>
            <w:r>
              <w:rPr>
                <w:rFonts w:hint="eastAsia" w:ascii="宋体" w:eastAsia="宋体"/>
                <w:color w:val="auto"/>
                <w:w w:val="95"/>
                <w:sz w:val="21"/>
                <w:szCs w:val="21"/>
                <w:highlight w:val="none"/>
              </w:rPr>
              <w:t>（大小写不一致时以大写为准）</w:t>
            </w:r>
          </w:p>
        </w:tc>
      </w:tr>
    </w:tbl>
    <w:p>
      <w:pPr>
        <w:jc w:val="center"/>
        <w:rPr>
          <w:rFonts w:ascii="宋体" w:eastAsia="宋体"/>
          <w:color w:val="auto"/>
          <w:sz w:val="21"/>
          <w:highlight w:val="none"/>
        </w:rPr>
        <w:sectPr>
          <w:pgSz w:w="11910" w:h="16840"/>
          <w:pgMar w:top="1440" w:right="841" w:bottom="960" w:left="860" w:header="0" w:footer="776" w:gutter="0"/>
          <w:cols w:space="720" w:num="1"/>
        </w:sectPr>
      </w:pPr>
    </w:p>
    <w:p>
      <w:pPr>
        <w:pStyle w:val="10"/>
        <w:numPr>
          <w:ilvl w:val="0"/>
          <w:numId w:val="13"/>
        </w:numPr>
        <w:tabs>
          <w:tab w:val="left" w:pos="520"/>
        </w:tabs>
        <w:spacing w:before="61"/>
        <w:rPr>
          <w:rFonts w:ascii="黑体" w:eastAsia="黑体"/>
          <w:color w:val="auto"/>
          <w:highlight w:val="none"/>
        </w:rPr>
      </w:pPr>
      <w:r>
        <w:rPr>
          <w:rFonts w:hint="eastAsia" w:ascii="黑体" w:eastAsia="黑体"/>
          <w:color w:val="auto"/>
          <w:highlight w:val="none"/>
        </w:rPr>
        <w:t>评审方法</w:t>
      </w:r>
    </w:p>
    <w:p>
      <w:pPr>
        <w:spacing w:before="8"/>
        <w:rPr>
          <w:color w:val="auto"/>
          <w:sz w:val="20"/>
          <w:highlight w:val="none"/>
        </w:rPr>
      </w:pPr>
    </w:p>
    <w:p>
      <w:pPr>
        <w:pStyle w:val="2"/>
        <w:spacing w:line="391" w:lineRule="auto"/>
        <w:ind w:left="220" w:right="237" w:firstLine="420"/>
        <w:rPr>
          <w:color w:val="auto"/>
          <w:highlight w:val="none"/>
        </w:rPr>
      </w:pPr>
      <w:r>
        <w:rPr>
          <w:color w:val="auto"/>
          <w:highlight w:val="none"/>
        </w:rPr>
        <w:t>本次评审采用经评审的最低价法。评审小组对满足询比文件实质性要求的响应文件，按照评审价由低到高的顺序依次推荐成交候选人。如报价相同的，按照评审办法前附表中的规定确定成交候选人顺序。</w:t>
      </w:r>
    </w:p>
    <w:p>
      <w:pPr>
        <w:pStyle w:val="10"/>
        <w:numPr>
          <w:ilvl w:val="0"/>
          <w:numId w:val="13"/>
        </w:numPr>
        <w:tabs>
          <w:tab w:val="left" w:pos="520"/>
        </w:tabs>
        <w:spacing w:line="291" w:lineRule="exact"/>
        <w:rPr>
          <w:rFonts w:ascii="黑体" w:eastAsia="黑体"/>
          <w:color w:val="auto"/>
          <w:highlight w:val="none"/>
        </w:rPr>
      </w:pPr>
      <w:r>
        <w:rPr>
          <w:rFonts w:hint="eastAsia" w:ascii="黑体" w:eastAsia="黑体"/>
          <w:color w:val="auto"/>
          <w:highlight w:val="none"/>
        </w:rPr>
        <w:t>评审标准</w:t>
      </w:r>
    </w:p>
    <w:p>
      <w:pPr>
        <w:pStyle w:val="10"/>
        <w:numPr>
          <w:ilvl w:val="1"/>
          <w:numId w:val="13"/>
        </w:numPr>
        <w:tabs>
          <w:tab w:val="left" w:pos="640"/>
        </w:tabs>
        <w:spacing w:before="122"/>
        <w:rPr>
          <w:color w:val="auto"/>
          <w:sz w:val="20"/>
          <w:highlight w:val="none"/>
        </w:rPr>
      </w:pPr>
      <w:r>
        <w:rPr>
          <w:rFonts w:hint="eastAsia" w:ascii="黑体" w:eastAsia="黑体"/>
          <w:color w:val="auto"/>
          <w:highlight w:val="none"/>
        </w:rPr>
        <w:t>初步评审标准</w:t>
      </w:r>
    </w:p>
    <w:p>
      <w:pPr>
        <w:pStyle w:val="21"/>
        <w:numPr>
          <w:ilvl w:val="2"/>
          <w:numId w:val="13"/>
        </w:numPr>
        <w:tabs>
          <w:tab w:val="left" w:pos="1166"/>
        </w:tabs>
        <w:spacing w:before="170"/>
        <w:rPr>
          <w:color w:val="auto"/>
          <w:sz w:val="21"/>
          <w:highlight w:val="none"/>
        </w:rPr>
      </w:pPr>
      <w:r>
        <w:rPr>
          <w:color w:val="auto"/>
          <w:sz w:val="21"/>
          <w:highlight w:val="none"/>
        </w:rPr>
        <w:t>形式评审标准：见评审办法前附表。</w:t>
      </w:r>
    </w:p>
    <w:p>
      <w:pPr>
        <w:pStyle w:val="21"/>
        <w:numPr>
          <w:ilvl w:val="2"/>
          <w:numId w:val="13"/>
        </w:numPr>
        <w:tabs>
          <w:tab w:val="left" w:pos="1166"/>
        </w:tabs>
        <w:spacing w:before="170"/>
        <w:rPr>
          <w:color w:val="auto"/>
          <w:sz w:val="21"/>
          <w:highlight w:val="none"/>
        </w:rPr>
      </w:pPr>
      <w:r>
        <w:rPr>
          <w:color w:val="auto"/>
          <w:sz w:val="21"/>
          <w:highlight w:val="none"/>
        </w:rPr>
        <w:t>资格评审标准：见评审办法前附表。</w:t>
      </w:r>
    </w:p>
    <w:p>
      <w:pPr>
        <w:pStyle w:val="21"/>
        <w:numPr>
          <w:ilvl w:val="2"/>
          <w:numId w:val="13"/>
        </w:numPr>
        <w:tabs>
          <w:tab w:val="left" w:pos="1166"/>
        </w:tabs>
        <w:spacing w:before="170"/>
        <w:rPr>
          <w:color w:val="auto"/>
          <w:sz w:val="21"/>
          <w:highlight w:val="none"/>
        </w:rPr>
      </w:pPr>
      <w:r>
        <w:rPr>
          <w:color w:val="auto"/>
          <w:sz w:val="21"/>
          <w:highlight w:val="none"/>
        </w:rPr>
        <w:t>响应性评审标准：见评审办法前附表。</w:t>
      </w:r>
    </w:p>
    <w:p>
      <w:pPr>
        <w:pStyle w:val="10"/>
        <w:numPr>
          <w:ilvl w:val="1"/>
          <w:numId w:val="13"/>
        </w:numPr>
        <w:tabs>
          <w:tab w:val="left" w:pos="640"/>
        </w:tabs>
        <w:spacing w:before="153"/>
        <w:rPr>
          <w:rFonts w:ascii="黑体" w:eastAsia="黑体"/>
          <w:color w:val="auto"/>
          <w:highlight w:val="none"/>
        </w:rPr>
      </w:pPr>
      <w:r>
        <w:rPr>
          <w:rFonts w:hint="eastAsia" w:ascii="黑体" w:eastAsia="黑体"/>
          <w:color w:val="auto"/>
          <w:highlight w:val="none"/>
        </w:rPr>
        <w:t>详细评审标准</w:t>
      </w:r>
    </w:p>
    <w:p>
      <w:pPr>
        <w:spacing w:before="8"/>
        <w:rPr>
          <w:color w:val="auto"/>
          <w:sz w:val="20"/>
          <w:highlight w:val="none"/>
        </w:rPr>
      </w:pPr>
    </w:p>
    <w:p>
      <w:pPr>
        <w:pStyle w:val="2"/>
        <w:ind w:left="640"/>
        <w:rPr>
          <w:color w:val="auto"/>
          <w:highlight w:val="none"/>
        </w:rPr>
      </w:pPr>
      <w:r>
        <w:rPr>
          <w:color w:val="auto"/>
          <w:highlight w:val="none"/>
        </w:rPr>
        <w:t>详细评审标准：见评审办法前附表。</w:t>
      </w:r>
    </w:p>
    <w:p>
      <w:pPr>
        <w:pStyle w:val="10"/>
        <w:numPr>
          <w:ilvl w:val="0"/>
          <w:numId w:val="13"/>
        </w:numPr>
        <w:tabs>
          <w:tab w:val="left" w:pos="520"/>
        </w:tabs>
        <w:spacing w:before="150"/>
        <w:rPr>
          <w:rFonts w:ascii="黑体" w:eastAsia="黑体"/>
          <w:color w:val="auto"/>
          <w:highlight w:val="none"/>
        </w:rPr>
      </w:pPr>
      <w:r>
        <w:rPr>
          <w:rFonts w:hint="eastAsia" w:ascii="黑体" w:eastAsia="黑体"/>
          <w:color w:val="auto"/>
          <w:highlight w:val="none"/>
        </w:rPr>
        <w:t>评审程序</w:t>
      </w:r>
    </w:p>
    <w:p>
      <w:pPr>
        <w:pStyle w:val="10"/>
        <w:numPr>
          <w:ilvl w:val="1"/>
          <w:numId w:val="13"/>
        </w:numPr>
        <w:tabs>
          <w:tab w:val="left" w:pos="640"/>
        </w:tabs>
        <w:spacing w:before="124"/>
        <w:rPr>
          <w:rFonts w:ascii="黑体" w:eastAsia="黑体"/>
          <w:color w:val="auto"/>
          <w:highlight w:val="none"/>
        </w:rPr>
      </w:pPr>
      <w:r>
        <w:rPr>
          <w:rFonts w:hint="eastAsia" w:ascii="黑体" w:eastAsia="黑体"/>
          <w:color w:val="auto"/>
          <w:highlight w:val="none"/>
        </w:rPr>
        <w:t>初步评审</w:t>
      </w:r>
    </w:p>
    <w:p>
      <w:pPr>
        <w:spacing w:before="6"/>
        <w:rPr>
          <w:color w:val="auto"/>
          <w:sz w:val="20"/>
          <w:highlight w:val="none"/>
        </w:rPr>
      </w:pPr>
    </w:p>
    <w:p>
      <w:pPr>
        <w:pStyle w:val="21"/>
        <w:numPr>
          <w:ilvl w:val="2"/>
          <w:numId w:val="13"/>
        </w:numPr>
        <w:tabs>
          <w:tab w:val="left" w:pos="1113"/>
        </w:tabs>
        <w:spacing w:before="1" w:line="391" w:lineRule="auto"/>
        <w:ind w:left="220" w:right="239" w:firstLine="420"/>
        <w:rPr>
          <w:color w:val="auto"/>
          <w:sz w:val="21"/>
          <w:highlight w:val="none"/>
        </w:rPr>
      </w:pPr>
      <w:r>
        <w:rPr>
          <w:color w:val="auto"/>
          <w:spacing w:val="-6"/>
          <w:sz w:val="21"/>
          <w:highlight w:val="none"/>
        </w:rPr>
        <w:t xml:space="preserve">评审小组依据本章第 </w:t>
      </w:r>
      <w:r>
        <w:rPr>
          <w:rFonts w:ascii="Times New Roman" w:eastAsia="Times New Roman"/>
          <w:color w:val="auto"/>
          <w:sz w:val="21"/>
          <w:highlight w:val="none"/>
        </w:rPr>
        <w:t>2.1.1</w:t>
      </w:r>
      <w:r>
        <w:rPr>
          <w:color w:val="auto"/>
          <w:spacing w:val="-21"/>
          <w:sz w:val="21"/>
          <w:highlight w:val="none"/>
        </w:rPr>
        <w:t xml:space="preserve">项、第 </w:t>
      </w:r>
      <w:r>
        <w:rPr>
          <w:rFonts w:ascii="Times New Roman" w:eastAsia="Times New Roman"/>
          <w:color w:val="auto"/>
          <w:sz w:val="21"/>
          <w:highlight w:val="none"/>
        </w:rPr>
        <w:t>2.1.2</w:t>
      </w:r>
      <w:r>
        <w:rPr>
          <w:color w:val="auto"/>
          <w:spacing w:val="-21"/>
          <w:sz w:val="21"/>
          <w:highlight w:val="none"/>
        </w:rPr>
        <w:t xml:space="preserve">项、第 </w:t>
      </w:r>
      <w:r>
        <w:rPr>
          <w:rFonts w:ascii="Times New Roman" w:eastAsia="Times New Roman"/>
          <w:color w:val="auto"/>
          <w:sz w:val="21"/>
          <w:highlight w:val="none"/>
        </w:rPr>
        <w:t>2.1.3</w:t>
      </w:r>
      <w:r>
        <w:rPr>
          <w:color w:val="auto"/>
          <w:spacing w:val="-2"/>
          <w:sz w:val="21"/>
          <w:highlight w:val="none"/>
        </w:rPr>
        <w:t>项规定的标准对响应文件进行评审。有一项不符合评审标准的，评审小组应否决其响应文件。</w:t>
      </w:r>
    </w:p>
    <w:p>
      <w:pPr>
        <w:pStyle w:val="21"/>
        <w:numPr>
          <w:ilvl w:val="2"/>
          <w:numId w:val="13"/>
        </w:numPr>
        <w:tabs>
          <w:tab w:val="left" w:pos="1166"/>
        </w:tabs>
        <w:spacing w:before="3"/>
        <w:rPr>
          <w:color w:val="auto"/>
          <w:sz w:val="21"/>
          <w:highlight w:val="none"/>
        </w:rPr>
      </w:pPr>
      <w:r>
        <w:rPr>
          <w:color w:val="auto"/>
          <w:sz w:val="21"/>
          <w:highlight w:val="none"/>
        </w:rPr>
        <w:t>响应文件中填报服务期、质量标准、安全目标前后不一致时，按细微偏差处理。</w:t>
      </w:r>
    </w:p>
    <w:p>
      <w:pPr>
        <w:pStyle w:val="10"/>
        <w:numPr>
          <w:ilvl w:val="1"/>
          <w:numId w:val="13"/>
        </w:numPr>
        <w:tabs>
          <w:tab w:val="left" w:pos="640"/>
        </w:tabs>
        <w:spacing w:before="150"/>
        <w:rPr>
          <w:rFonts w:ascii="黑体" w:eastAsia="黑体"/>
          <w:color w:val="auto"/>
          <w:highlight w:val="none"/>
        </w:rPr>
      </w:pPr>
      <w:r>
        <w:rPr>
          <w:rFonts w:hint="eastAsia" w:ascii="黑体" w:eastAsia="黑体"/>
          <w:color w:val="auto"/>
          <w:highlight w:val="none"/>
        </w:rPr>
        <w:t>详细评审</w:t>
      </w:r>
    </w:p>
    <w:p>
      <w:pPr>
        <w:spacing w:before="9"/>
        <w:rPr>
          <w:color w:val="auto"/>
          <w:sz w:val="20"/>
          <w:highlight w:val="none"/>
        </w:rPr>
      </w:pPr>
    </w:p>
    <w:p>
      <w:pPr>
        <w:pStyle w:val="2"/>
        <w:ind w:left="659"/>
        <w:rPr>
          <w:color w:val="auto"/>
          <w:highlight w:val="none"/>
        </w:rPr>
      </w:pPr>
      <w:r>
        <w:rPr>
          <w:color w:val="auto"/>
          <w:highlight w:val="none"/>
        </w:rPr>
        <w:t xml:space="preserve">评审小组按本章第 </w:t>
      </w:r>
      <w:r>
        <w:rPr>
          <w:rFonts w:ascii="Times New Roman" w:eastAsia="Times New Roman"/>
          <w:color w:val="auto"/>
          <w:highlight w:val="none"/>
        </w:rPr>
        <w:t xml:space="preserve">2.2 </w:t>
      </w:r>
      <w:r>
        <w:rPr>
          <w:color w:val="auto"/>
          <w:highlight w:val="none"/>
        </w:rPr>
        <w:t>款规定进行评审价排序。</w:t>
      </w:r>
    </w:p>
    <w:p>
      <w:pPr>
        <w:pStyle w:val="10"/>
        <w:numPr>
          <w:ilvl w:val="1"/>
          <w:numId w:val="13"/>
        </w:numPr>
        <w:tabs>
          <w:tab w:val="left" w:pos="640"/>
        </w:tabs>
        <w:spacing w:before="149"/>
        <w:rPr>
          <w:rFonts w:ascii="黑体" w:eastAsia="黑体"/>
          <w:color w:val="auto"/>
          <w:highlight w:val="none"/>
        </w:rPr>
      </w:pPr>
      <w:r>
        <w:rPr>
          <w:rFonts w:hint="eastAsia" w:ascii="黑体" w:eastAsia="黑体"/>
          <w:color w:val="auto"/>
          <w:highlight w:val="none"/>
        </w:rPr>
        <w:t>否决响应文件的其他情形</w:t>
      </w:r>
    </w:p>
    <w:p>
      <w:pPr>
        <w:spacing w:before="9"/>
        <w:rPr>
          <w:color w:val="auto"/>
          <w:sz w:val="20"/>
          <w:highlight w:val="none"/>
        </w:rPr>
      </w:pPr>
    </w:p>
    <w:p>
      <w:pPr>
        <w:pStyle w:val="2"/>
        <w:spacing w:line="391" w:lineRule="auto"/>
        <w:ind w:left="220" w:right="237" w:firstLine="420"/>
        <w:rPr>
          <w:color w:val="auto"/>
          <w:highlight w:val="none"/>
        </w:rPr>
      </w:pPr>
      <w:r>
        <w:rPr>
          <w:color w:val="auto"/>
          <w:highlight w:val="none"/>
        </w:rPr>
        <w:t>评审小组应对在评审过程中发现供应商存在串通报价、弄虚作假、行贿等违法行为的，评审小组应否决其响应文件。</w:t>
      </w:r>
    </w:p>
    <w:p>
      <w:pPr>
        <w:pStyle w:val="10"/>
        <w:numPr>
          <w:ilvl w:val="1"/>
          <w:numId w:val="13"/>
        </w:numPr>
        <w:tabs>
          <w:tab w:val="left" w:pos="640"/>
        </w:tabs>
        <w:spacing w:line="291" w:lineRule="exact"/>
        <w:rPr>
          <w:rFonts w:ascii="黑体" w:eastAsia="黑体"/>
          <w:color w:val="auto"/>
          <w:highlight w:val="none"/>
        </w:rPr>
      </w:pPr>
      <w:r>
        <w:rPr>
          <w:rFonts w:hint="eastAsia" w:ascii="黑体" w:eastAsia="黑体"/>
          <w:color w:val="auto"/>
          <w:highlight w:val="none"/>
        </w:rPr>
        <w:t>响应文件的澄清和说明或补正</w:t>
      </w:r>
    </w:p>
    <w:p>
      <w:pPr>
        <w:spacing w:before="6"/>
        <w:rPr>
          <w:color w:val="auto"/>
          <w:sz w:val="20"/>
          <w:highlight w:val="none"/>
        </w:rPr>
      </w:pPr>
    </w:p>
    <w:p>
      <w:pPr>
        <w:pStyle w:val="21"/>
        <w:numPr>
          <w:ilvl w:val="2"/>
          <w:numId w:val="13"/>
        </w:numPr>
        <w:tabs>
          <w:tab w:val="left" w:pos="1166"/>
        </w:tabs>
        <w:spacing w:line="393" w:lineRule="auto"/>
        <w:ind w:left="220" w:right="239" w:firstLine="420"/>
        <w:rPr>
          <w:color w:val="auto"/>
          <w:spacing w:val="-3"/>
          <w:sz w:val="21"/>
          <w:highlight w:val="none"/>
        </w:rPr>
      </w:pPr>
      <w:r>
        <w:rPr>
          <w:color w:val="auto"/>
          <w:spacing w:val="-3"/>
          <w:sz w:val="21"/>
          <w:highlight w:val="none"/>
        </w:rPr>
        <w:t>在评审过程中，评审小组可以书面形式要求供应商对响应文件中含义不明确、对同类问题表述不   一致或者有明显文字错误的内容做必要的澄清。评审小组不接受供应商主动提出的澄清。</w:t>
      </w:r>
    </w:p>
    <w:p>
      <w:pPr>
        <w:pStyle w:val="21"/>
        <w:numPr>
          <w:ilvl w:val="2"/>
          <w:numId w:val="13"/>
        </w:numPr>
        <w:tabs>
          <w:tab w:val="left" w:pos="1166"/>
        </w:tabs>
        <w:spacing w:line="393" w:lineRule="auto"/>
        <w:ind w:left="220" w:right="239" w:firstLine="420"/>
        <w:rPr>
          <w:color w:val="auto"/>
          <w:spacing w:val="-3"/>
          <w:sz w:val="21"/>
          <w:highlight w:val="none"/>
        </w:rPr>
      </w:pPr>
      <w:r>
        <w:rPr>
          <w:color w:val="auto"/>
          <w:spacing w:val="-3"/>
          <w:sz w:val="21"/>
          <w:highlight w:val="none"/>
        </w:rPr>
        <w:t>澄清不得超出响应文件的范围且不得改变响应文件的实质性内容，并构成响应文件的组成部分。</w:t>
      </w:r>
    </w:p>
    <w:p>
      <w:pPr>
        <w:pStyle w:val="21"/>
        <w:numPr>
          <w:ilvl w:val="2"/>
          <w:numId w:val="13"/>
        </w:numPr>
        <w:tabs>
          <w:tab w:val="left" w:pos="1166"/>
        </w:tabs>
        <w:spacing w:line="393" w:lineRule="auto"/>
        <w:ind w:left="220" w:right="239" w:firstLine="420"/>
        <w:rPr>
          <w:color w:val="auto"/>
          <w:spacing w:val="-3"/>
          <w:sz w:val="21"/>
          <w:highlight w:val="none"/>
        </w:rPr>
      </w:pPr>
      <w:r>
        <w:rPr>
          <w:rFonts w:hint="eastAsia"/>
          <w:color w:val="auto"/>
          <w:spacing w:val="-3"/>
          <w:sz w:val="21"/>
          <w:highlight w:val="none"/>
        </w:rPr>
        <w:t>评审结果</w:t>
      </w:r>
    </w:p>
    <w:p>
      <w:pPr>
        <w:spacing w:before="9"/>
        <w:rPr>
          <w:color w:val="auto"/>
          <w:sz w:val="20"/>
          <w:highlight w:val="none"/>
        </w:rPr>
      </w:pPr>
    </w:p>
    <w:p>
      <w:pPr>
        <w:pStyle w:val="2"/>
        <w:ind w:left="640"/>
        <w:rPr>
          <w:color w:val="auto"/>
          <w:highlight w:val="none"/>
        </w:rPr>
      </w:pPr>
      <w:r>
        <w:rPr>
          <w:color w:val="auto"/>
          <w:highlight w:val="none"/>
        </w:rPr>
        <w:t>评审小组完成评审后，应当向采购人提交评审报告。评审报告应当如实记载以下内容：</w:t>
      </w:r>
    </w:p>
    <w:p>
      <w:pPr>
        <w:pStyle w:val="2"/>
        <w:spacing w:before="170"/>
        <w:ind w:left="640"/>
        <w:rPr>
          <w:color w:val="auto"/>
          <w:highlight w:val="none"/>
        </w:rPr>
      </w:pPr>
      <w:r>
        <w:rPr>
          <w:color w:val="auto"/>
          <w:highlight w:val="none"/>
        </w:rPr>
        <w:t>（一）采购项目基本情况</w:t>
      </w:r>
    </w:p>
    <w:p>
      <w:pPr>
        <w:pStyle w:val="2"/>
        <w:spacing w:before="172"/>
        <w:ind w:left="640"/>
        <w:rPr>
          <w:color w:val="auto"/>
          <w:highlight w:val="none"/>
        </w:rPr>
      </w:pPr>
      <w:r>
        <w:rPr>
          <w:color w:val="auto"/>
          <w:highlight w:val="none"/>
        </w:rPr>
        <w:t>（二）采购过程回顾</w:t>
      </w:r>
    </w:p>
    <w:p>
      <w:pPr>
        <w:pStyle w:val="2"/>
        <w:spacing w:before="171"/>
        <w:ind w:left="640"/>
        <w:rPr>
          <w:color w:val="auto"/>
          <w:highlight w:val="none"/>
        </w:rPr>
      </w:pPr>
      <w:r>
        <w:rPr>
          <w:color w:val="auto"/>
          <w:highlight w:val="none"/>
        </w:rPr>
        <w:t>（三）评审小组成员名单</w:t>
      </w:r>
    </w:p>
    <w:p>
      <w:pPr>
        <w:rPr>
          <w:color w:val="auto"/>
          <w:highlight w:val="none"/>
        </w:rPr>
        <w:sectPr>
          <w:pgSz w:w="11910" w:h="16840"/>
          <w:pgMar w:top="1500" w:right="841" w:bottom="960" w:left="860" w:header="0" w:footer="776" w:gutter="0"/>
          <w:cols w:space="720" w:num="1"/>
        </w:sectPr>
      </w:pPr>
    </w:p>
    <w:p>
      <w:pPr>
        <w:pStyle w:val="2"/>
        <w:spacing w:before="41"/>
        <w:ind w:left="640"/>
        <w:rPr>
          <w:color w:val="auto"/>
          <w:highlight w:val="none"/>
        </w:rPr>
      </w:pPr>
      <w:r>
        <w:rPr>
          <w:color w:val="auto"/>
          <w:highlight w:val="none"/>
        </w:rPr>
        <w:t>（四）询比评审工作</w:t>
      </w:r>
    </w:p>
    <w:p>
      <w:pPr>
        <w:pStyle w:val="2"/>
        <w:spacing w:before="173"/>
        <w:ind w:left="640"/>
        <w:rPr>
          <w:color w:val="auto"/>
          <w:highlight w:val="none"/>
        </w:rPr>
      </w:pPr>
      <w:r>
        <w:rPr>
          <w:rFonts w:ascii="Times New Roman" w:eastAsia="Times New Roman"/>
          <w:color w:val="auto"/>
          <w:highlight w:val="none"/>
        </w:rPr>
        <w:t>1</w:t>
      </w:r>
      <w:r>
        <w:rPr>
          <w:color w:val="auto"/>
          <w:highlight w:val="none"/>
        </w:rPr>
        <w:t>、评审办法</w:t>
      </w:r>
    </w:p>
    <w:p>
      <w:pPr>
        <w:pStyle w:val="2"/>
        <w:spacing w:before="172"/>
        <w:ind w:left="640"/>
        <w:rPr>
          <w:color w:val="auto"/>
          <w:highlight w:val="none"/>
        </w:rPr>
      </w:pPr>
      <w:r>
        <w:rPr>
          <w:color w:val="auto"/>
          <w:highlight w:val="none"/>
        </w:rPr>
        <w:t>2、初步评审情况</w:t>
      </w:r>
    </w:p>
    <w:p>
      <w:pPr>
        <w:pStyle w:val="2"/>
        <w:spacing w:before="172"/>
        <w:ind w:left="640"/>
        <w:rPr>
          <w:color w:val="auto"/>
          <w:highlight w:val="none"/>
        </w:rPr>
      </w:pPr>
      <w:r>
        <w:rPr>
          <w:color w:val="auto"/>
          <w:highlight w:val="none"/>
        </w:rPr>
        <w:t>3、详细评审情况</w:t>
      </w:r>
    </w:p>
    <w:p>
      <w:pPr>
        <w:pStyle w:val="2"/>
        <w:spacing w:before="172"/>
        <w:ind w:left="640"/>
        <w:rPr>
          <w:color w:val="auto"/>
          <w:highlight w:val="none"/>
        </w:rPr>
      </w:pPr>
      <w:r>
        <w:rPr>
          <w:rFonts w:ascii="Times New Roman" w:eastAsia="Times New Roman"/>
          <w:color w:val="auto"/>
          <w:highlight w:val="none"/>
        </w:rPr>
        <w:t>4</w:t>
      </w:r>
      <w:r>
        <w:rPr>
          <w:color w:val="auto"/>
          <w:highlight w:val="none"/>
        </w:rPr>
        <w:t>、否决的供应商名单以及否决理由（如有）</w:t>
      </w:r>
    </w:p>
    <w:p>
      <w:pPr>
        <w:pStyle w:val="2"/>
        <w:spacing w:before="171"/>
        <w:ind w:left="640"/>
        <w:rPr>
          <w:color w:val="auto"/>
          <w:highlight w:val="none"/>
        </w:rPr>
      </w:pPr>
      <w:r>
        <w:rPr>
          <w:rFonts w:ascii="Times New Roman" w:eastAsia="Times New Roman"/>
          <w:color w:val="auto"/>
          <w:highlight w:val="none"/>
        </w:rPr>
        <w:t>5</w:t>
      </w:r>
      <w:r>
        <w:rPr>
          <w:color w:val="auto"/>
          <w:highlight w:val="none"/>
        </w:rPr>
        <w:t>、推荐候选供应商排序</w:t>
      </w:r>
    </w:p>
    <w:p>
      <w:pPr>
        <w:pStyle w:val="2"/>
        <w:spacing w:before="170"/>
        <w:ind w:left="640"/>
        <w:rPr>
          <w:color w:val="auto"/>
          <w:highlight w:val="none"/>
        </w:rPr>
      </w:pPr>
      <w:r>
        <w:rPr>
          <w:color w:val="auto"/>
          <w:highlight w:val="none"/>
        </w:rPr>
        <w:t>（五）需要说明的其他事项</w:t>
      </w:r>
    </w:p>
    <w:p>
      <w:pPr>
        <w:pStyle w:val="2"/>
        <w:spacing w:before="172"/>
        <w:ind w:left="640"/>
        <w:rPr>
          <w:color w:val="auto"/>
          <w:highlight w:val="none"/>
        </w:rPr>
      </w:pPr>
      <w:r>
        <w:rPr>
          <w:color w:val="auto"/>
          <w:highlight w:val="none"/>
        </w:rPr>
        <w:t>（六）评审附表</w:t>
      </w:r>
    </w:p>
    <w:p>
      <w:pPr>
        <w:pStyle w:val="2"/>
        <w:spacing w:before="170"/>
        <w:ind w:left="640"/>
        <w:rPr>
          <w:color w:val="auto"/>
          <w:highlight w:val="none"/>
        </w:rPr>
      </w:pPr>
      <w:r>
        <w:rPr>
          <w:rFonts w:ascii="Times New Roman" w:eastAsia="Times New Roman"/>
          <w:color w:val="auto"/>
          <w:highlight w:val="none"/>
        </w:rPr>
        <w:t>1</w:t>
      </w:r>
      <w:r>
        <w:rPr>
          <w:color w:val="auto"/>
          <w:highlight w:val="none"/>
        </w:rPr>
        <w:t>、响应文件</w:t>
      </w:r>
      <w:r>
        <w:rPr>
          <w:rFonts w:hint="eastAsia"/>
          <w:color w:val="auto"/>
          <w:highlight w:val="none"/>
          <w:lang w:val="en-US"/>
        </w:rPr>
        <w:t>接收</w:t>
      </w:r>
      <w:r>
        <w:rPr>
          <w:color w:val="auto"/>
          <w:highlight w:val="none"/>
        </w:rPr>
        <w:t>表</w:t>
      </w:r>
    </w:p>
    <w:p>
      <w:pPr>
        <w:pStyle w:val="2"/>
        <w:spacing w:before="170"/>
        <w:ind w:left="640"/>
        <w:rPr>
          <w:color w:val="auto"/>
          <w:highlight w:val="none"/>
        </w:rPr>
      </w:pPr>
      <w:r>
        <w:rPr>
          <w:rFonts w:hint="eastAsia" w:ascii="Times New Roman"/>
          <w:color w:val="auto"/>
          <w:highlight w:val="none"/>
          <w:lang w:val="en-US"/>
        </w:rPr>
        <w:t>2</w:t>
      </w:r>
      <w:r>
        <w:rPr>
          <w:color w:val="auto"/>
          <w:highlight w:val="none"/>
        </w:rPr>
        <w:t>、响应文件开启记录表</w:t>
      </w:r>
    </w:p>
    <w:p>
      <w:pPr>
        <w:pStyle w:val="2"/>
        <w:spacing w:before="171"/>
        <w:ind w:left="640"/>
        <w:rPr>
          <w:color w:val="auto"/>
          <w:highlight w:val="none"/>
        </w:rPr>
      </w:pPr>
      <w:r>
        <w:rPr>
          <w:rFonts w:hint="eastAsia" w:ascii="Times New Roman"/>
          <w:color w:val="auto"/>
          <w:highlight w:val="none"/>
          <w:lang w:val="en-US"/>
        </w:rPr>
        <w:t>3</w:t>
      </w:r>
      <w:r>
        <w:rPr>
          <w:color w:val="auto"/>
          <w:highlight w:val="none"/>
        </w:rPr>
        <w:t>、评审表格</w:t>
      </w:r>
    </w:p>
    <w:p>
      <w:pPr>
        <w:rPr>
          <w:color w:val="auto"/>
          <w:highlight w:val="none"/>
        </w:rPr>
        <w:sectPr>
          <w:pgSz w:w="11910" w:h="16840"/>
          <w:pgMar w:top="1540" w:right="841" w:bottom="1040" w:left="860" w:header="0" w:footer="776" w:gutter="0"/>
          <w:cols w:space="720" w:num="1"/>
        </w:sectPr>
      </w:pPr>
    </w:p>
    <w:p>
      <w:pPr>
        <w:pStyle w:val="2"/>
        <w:rPr>
          <w:color w:val="auto"/>
          <w:sz w:val="20"/>
          <w:highlight w:val="none"/>
        </w:rPr>
      </w:pPr>
    </w:p>
    <w:p>
      <w:pPr>
        <w:pStyle w:val="2"/>
        <w:rPr>
          <w:color w:val="auto"/>
          <w:sz w:val="20"/>
          <w:highlight w:val="none"/>
        </w:rPr>
      </w:pPr>
    </w:p>
    <w:p>
      <w:pPr>
        <w:pStyle w:val="2"/>
        <w:rPr>
          <w:color w:val="auto"/>
          <w:sz w:val="20"/>
          <w:highlight w:val="none"/>
        </w:rPr>
      </w:pPr>
    </w:p>
    <w:p>
      <w:pPr>
        <w:pStyle w:val="2"/>
        <w:rPr>
          <w:color w:val="auto"/>
          <w:sz w:val="20"/>
          <w:highlight w:val="none"/>
        </w:rPr>
      </w:pPr>
    </w:p>
    <w:p>
      <w:pPr>
        <w:pStyle w:val="2"/>
        <w:rPr>
          <w:color w:val="auto"/>
          <w:sz w:val="20"/>
          <w:highlight w:val="none"/>
        </w:rPr>
      </w:pPr>
    </w:p>
    <w:p>
      <w:pPr>
        <w:pStyle w:val="2"/>
        <w:rPr>
          <w:color w:val="auto"/>
          <w:sz w:val="20"/>
          <w:highlight w:val="none"/>
        </w:rPr>
      </w:pPr>
    </w:p>
    <w:p>
      <w:pPr>
        <w:pStyle w:val="2"/>
        <w:rPr>
          <w:color w:val="auto"/>
          <w:sz w:val="20"/>
          <w:highlight w:val="none"/>
        </w:rPr>
      </w:pPr>
    </w:p>
    <w:p>
      <w:pPr>
        <w:pStyle w:val="2"/>
        <w:rPr>
          <w:color w:val="auto"/>
          <w:sz w:val="20"/>
          <w:highlight w:val="none"/>
        </w:rPr>
      </w:pPr>
    </w:p>
    <w:p>
      <w:pPr>
        <w:pStyle w:val="2"/>
        <w:rPr>
          <w:color w:val="auto"/>
          <w:sz w:val="20"/>
          <w:highlight w:val="none"/>
        </w:rPr>
      </w:pPr>
    </w:p>
    <w:p>
      <w:pPr>
        <w:pStyle w:val="2"/>
        <w:rPr>
          <w:color w:val="auto"/>
          <w:sz w:val="20"/>
          <w:highlight w:val="none"/>
        </w:rPr>
      </w:pPr>
    </w:p>
    <w:p>
      <w:pPr>
        <w:pStyle w:val="2"/>
        <w:rPr>
          <w:color w:val="auto"/>
          <w:sz w:val="20"/>
          <w:highlight w:val="none"/>
        </w:rPr>
      </w:pPr>
    </w:p>
    <w:p>
      <w:pPr>
        <w:pStyle w:val="2"/>
        <w:rPr>
          <w:color w:val="auto"/>
          <w:sz w:val="20"/>
          <w:highlight w:val="none"/>
        </w:rPr>
      </w:pPr>
    </w:p>
    <w:p>
      <w:pPr>
        <w:pStyle w:val="2"/>
        <w:rPr>
          <w:color w:val="auto"/>
          <w:sz w:val="20"/>
          <w:highlight w:val="none"/>
        </w:rPr>
      </w:pPr>
    </w:p>
    <w:p>
      <w:pPr>
        <w:pStyle w:val="2"/>
        <w:rPr>
          <w:color w:val="auto"/>
          <w:sz w:val="20"/>
          <w:highlight w:val="none"/>
        </w:rPr>
      </w:pPr>
    </w:p>
    <w:p>
      <w:pPr>
        <w:pStyle w:val="4"/>
        <w:spacing w:before="215"/>
        <w:rPr>
          <w:color w:val="auto"/>
          <w:highlight w:val="none"/>
        </w:rPr>
      </w:pPr>
      <w:bookmarkStart w:id="3" w:name="_TOC_250002"/>
      <w:bookmarkEnd w:id="3"/>
      <w:r>
        <w:rPr>
          <w:color w:val="auto"/>
          <w:highlight w:val="none"/>
        </w:rPr>
        <w:t>第四章 合同内容</w:t>
      </w:r>
    </w:p>
    <w:p>
      <w:pPr>
        <w:rPr>
          <w:color w:val="auto"/>
          <w:highlight w:val="none"/>
        </w:rPr>
        <w:sectPr>
          <w:pgSz w:w="11910" w:h="16840"/>
          <w:pgMar w:top="1600" w:right="841" w:bottom="1040" w:left="860" w:header="0" w:footer="776" w:gutter="0"/>
          <w:cols w:space="720" w:num="1"/>
        </w:sectPr>
      </w:pPr>
    </w:p>
    <w:p>
      <w:pPr>
        <w:spacing w:before="98"/>
        <w:ind w:left="755" w:right="775"/>
        <w:jc w:val="center"/>
        <w:rPr>
          <w:rFonts w:ascii="宋体" w:eastAsia="宋体"/>
          <w:b/>
          <w:color w:val="auto"/>
          <w:sz w:val="36"/>
          <w:highlight w:val="none"/>
        </w:rPr>
      </w:pPr>
      <w:r>
        <w:rPr>
          <w:rFonts w:hint="eastAsia" w:ascii="宋体" w:eastAsia="宋体"/>
          <w:b/>
          <w:color w:val="auto"/>
          <w:sz w:val="36"/>
          <w:highlight w:val="none"/>
        </w:rPr>
        <w:t>一、服务协议书</w:t>
      </w:r>
    </w:p>
    <w:p>
      <w:pPr>
        <w:pStyle w:val="2"/>
        <w:spacing w:before="9"/>
        <w:rPr>
          <w:b/>
          <w:color w:val="auto"/>
          <w:sz w:val="47"/>
          <w:highlight w:val="none"/>
        </w:rPr>
      </w:pPr>
    </w:p>
    <w:p>
      <w:pPr>
        <w:spacing w:before="1" w:line="261" w:lineRule="auto"/>
        <w:ind w:left="272" w:right="296"/>
        <w:jc w:val="center"/>
        <w:rPr>
          <w:rFonts w:ascii="宋体" w:eastAsia="宋体"/>
          <w:b/>
          <w:color w:val="auto"/>
          <w:spacing w:val="-1"/>
          <w:sz w:val="40"/>
          <w:highlight w:val="none"/>
          <w:lang w:val="en-US"/>
        </w:rPr>
      </w:pPr>
      <w:r>
        <w:rPr>
          <w:rFonts w:hint="eastAsia" w:ascii="宋体" w:eastAsia="宋体"/>
          <w:b/>
          <w:color w:val="auto"/>
          <w:spacing w:val="-1"/>
          <w:sz w:val="40"/>
          <w:highlight w:val="none"/>
          <w:lang w:val="en-US"/>
        </w:rPr>
        <w:t>五河至蒙城高速公路中心试验室路基仪器设备</w:t>
      </w:r>
    </w:p>
    <w:p>
      <w:pPr>
        <w:spacing w:before="1" w:line="261" w:lineRule="auto"/>
        <w:ind w:left="272" w:right="296"/>
        <w:jc w:val="center"/>
        <w:rPr>
          <w:rFonts w:ascii="宋体" w:eastAsia="宋体"/>
          <w:b/>
          <w:color w:val="auto"/>
          <w:sz w:val="40"/>
          <w:highlight w:val="none"/>
        </w:rPr>
      </w:pPr>
      <w:r>
        <w:rPr>
          <w:rFonts w:hint="eastAsia" w:ascii="宋体" w:eastAsia="宋体"/>
          <w:b/>
          <w:color w:val="auto"/>
          <w:spacing w:val="-1"/>
          <w:sz w:val="40"/>
          <w:highlight w:val="none"/>
          <w:lang w:val="en-US"/>
        </w:rPr>
        <w:t>采购</w:t>
      </w:r>
      <w:r>
        <w:rPr>
          <w:rFonts w:hint="eastAsia" w:ascii="宋体" w:eastAsia="宋体"/>
          <w:b/>
          <w:color w:val="auto"/>
          <w:spacing w:val="-1"/>
          <w:sz w:val="40"/>
          <w:highlight w:val="none"/>
          <w:lang w:val="en-US" w:eastAsia="zh-CN"/>
        </w:rPr>
        <w:t>（二次）</w:t>
      </w:r>
      <w:r>
        <w:rPr>
          <w:rFonts w:hint="eastAsia" w:ascii="宋体" w:eastAsia="宋体"/>
          <w:b/>
          <w:color w:val="auto"/>
          <w:spacing w:val="-1"/>
          <w:sz w:val="40"/>
          <w:highlight w:val="none"/>
        </w:rPr>
        <w:t>合同协议书</w:t>
      </w:r>
    </w:p>
    <w:p>
      <w:pPr>
        <w:pStyle w:val="2"/>
        <w:rPr>
          <w:b/>
          <w:color w:val="auto"/>
          <w:sz w:val="20"/>
          <w:highlight w:val="none"/>
        </w:rPr>
      </w:pPr>
    </w:p>
    <w:p>
      <w:pPr>
        <w:pStyle w:val="2"/>
        <w:spacing w:before="3"/>
        <w:rPr>
          <w:b/>
          <w:color w:val="auto"/>
          <w:sz w:val="19"/>
          <w:highlight w:val="none"/>
        </w:rPr>
      </w:pPr>
    </w:p>
    <w:p>
      <w:pPr>
        <w:pStyle w:val="2"/>
        <w:tabs>
          <w:tab w:val="left" w:pos="1899"/>
          <w:tab w:val="left" w:pos="6546"/>
          <w:tab w:val="left" w:pos="9546"/>
        </w:tabs>
        <w:spacing w:line="357" w:lineRule="auto"/>
        <w:ind w:left="220" w:right="237" w:firstLine="420"/>
        <w:rPr>
          <w:color w:val="auto"/>
          <w:highlight w:val="none"/>
        </w:rPr>
      </w:pPr>
      <w:r>
        <w:rPr>
          <w:rFonts w:hint="eastAsia"/>
          <w:color w:val="auto"/>
          <w:highlight w:val="none"/>
          <w:u w:val="single"/>
        </w:rPr>
        <w:tab/>
      </w:r>
      <w:r>
        <w:rPr>
          <w:rFonts w:hint="eastAsia"/>
          <w:color w:val="auto"/>
          <w:highlight w:val="none"/>
        </w:rPr>
        <w:t>（委托人名称</w:t>
      </w:r>
      <w:r>
        <w:rPr>
          <w:rFonts w:hint="eastAsia"/>
          <w:color w:val="auto"/>
          <w:spacing w:val="-53"/>
          <w:highlight w:val="none"/>
        </w:rPr>
        <w:t>，</w:t>
      </w:r>
      <w:r>
        <w:rPr>
          <w:rFonts w:hint="eastAsia"/>
          <w:color w:val="auto"/>
          <w:highlight w:val="none"/>
        </w:rPr>
        <w:t>以下简称“甲方</w:t>
      </w:r>
      <w:r>
        <w:rPr>
          <w:rFonts w:hint="eastAsia"/>
          <w:color w:val="auto"/>
          <w:spacing w:val="-27"/>
          <w:highlight w:val="none"/>
        </w:rPr>
        <w:t>”）</w:t>
      </w:r>
      <w:r>
        <w:rPr>
          <w:rFonts w:hint="eastAsia"/>
          <w:color w:val="auto"/>
          <w:highlight w:val="none"/>
        </w:rPr>
        <w:t>为实施</w:t>
      </w:r>
      <w:r>
        <w:rPr>
          <w:rFonts w:hint="eastAsia"/>
          <w:color w:val="auto"/>
          <w:highlight w:val="none"/>
          <w:u w:val="single"/>
        </w:rPr>
        <w:tab/>
      </w:r>
      <w:r>
        <w:rPr>
          <w:rFonts w:hint="eastAsia"/>
          <w:color w:val="auto"/>
          <w:highlight w:val="none"/>
          <w:u w:val="single"/>
        </w:rPr>
        <w:t>（</w:t>
      </w:r>
      <w:r>
        <w:rPr>
          <w:rFonts w:hint="eastAsia"/>
          <w:color w:val="auto"/>
          <w:highlight w:val="none"/>
        </w:rPr>
        <w:t>项目名称</w:t>
      </w:r>
      <w:r>
        <w:rPr>
          <w:rFonts w:hint="eastAsia"/>
          <w:color w:val="auto"/>
          <w:spacing w:val="-53"/>
          <w:highlight w:val="none"/>
        </w:rPr>
        <w:t>），</w:t>
      </w:r>
      <w:r>
        <w:rPr>
          <w:rFonts w:hint="eastAsia"/>
          <w:color w:val="auto"/>
          <w:highlight w:val="none"/>
        </w:rPr>
        <w:t>已接受</w:t>
      </w:r>
      <w:r>
        <w:rPr>
          <w:rFonts w:hint="eastAsia"/>
          <w:color w:val="auto"/>
          <w:highlight w:val="none"/>
          <w:u w:val="single"/>
        </w:rPr>
        <w:tab/>
      </w:r>
      <w:r>
        <w:rPr>
          <w:rFonts w:hint="eastAsia"/>
          <w:color w:val="auto"/>
          <w:highlight w:val="none"/>
          <w:u w:val="single"/>
        </w:rPr>
        <w:t>（</w:t>
      </w:r>
      <w:r>
        <w:rPr>
          <w:rFonts w:hint="eastAsia"/>
          <w:color w:val="auto"/>
          <w:spacing w:val="-17"/>
          <w:highlight w:val="none"/>
        </w:rPr>
        <w:t>成</w:t>
      </w:r>
      <w:r>
        <w:rPr>
          <w:rFonts w:hint="eastAsia"/>
          <w:color w:val="auto"/>
          <w:highlight w:val="none"/>
        </w:rPr>
        <w:t>交人名称，以下简称“乙方”）对该项目的响应文件。甲乙双方经协商一致，共同达成如下协议。</w:t>
      </w:r>
    </w:p>
    <w:p>
      <w:pPr>
        <w:pStyle w:val="2"/>
        <w:tabs>
          <w:tab w:val="left" w:pos="7568"/>
        </w:tabs>
        <w:spacing w:line="269" w:lineRule="exact"/>
        <w:ind w:left="640"/>
        <w:rPr>
          <w:color w:val="auto"/>
          <w:highlight w:val="none"/>
        </w:rPr>
      </w:pPr>
      <w:r>
        <w:rPr>
          <w:rFonts w:hint="eastAsia"/>
          <w:color w:val="auto"/>
          <w:highlight w:val="none"/>
        </w:rPr>
        <w:t>1、本项目的主要工作内容：</w:t>
      </w:r>
      <w:r>
        <w:rPr>
          <w:rFonts w:hint="eastAsia"/>
          <w:color w:val="auto"/>
          <w:highlight w:val="none"/>
        </w:rPr>
        <w:tab/>
      </w:r>
      <w:r>
        <w:rPr>
          <w:rFonts w:hint="eastAsia"/>
          <w:color w:val="auto"/>
          <w:highlight w:val="none"/>
        </w:rPr>
        <w:t>。</w:t>
      </w:r>
    </w:p>
    <w:p>
      <w:pPr>
        <w:pStyle w:val="2"/>
        <w:spacing w:before="129"/>
        <w:ind w:left="640"/>
        <w:rPr>
          <w:color w:val="auto"/>
          <w:highlight w:val="none"/>
        </w:rPr>
      </w:pPr>
      <w:r>
        <w:rPr>
          <w:rFonts w:hint="eastAsia"/>
          <w:color w:val="auto"/>
          <w:highlight w:val="none"/>
        </w:rPr>
        <w:t>2、下列文件应视为构成合同文件的组成部分：</w:t>
      </w:r>
    </w:p>
    <w:p>
      <w:pPr>
        <w:pStyle w:val="21"/>
        <w:numPr>
          <w:ilvl w:val="0"/>
          <w:numId w:val="14"/>
        </w:numPr>
        <w:tabs>
          <w:tab w:val="left" w:pos="1165"/>
        </w:tabs>
        <w:spacing w:before="132"/>
        <w:rPr>
          <w:color w:val="auto"/>
          <w:sz w:val="21"/>
          <w:szCs w:val="21"/>
          <w:highlight w:val="none"/>
        </w:rPr>
      </w:pPr>
      <w:r>
        <w:rPr>
          <w:rFonts w:hint="eastAsia"/>
          <w:color w:val="auto"/>
          <w:sz w:val="21"/>
          <w:szCs w:val="21"/>
          <w:highlight w:val="none"/>
        </w:rPr>
        <w:t>本合同协议书及各种合同附件；</w:t>
      </w:r>
    </w:p>
    <w:p>
      <w:pPr>
        <w:pStyle w:val="21"/>
        <w:numPr>
          <w:ilvl w:val="0"/>
          <w:numId w:val="14"/>
        </w:numPr>
        <w:tabs>
          <w:tab w:val="left" w:pos="1165"/>
        </w:tabs>
        <w:spacing w:before="132"/>
        <w:rPr>
          <w:color w:val="auto"/>
          <w:sz w:val="21"/>
          <w:szCs w:val="21"/>
          <w:highlight w:val="none"/>
        </w:rPr>
      </w:pPr>
      <w:r>
        <w:rPr>
          <w:rFonts w:hint="eastAsia"/>
          <w:color w:val="auto"/>
          <w:sz w:val="21"/>
          <w:szCs w:val="21"/>
          <w:highlight w:val="none"/>
        </w:rPr>
        <w:t>成交通知书；</w:t>
      </w:r>
    </w:p>
    <w:p>
      <w:pPr>
        <w:pStyle w:val="21"/>
        <w:numPr>
          <w:ilvl w:val="0"/>
          <w:numId w:val="14"/>
        </w:numPr>
        <w:tabs>
          <w:tab w:val="left" w:pos="1165"/>
        </w:tabs>
        <w:spacing w:before="129"/>
        <w:rPr>
          <w:color w:val="auto"/>
          <w:sz w:val="21"/>
          <w:szCs w:val="21"/>
          <w:highlight w:val="none"/>
        </w:rPr>
      </w:pPr>
      <w:r>
        <w:rPr>
          <w:rFonts w:hint="eastAsia"/>
          <w:color w:val="auto"/>
          <w:sz w:val="21"/>
          <w:szCs w:val="21"/>
          <w:highlight w:val="none"/>
        </w:rPr>
        <w:t>报价函；</w:t>
      </w:r>
    </w:p>
    <w:p>
      <w:pPr>
        <w:pStyle w:val="21"/>
        <w:numPr>
          <w:ilvl w:val="0"/>
          <w:numId w:val="14"/>
        </w:numPr>
        <w:tabs>
          <w:tab w:val="left" w:pos="1165"/>
        </w:tabs>
        <w:spacing w:before="132"/>
        <w:rPr>
          <w:color w:val="auto"/>
          <w:sz w:val="21"/>
          <w:szCs w:val="21"/>
          <w:highlight w:val="none"/>
        </w:rPr>
      </w:pPr>
      <w:r>
        <w:rPr>
          <w:rFonts w:hint="eastAsia"/>
          <w:color w:val="auto"/>
          <w:sz w:val="21"/>
          <w:szCs w:val="21"/>
          <w:highlight w:val="none"/>
        </w:rPr>
        <w:t>已标价工程量清单；</w:t>
      </w:r>
    </w:p>
    <w:p>
      <w:pPr>
        <w:pStyle w:val="21"/>
        <w:numPr>
          <w:ilvl w:val="0"/>
          <w:numId w:val="14"/>
        </w:numPr>
        <w:tabs>
          <w:tab w:val="left" w:pos="1165"/>
        </w:tabs>
        <w:spacing w:before="132"/>
        <w:rPr>
          <w:color w:val="auto"/>
          <w:sz w:val="21"/>
          <w:szCs w:val="21"/>
          <w:highlight w:val="none"/>
        </w:rPr>
      </w:pPr>
      <w:r>
        <w:rPr>
          <w:rFonts w:hint="eastAsia"/>
          <w:color w:val="auto"/>
          <w:sz w:val="21"/>
          <w:szCs w:val="21"/>
          <w:highlight w:val="none"/>
        </w:rPr>
        <w:t>其他资料。</w:t>
      </w:r>
    </w:p>
    <w:p>
      <w:pPr>
        <w:pStyle w:val="2"/>
        <w:spacing w:before="129" w:line="357" w:lineRule="auto"/>
        <w:ind w:left="220" w:right="326" w:firstLine="420"/>
        <w:rPr>
          <w:color w:val="auto"/>
          <w:highlight w:val="none"/>
        </w:rPr>
      </w:pPr>
      <w:r>
        <w:rPr>
          <w:rFonts w:hint="eastAsia"/>
          <w:color w:val="auto"/>
          <w:highlight w:val="none"/>
        </w:rPr>
        <w:t>上述合同文件互相补充和解释。如果合同文件之间存在矛盾或不一致之处，以上述文件的排列顺序在先者为准。</w:t>
      </w:r>
    </w:p>
    <w:p>
      <w:pPr>
        <w:pStyle w:val="2"/>
        <w:tabs>
          <w:tab w:val="left" w:pos="5048"/>
          <w:tab w:val="left" w:pos="6519"/>
        </w:tabs>
        <w:spacing w:line="269" w:lineRule="exact"/>
        <w:ind w:left="640"/>
        <w:rPr>
          <w:color w:val="auto"/>
          <w:highlight w:val="none"/>
        </w:rPr>
      </w:pPr>
      <w:r>
        <w:rPr>
          <w:rFonts w:hint="eastAsia"/>
          <w:color w:val="auto"/>
          <w:highlight w:val="none"/>
        </w:rPr>
        <w:t>3、签约合同价：人民币（大写）</w:t>
      </w:r>
      <w:r>
        <w:rPr>
          <w:rFonts w:hint="eastAsia"/>
          <w:color w:val="auto"/>
          <w:highlight w:val="none"/>
          <w:u w:val="single"/>
        </w:rPr>
        <w:tab/>
      </w:r>
      <w:r>
        <w:rPr>
          <w:rFonts w:hint="eastAsia"/>
          <w:color w:val="auto"/>
          <w:highlight w:val="none"/>
        </w:rPr>
        <w:t>元（￥</w:t>
      </w:r>
      <w:r>
        <w:rPr>
          <w:rFonts w:hint="eastAsia"/>
          <w:color w:val="auto"/>
          <w:highlight w:val="none"/>
          <w:u w:val="single"/>
        </w:rPr>
        <w:tab/>
      </w:r>
      <w:r>
        <w:rPr>
          <w:rFonts w:hint="eastAsia"/>
          <w:color w:val="auto"/>
          <w:highlight w:val="none"/>
        </w:rPr>
        <w:t>）。</w:t>
      </w:r>
    </w:p>
    <w:p>
      <w:pPr>
        <w:pStyle w:val="2"/>
        <w:tabs>
          <w:tab w:val="left" w:pos="2528"/>
          <w:tab w:val="left" w:pos="5994"/>
        </w:tabs>
        <w:spacing w:before="129"/>
        <w:ind w:left="640"/>
        <w:rPr>
          <w:color w:val="auto"/>
          <w:highlight w:val="none"/>
        </w:rPr>
      </w:pPr>
      <w:r>
        <w:rPr>
          <w:rFonts w:hint="eastAsia"/>
          <w:color w:val="auto"/>
          <w:highlight w:val="none"/>
        </w:rPr>
        <w:t>4、甲方指定</w:t>
      </w:r>
      <w:r>
        <w:rPr>
          <w:rFonts w:hint="eastAsia"/>
          <w:color w:val="auto"/>
          <w:highlight w:val="none"/>
          <w:u w:val="single"/>
        </w:rPr>
        <w:tab/>
      </w:r>
      <w:r>
        <w:rPr>
          <w:rFonts w:hint="eastAsia"/>
          <w:color w:val="auto"/>
          <w:highlight w:val="none"/>
        </w:rPr>
        <w:t>为甲方项目联系人，乙方指定</w:t>
      </w:r>
      <w:r>
        <w:rPr>
          <w:rFonts w:hint="eastAsia"/>
          <w:color w:val="auto"/>
          <w:highlight w:val="none"/>
          <w:u w:val="single"/>
        </w:rPr>
        <w:tab/>
      </w:r>
      <w:r>
        <w:rPr>
          <w:rFonts w:hint="eastAsia"/>
          <w:color w:val="auto"/>
          <w:highlight w:val="none"/>
        </w:rPr>
        <w:t>为乙方项目联系人。</w:t>
      </w:r>
    </w:p>
    <w:p>
      <w:pPr>
        <w:pStyle w:val="2"/>
        <w:spacing w:before="132" w:line="357" w:lineRule="auto"/>
        <w:ind w:left="220" w:right="237" w:firstLine="420"/>
        <w:rPr>
          <w:color w:val="auto"/>
          <w:highlight w:val="none"/>
        </w:rPr>
      </w:pPr>
      <w:r>
        <w:rPr>
          <w:rFonts w:hint="eastAsia"/>
          <w:color w:val="auto"/>
          <w:highlight w:val="none"/>
        </w:rPr>
        <w:t>5</w:t>
      </w:r>
      <w:r>
        <w:rPr>
          <w:rFonts w:hint="eastAsia"/>
          <w:color w:val="auto"/>
          <w:spacing w:val="-9"/>
          <w:highlight w:val="none"/>
        </w:rPr>
        <w:t>、在签订合同前，入围供应商应向采购人提交履约保证金。履约保证金的金额为</w:t>
      </w:r>
      <w:r>
        <w:rPr>
          <w:rFonts w:hint="eastAsia"/>
          <w:color w:val="auto"/>
          <w:highlight w:val="none"/>
          <w:u w:val="single"/>
        </w:rPr>
        <w:t xml:space="preserve">10000.00 </w:t>
      </w:r>
      <w:r>
        <w:rPr>
          <w:rFonts w:hint="eastAsia"/>
          <w:color w:val="auto"/>
          <w:spacing w:val="-4"/>
          <w:highlight w:val="none"/>
        </w:rPr>
        <w:t>元，履约保证金的形式为银行转账。</w:t>
      </w:r>
    </w:p>
    <w:p>
      <w:pPr>
        <w:pStyle w:val="2"/>
        <w:spacing w:before="2" w:line="357" w:lineRule="auto"/>
        <w:ind w:left="220" w:right="261" w:firstLine="420"/>
        <w:rPr>
          <w:color w:val="auto"/>
          <w:highlight w:val="none"/>
        </w:rPr>
      </w:pPr>
      <w:r>
        <w:rPr>
          <w:rFonts w:hint="eastAsia"/>
          <w:color w:val="auto"/>
          <w:highlight w:val="none"/>
        </w:rPr>
        <w:t>6、采购的设备质量及后续安装标定测试符合的标准和要求： 满足合同及相关标准要求</w:t>
      </w:r>
      <w:r>
        <w:rPr>
          <w:rFonts w:hint="eastAsia"/>
          <w:color w:val="auto"/>
          <w:highlight w:val="none"/>
        </w:rPr>
        <w:tab/>
      </w:r>
      <w:r>
        <w:rPr>
          <w:rFonts w:hint="eastAsia"/>
          <w:color w:val="auto"/>
          <w:highlight w:val="none"/>
        </w:rPr>
        <w:t>。</w:t>
      </w:r>
    </w:p>
    <w:p>
      <w:pPr>
        <w:pStyle w:val="2"/>
        <w:spacing w:before="2" w:line="357" w:lineRule="auto"/>
        <w:ind w:left="220" w:right="261" w:firstLine="420"/>
        <w:rPr>
          <w:color w:val="auto"/>
          <w:highlight w:val="none"/>
        </w:rPr>
      </w:pPr>
      <w:r>
        <w:rPr>
          <w:rFonts w:hint="eastAsia"/>
          <w:color w:val="auto"/>
          <w:highlight w:val="none"/>
        </w:rPr>
        <w:t>7、采购的设备交付地点和交付方式：</w:t>
      </w:r>
      <w:r>
        <w:rPr>
          <w:rFonts w:hint="eastAsia"/>
          <w:color w:val="auto"/>
          <w:highlight w:val="none"/>
          <w:lang w:val="en-US"/>
        </w:rPr>
        <w:t>蒙城</w:t>
      </w:r>
      <w:r>
        <w:rPr>
          <w:rFonts w:hint="eastAsia"/>
          <w:color w:val="auto"/>
          <w:highlight w:val="none"/>
        </w:rPr>
        <w:t>；成交人需亲自将货物运送至甲方指定地点</w:t>
      </w:r>
      <w:r>
        <w:rPr>
          <w:rFonts w:hint="eastAsia"/>
          <w:color w:val="auto"/>
          <w:highlight w:val="none"/>
        </w:rPr>
        <w:tab/>
      </w:r>
      <w:r>
        <w:rPr>
          <w:rFonts w:hint="eastAsia"/>
          <w:color w:val="auto"/>
          <w:highlight w:val="none"/>
        </w:rPr>
        <w:t>。</w:t>
      </w:r>
    </w:p>
    <w:p>
      <w:pPr>
        <w:pStyle w:val="2"/>
        <w:spacing w:before="2" w:line="357" w:lineRule="auto"/>
        <w:ind w:left="220" w:right="261" w:firstLine="420"/>
        <w:rPr>
          <w:color w:val="auto"/>
          <w:highlight w:val="none"/>
        </w:rPr>
      </w:pPr>
      <w:r>
        <w:rPr>
          <w:rFonts w:hint="eastAsia"/>
          <w:color w:val="auto"/>
          <w:highlight w:val="none"/>
        </w:rPr>
        <w:t>8、采购的设备验收方式：所有采购设备需提供完整的原厂合格证、保修卡及安装操作说明书，并确保   设备完好。设备到货后经双方现场验收并签字确认或者其他经甲方认可的方式验收确认。</w:t>
      </w:r>
    </w:p>
    <w:p>
      <w:pPr>
        <w:pStyle w:val="2"/>
        <w:spacing w:before="2" w:line="357" w:lineRule="auto"/>
        <w:ind w:left="220" w:right="261" w:firstLine="420"/>
        <w:rPr>
          <w:color w:val="auto"/>
          <w:highlight w:val="none"/>
        </w:rPr>
      </w:pPr>
      <w:r>
        <w:rPr>
          <w:rFonts w:hint="eastAsia"/>
          <w:color w:val="auto"/>
          <w:highlight w:val="none"/>
        </w:rPr>
        <w:t>9、本项目货物交付周期为合同签订后 15 日历天内交付。乙方需严格按照甲方要求在规定时间和指定地点交付货物。</w:t>
      </w:r>
    </w:p>
    <w:p>
      <w:pPr>
        <w:pStyle w:val="2"/>
        <w:spacing w:line="355" w:lineRule="auto"/>
        <w:ind w:left="220" w:right="333" w:firstLine="420"/>
        <w:rPr>
          <w:color w:val="auto"/>
          <w:highlight w:val="none"/>
        </w:rPr>
      </w:pPr>
      <w:r>
        <w:rPr>
          <w:rFonts w:hint="eastAsia"/>
          <w:color w:val="auto"/>
          <w:highlight w:val="none"/>
        </w:rPr>
        <w:t>10、本项目质保期为</w:t>
      </w:r>
      <w:r>
        <w:rPr>
          <w:rFonts w:hint="eastAsia"/>
          <w:color w:val="auto"/>
          <w:highlight w:val="none"/>
          <w:lang w:val="en-US"/>
        </w:rPr>
        <w:t>三</w:t>
      </w:r>
      <w:r>
        <w:rPr>
          <w:rFonts w:hint="eastAsia"/>
          <w:color w:val="auto"/>
          <w:highlight w:val="none"/>
        </w:rPr>
        <w:t>年。在质保期内乙方需免费提供设备维修、更换服务，并免费提供设备使用维   护咨询服务。</w:t>
      </w:r>
    </w:p>
    <w:p>
      <w:pPr>
        <w:pStyle w:val="2"/>
        <w:spacing w:line="355" w:lineRule="auto"/>
        <w:ind w:left="220" w:right="333" w:firstLine="420"/>
        <w:rPr>
          <w:color w:val="auto"/>
          <w:highlight w:val="none"/>
        </w:rPr>
      </w:pPr>
      <w:r>
        <w:rPr>
          <w:rFonts w:hint="eastAsia"/>
          <w:color w:val="auto"/>
          <w:highlight w:val="none"/>
        </w:rPr>
        <w:t>11、乙方需按要求严格做好安全生产工作，在设备的采购、送货，质保期内设备保修和技术服务以及其他与本项目有关的一切活动过程中的安全由乙方自行负责。</w:t>
      </w:r>
    </w:p>
    <w:p>
      <w:pPr>
        <w:pStyle w:val="2"/>
        <w:ind w:left="640"/>
        <w:rPr>
          <w:color w:val="auto"/>
          <w:highlight w:val="none"/>
        </w:rPr>
      </w:pPr>
      <w:r>
        <w:rPr>
          <w:rFonts w:hint="eastAsia"/>
          <w:color w:val="auto"/>
          <w:highlight w:val="none"/>
        </w:rPr>
        <w:t>12、计量支付</w:t>
      </w:r>
    </w:p>
    <w:p>
      <w:pPr>
        <w:pStyle w:val="2"/>
        <w:spacing w:before="50" w:line="357" w:lineRule="auto"/>
        <w:ind w:left="220" w:right="292" w:firstLine="420"/>
        <w:jc w:val="both"/>
        <w:rPr>
          <w:color w:val="auto"/>
          <w:highlight w:val="none"/>
        </w:rPr>
      </w:pPr>
      <w:r>
        <w:rPr>
          <w:rFonts w:hint="eastAsia"/>
          <w:color w:val="auto"/>
          <w:highlight w:val="none"/>
        </w:rPr>
        <w:t>本项目无预付款；设备进场安装调试并验收合格后，进行第一次支付，支付费用为本次实际设备总费</w:t>
      </w:r>
      <w:r>
        <w:rPr>
          <w:rFonts w:hint="eastAsia"/>
          <w:color w:val="auto"/>
          <w:spacing w:val="-21"/>
          <w:highlight w:val="none"/>
        </w:rPr>
        <w:t xml:space="preserve">用的 </w:t>
      </w:r>
      <w:r>
        <w:rPr>
          <w:rFonts w:hint="eastAsia"/>
          <w:color w:val="auto"/>
          <w:highlight w:val="none"/>
        </w:rPr>
        <w:t>50%</w:t>
      </w:r>
      <w:r>
        <w:rPr>
          <w:rFonts w:hint="eastAsia"/>
          <w:color w:val="auto"/>
          <w:spacing w:val="-2"/>
          <w:highlight w:val="none"/>
        </w:rPr>
        <w:t xml:space="preserve">；设备全部安装完成并试运行三个月无严重质量问题，支付至实际工程价款的 </w:t>
      </w:r>
      <w:r>
        <w:rPr>
          <w:rFonts w:hint="eastAsia"/>
          <w:color w:val="auto"/>
          <w:highlight w:val="none"/>
        </w:rPr>
        <w:t>90%，在项目仪器</w:t>
      </w:r>
      <w:r>
        <w:rPr>
          <w:rFonts w:hint="eastAsia"/>
          <w:color w:val="auto"/>
          <w:spacing w:val="-2"/>
          <w:highlight w:val="none"/>
        </w:rPr>
        <w:t xml:space="preserve">撤场时，仪器设备供应商应安排人员协助仪器的拆卸，完成后支付实际工程价款剩余的 </w:t>
      </w:r>
      <w:r>
        <w:rPr>
          <w:rFonts w:hint="eastAsia"/>
          <w:color w:val="auto"/>
          <w:highlight w:val="none"/>
        </w:rPr>
        <w:t>10%费用。办理工</w:t>
      </w:r>
      <w:r>
        <w:rPr>
          <w:rFonts w:hint="eastAsia"/>
          <w:color w:val="auto"/>
          <w:spacing w:val="-5"/>
          <w:highlight w:val="none"/>
        </w:rPr>
        <w:t xml:space="preserve">程结算时，乙方须提供 </w:t>
      </w:r>
      <w:r>
        <w:rPr>
          <w:rFonts w:hint="eastAsia"/>
          <w:color w:val="auto"/>
          <w:highlight w:val="none"/>
        </w:rPr>
        <w:t>13%的增值税专用发票。</w:t>
      </w:r>
    </w:p>
    <w:p>
      <w:pPr>
        <w:pStyle w:val="2"/>
        <w:spacing w:before="2" w:line="357" w:lineRule="auto"/>
        <w:ind w:left="220" w:right="239" w:firstLine="420"/>
        <w:rPr>
          <w:color w:val="auto"/>
          <w:highlight w:val="none"/>
        </w:rPr>
      </w:pPr>
      <w:r>
        <w:rPr>
          <w:rFonts w:hint="eastAsia"/>
          <w:color w:val="auto"/>
          <w:highlight w:val="none"/>
        </w:rPr>
        <w:t>13、本协议书由双方法定代表人或其委托代理人签署并加盖单位章（或合同专用章）后生效。合同费   用结清后失效。</w:t>
      </w:r>
    </w:p>
    <w:p>
      <w:pPr>
        <w:pStyle w:val="2"/>
        <w:spacing w:before="2" w:line="357" w:lineRule="auto"/>
        <w:ind w:left="220" w:right="239" w:firstLine="420"/>
        <w:rPr>
          <w:color w:val="auto"/>
          <w:highlight w:val="none"/>
        </w:rPr>
      </w:pPr>
      <w:r>
        <w:rPr>
          <w:rFonts w:hint="eastAsia"/>
          <w:color w:val="auto"/>
          <w:highlight w:val="none"/>
        </w:rPr>
        <w:t>14、争议及违约责任</w:t>
      </w:r>
    </w:p>
    <w:p>
      <w:pPr>
        <w:pStyle w:val="2"/>
        <w:spacing w:before="2" w:line="357" w:lineRule="auto"/>
        <w:ind w:left="220" w:right="239" w:firstLine="420"/>
        <w:rPr>
          <w:color w:val="auto"/>
          <w:highlight w:val="none"/>
        </w:rPr>
      </w:pPr>
      <w:r>
        <w:rPr>
          <w:rFonts w:hint="eastAsia"/>
          <w:color w:val="auto"/>
          <w:highlight w:val="none"/>
        </w:rPr>
        <w:t>双方对本合同产生争议的，由双方本着互利互惠的原则友好协商解决，若双方不愿协商或者协商不成   的，向甲方所在地仲裁机构申请仲裁或人民法院起诉。</w:t>
      </w:r>
    </w:p>
    <w:p>
      <w:pPr>
        <w:pStyle w:val="2"/>
        <w:spacing w:before="2" w:line="357" w:lineRule="auto"/>
        <w:ind w:left="220" w:right="239" w:firstLine="420"/>
        <w:rPr>
          <w:color w:val="auto"/>
          <w:highlight w:val="none"/>
        </w:rPr>
      </w:pPr>
      <w:r>
        <w:rPr>
          <w:rFonts w:hint="eastAsia"/>
          <w:color w:val="auto"/>
          <w:highlight w:val="none"/>
        </w:rPr>
        <w:t>双方均不得无故要求解除合同，如一方无故要求解除合同,</w:t>
      </w:r>
      <w:r>
        <w:rPr>
          <w:rFonts w:hint="eastAsia"/>
          <w:color w:val="auto"/>
          <w:spacing w:val="-5"/>
          <w:highlight w:val="none"/>
        </w:rPr>
        <w:t xml:space="preserve">对方可要求其支付本合同价款的 </w:t>
      </w:r>
      <w:r>
        <w:rPr>
          <w:rFonts w:hint="eastAsia"/>
          <w:color w:val="auto"/>
          <w:highlight w:val="none"/>
        </w:rPr>
        <w:t>10%作为赔偿费用。如乙方未在规定的时间内交付货物，并完成指定设备安装、标定、测试等工作，每逾期一天，按</w:t>
      </w:r>
      <w:r>
        <w:rPr>
          <w:rFonts w:hint="eastAsia"/>
          <w:color w:val="auto"/>
          <w:spacing w:val="-11"/>
          <w:highlight w:val="none"/>
        </w:rPr>
        <w:t xml:space="preserve">合同总价的 </w:t>
      </w:r>
      <w:r>
        <w:rPr>
          <w:rFonts w:hint="eastAsia"/>
          <w:color w:val="auto"/>
          <w:highlight w:val="none"/>
        </w:rPr>
        <w:t>1%</w:t>
      </w:r>
      <w:r>
        <w:rPr>
          <w:rFonts w:hint="eastAsia"/>
          <w:color w:val="auto"/>
          <w:spacing w:val="-8"/>
          <w:highlight w:val="none"/>
        </w:rPr>
        <w:t xml:space="preserve">计算违约金，违约金上限累积原则上不得超过合同价款的 </w:t>
      </w:r>
      <w:r>
        <w:rPr>
          <w:rFonts w:hint="eastAsia"/>
          <w:color w:val="auto"/>
          <w:highlight w:val="none"/>
        </w:rPr>
        <w:t>20%</w:t>
      </w:r>
      <w:r>
        <w:rPr>
          <w:rFonts w:hint="eastAsia"/>
          <w:color w:val="auto"/>
          <w:spacing w:val="-6"/>
          <w:highlight w:val="none"/>
        </w:rPr>
        <w:t>。如因乙方工期延误给甲方造成损失的，乙方应对甲方的所有损失承担赔偿责任。如因乙方原因致使服务质量不符合国家有关规范标准或不符合双方约定标准，而造成人身和财产损害的，乙方应当承担全部损害赔偿责任。如乙方提供的仪器</w:t>
      </w:r>
      <w:r>
        <w:rPr>
          <w:rFonts w:hint="eastAsia"/>
          <w:color w:val="auto"/>
          <w:spacing w:val="-9"/>
          <w:highlight w:val="none"/>
        </w:rPr>
        <w:t xml:space="preserve">设备经确认为以旧翻新，按合同总价的 </w:t>
      </w:r>
      <w:r>
        <w:rPr>
          <w:rFonts w:hint="eastAsia"/>
          <w:color w:val="auto"/>
          <w:highlight w:val="none"/>
        </w:rPr>
        <w:t>10%计算违约金。</w:t>
      </w:r>
    </w:p>
    <w:p>
      <w:pPr>
        <w:pStyle w:val="2"/>
        <w:spacing w:line="357" w:lineRule="auto"/>
        <w:ind w:left="220" w:right="326" w:firstLine="420"/>
        <w:rPr>
          <w:color w:val="auto"/>
          <w:highlight w:val="none"/>
        </w:rPr>
      </w:pPr>
      <w:r>
        <w:rPr>
          <w:rFonts w:hint="eastAsia"/>
          <w:color w:val="auto"/>
          <w:highlight w:val="none"/>
        </w:rPr>
        <w:t>15、本协议书正本 二 份、副本 四 份，合同双方各执正本 一 份，副本 二 份，当正本与副本的内容不一致时，以正本为准。</w:t>
      </w:r>
    </w:p>
    <w:p>
      <w:pPr>
        <w:pStyle w:val="2"/>
        <w:spacing w:line="266" w:lineRule="exact"/>
        <w:ind w:left="640"/>
        <w:rPr>
          <w:color w:val="auto"/>
          <w:highlight w:val="none"/>
        </w:rPr>
      </w:pPr>
      <w:r>
        <w:rPr>
          <w:rFonts w:hint="eastAsia"/>
          <w:color w:val="auto"/>
          <w:highlight w:val="none"/>
        </w:rPr>
        <w:t>16、合同未尽事宜，双方另行签订补充协议。补充协议是合同的组成部分。</w:t>
      </w:r>
    </w:p>
    <w:p>
      <w:pPr>
        <w:pStyle w:val="2"/>
        <w:rPr>
          <w:color w:val="auto"/>
          <w:highlight w:val="none"/>
        </w:rPr>
      </w:pPr>
    </w:p>
    <w:p>
      <w:pPr>
        <w:pStyle w:val="2"/>
        <w:rPr>
          <w:color w:val="auto"/>
          <w:highlight w:val="none"/>
        </w:rPr>
      </w:pPr>
    </w:p>
    <w:p>
      <w:pPr>
        <w:pStyle w:val="2"/>
        <w:rPr>
          <w:color w:val="auto"/>
          <w:highlight w:val="none"/>
        </w:rPr>
      </w:pPr>
    </w:p>
    <w:p>
      <w:pPr>
        <w:pStyle w:val="2"/>
        <w:tabs>
          <w:tab w:val="left" w:pos="3687"/>
          <w:tab w:val="left" w:pos="5732"/>
          <w:tab w:val="left" w:pos="8360"/>
        </w:tabs>
        <w:spacing w:before="145"/>
        <w:ind w:left="1091"/>
        <w:rPr>
          <w:color w:val="auto"/>
          <w:highlight w:val="none"/>
        </w:rPr>
      </w:pPr>
      <w:r>
        <w:rPr>
          <w:rFonts w:hint="eastAsia"/>
          <w:color w:val="auto"/>
          <w:highlight w:val="none"/>
        </w:rPr>
        <w:t>甲方</w:t>
      </w:r>
      <w:r>
        <w:rPr>
          <w:rFonts w:hint="eastAsia"/>
          <w:color w:val="auto"/>
          <w:spacing w:val="-13"/>
          <w:highlight w:val="none"/>
        </w:rPr>
        <w:t>：</w:t>
      </w:r>
      <w:r>
        <w:rPr>
          <w:rFonts w:hint="eastAsia"/>
          <w:color w:val="auto"/>
          <w:spacing w:val="-13"/>
          <w:highlight w:val="none"/>
          <w:u w:val="single"/>
        </w:rPr>
        <w:tab/>
      </w:r>
      <w:r>
        <w:rPr>
          <w:rFonts w:hint="eastAsia"/>
          <w:color w:val="auto"/>
          <w:highlight w:val="none"/>
        </w:rPr>
        <w:t>（盖单位章）</w:t>
      </w:r>
      <w:r>
        <w:rPr>
          <w:rFonts w:hint="eastAsia"/>
          <w:color w:val="auto"/>
          <w:highlight w:val="none"/>
        </w:rPr>
        <w:tab/>
      </w:r>
      <w:r>
        <w:rPr>
          <w:rFonts w:hint="eastAsia"/>
          <w:color w:val="auto"/>
          <w:highlight w:val="none"/>
        </w:rPr>
        <w:t>乙方：</w:t>
      </w:r>
      <w:r>
        <w:rPr>
          <w:rFonts w:hint="eastAsia"/>
          <w:color w:val="auto"/>
          <w:highlight w:val="none"/>
          <w:u w:val="single"/>
        </w:rPr>
        <w:tab/>
      </w:r>
      <w:r>
        <w:rPr>
          <w:rFonts w:hint="eastAsia"/>
          <w:color w:val="auto"/>
          <w:highlight w:val="none"/>
        </w:rPr>
        <w:t>（盖单位章）</w:t>
      </w:r>
    </w:p>
    <w:p>
      <w:pPr>
        <w:pStyle w:val="2"/>
        <w:rPr>
          <w:color w:val="auto"/>
          <w:highlight w:val="none"/>
        </w:rPr>
      </w:pPr>
    </w:p>
    <w:p>
      <w:pPr>
        <w:pStyle w:val="2"/>
        <w:rPr>
          <w:color w:val="auto"/>
          <w:highlight w:val="none"/>
        </w:rPr>
      </w:pPr>
    </w:p>
    <w:p>
      <w:pPr>
        <w:pStyle w:val="2"/>
        <w:rPr>
          <w:color w:val="auto"/>
          <w:highlight w:val="none"/>
        </w:rPr>
      </w:pPr>
    </w:p>
    <w:p>
      <w:pPr>
        <w:rPr>
          <w:rFonts w:ascii="宋体" w:hAnsi="宋体" w:eastAsia="宋体" w:cs="宋体"/>
          <w:color w:val="auto"/>
          <w:sz w:val="21"/>
          <w:szCs w:val="21"/>
          <w:highlight w:val="none"/>
        </w:rPr>
        <w:sectPr>
          <w:pgSz w:w="11910" w:h="16840"/>
          <w:pgMar w:top="1500" w:right="841" w:bottom="1040" w:left="860" w:header="0" w:footer="776" w:gutter="0"/>
          <w:cols w:space="720" w:num="1"/>
        </w:sectPr>
      </w:pPr>
    </w:p>
    <w:p>
      <w:pPr>
        <w:pStyle w:val="2"/>
        <w:spacing w:before="70"/>
        <w:ind w:left="1091"/>
        <w:rPr>
          <w:color w:val="auto"/>
          <w:highlight w:val="none"/>
        </w:rPr>
      </w:pPr>
      <w:r>
        <w:rPr>
          <w:rFonts w:hint="eastAsia"/>
          <w:color w:val="auto"/>
          <w:highlight w:val="none"/>
        </w:rPr>
        <w:t>法定代表人</w:t>
      </w:r>
    </w:p>
    <w:p>
      <w:pPr>
        <w:pStyle w:val="2"/>
        <w:tabs>
          <w:tab w:val="left" w:pos="4031"/>
        </w:tabs>
        <w:spacing w:before="170"/>
        <w:ind w:left="1091"/>
        <w:rPr>
          <w:color w:val="auto"/>
          <w:highlight w:val="none"/>
        </w:rPr>
      </w:pPr>
      <w:r>
        <w:rPr>
          <w:rFonts w:hint="eastAsia"/>
          <w:color w:val="auto"/>
          <w:highlight w:val="none"/>
        </w:rPr>
        <w:t>或其委托代理人：</w:t>
      </w:r>
      <w:r>
        <w:rPr>
          <w:rFonts w:hint="eastAsia"/>
          <w:color w:val="auto"/>
          <w:highlight w:val="none"/>
          <w:u w:val="single"/>
        </w:rPr>
        <w:tab/>
      </w:r>
      <w:r>
        <w:rPr>
          <w:rFonts w:hint="eastAsia"/>
          <w:color w:val="auto"/>
          <w:highlight w:val="none"/>
        </w:rPr>
        <w:t>（签字</w:t>
      </w:r>
      <w:r>
        <w:rPr>
          <w:rFonts w:hint="eastAsia"/>
          <w:color w:val="auto"/>
          <w:spacing w:val="-18"/>
          <w:highlight w:val="none"/>
        </w:rPr>
        <w:t>）</w:t>
      </w:r>
    </w:p>
    <w:p>
      <w:pPr>
        <w:pStyle w:val="2"/>
        <w:spacing w:before="70"/>
        <w:ind w:left="823"/>
        <w:rPr>
          <w:color w:val="auto"/>
          <w:highlight w:val="none"/>
        </w:rPr>
      </w:pPr>
      <w:r>
        <w:rPr>
          <w:rFonts w:hint="eastAsia"/>
          <w:color w:val="auto"/>
          <w:highlight w:val="none"/>
        </w:rPr>
        <w:br w:type="column"/>
      </w:r>
      <w:r>
        <w:rPr>
          <w:rFonts w:hint="eastAsia"/>
          <w:color w:val="auto"/>
          <w:highlight w:val="none"/>
        </w:rPr>
        <w:t>法定代表人</w:t>
      </w:r>
    </w:p>
    <w:p>
      <w:pPr>
        <w:pStyle w:val="2"/>
        <w:tabs>
          <w:tab w:val="left" w:pos="3763"/>
        </w:tabs>
        <w:spacing w:before="170"/>
        <w:ind w:left="823"/>
        <w:rPr>
          <w:color w:val="auto"/>
          <w:highlight w:val="none"/>
        </w:rPr>
      </w:pPr>
      <w:r>
        <w:rPr>
          <w:rFonts w:hint="eastAsia"/>
          <w:color w:val="auto"/>
          <w:highlight w:val="none"/>
        </w:rPr>
        <w:t>或其委托代理人：</w:t>
      </w:r>
      <w:r>
        <w:rPr>
          <w:rFonts w:hint="eastAsia"/>
          <w:color w:val="auto"/>
          <w:highlight w:val="none"/>
          <w:u w:val="single"/>
        </w:rPr>
        <w:tab/>
      </w:r>
      <w:r>
        <w:rPr>
          <w:rFonts w:hint="eastAsia"/>
          <w:color w:val="auto"/>
          <w:highlight w:val="none"/>
        </w:rPr>
        <w:t>（签字）</w:t>
      </w:r>
    </w:p>
    <w:p>
      <w:pPr>
        <w:rPr>
          <w:rFonts w:ascii="宋体" w:hAnsi="宋体" w:eastAsia="宋体" w:cs="宋体"/>
          <w:color w:val="auto"/>
          <w:sz w:val="21"/>
          <w:szCs w:val="21"/>
          <w:highlight w:val="none"/>
        </w:rPr>
        <w:sectPr>
          <w:type w:val="continuous"/>
          <w:pgSz w:w="11910" w:h="16840"/>
          <w:pgMar w:top="1420" w:right="841" w:bottom="280" w:left="860" w:header="720" w:footer="720" w:gutter="0"/>
          <w:cols w:equalWidth="0" w:num="2">
            <w:col w:w="4870" w:space="40"/>
            <w:col w:w="5299"/>
          </w:cols>
        </w:sectPr>
      </w:pPr>
    </w:p>
    <w:p>
      <w:pPr>
        <w:pStyle w:val="2"/>
        <w:rPr>
          <w:color w:val="auto"/>
          <w:highlight w:val="none"/>
        </w:rPr>
      </w:pPr>
    </w:p>
    <w:p>
      <w:pPr>
        <w:pStyle w:val="2"/>
        <w:spacing w:before="9"/>
        <w:rPr>
          <w:color w:val="auto"/>
          <w:highlight w:val="none"/>
        </w:rPr>
      </w:pPr>
    </w:p>
    <w:p>
      <w:pPr>
        <w:pStyle w:val="2"/>
        <w:tabs>
          <w:tab w:val="left" w:pos="631"/>
          <w:tab w:val="left" w:pos="1471"/>
          <w:tab w:val="left" w:pos="2206"/>
          <w:tab w:val="left" w:pos="4746"/>
          <w:tab w:val="left" w:pos="5273"/>
          <w:tab w:val="left" w:pos="6113"/>
          <w:tab w:val="left" w:pos="6847"/>
        </w:tabs>
        <w:spacing w:before="70"/>
        <w:ind w:right="337"/>
        <w:jc w:val="center"/>
        <w:rPr>
          <w:color w:val="auto"/>
          <w:highlight w:val="none"/>
        </w:rPr>
      </w:pPr>
      <w:r>
        <w:rPr>
          <w:rFonts w:hint="eastAsia"/>
          <w:color w:val="auto"/>
          <w:highlight w:val="none"/>
          <w:u w:val="single"/>
        </w:rPr>
        <w:tab/>
      </w:r>
      <w:r>
        <w:rPr>
          <w:rFonts w:hint="eastAsia"/>
          <w:color w:val="auto"/>
          <w:highlight w:val="none"/>
          <w:u w:val="single"/>
        </w:rPr>
        <w:t>年</w:t>
      </w:r>
      <w:r>
        <w:rPr>
          <w:rFonts w:hint="eastAsia"/>
          <w:color w:val="auto"/>
          <w:highlight w:val="none"/>
          <w:u w:val="single"/>
        </w:rPr>
        <w:tab/>
      </w:r>
      <w:r>
        <w:rPr>
          <w:rFonts w:hint="eastAsia"/>
          <w:color w:val="auto"/>
          <w:highlight w:val="none"/>
          <w:u w:val="single"/>
        </w:rPr>
        <w:t>月</w:t>
      </w:r>
      <w:r>
        <w:rPr>
          <w:rFonts w:hint="eastAsia"/>
          <w:color w:val="auto"/>
          <w:highlight w:val="none"/>
          <w:u w:val="single"/>
        </w:rPr>
        <w:tab/>
      </w:r>
      <w:r>
        <w:rPr>
          <w:rFonts w:hint="eastAsia"/>
          <w:color w:val="auto"/>
          <w:highlight w:val="none"/>
          <w:u w:val="single"/>
        </w:rPr>
        <w:t>日</w:t>
      </w:r>
      <w:r>
        <w:rPr>
          <w:rFonts w:hint="eastAsia"/>
          <w:color w:val="auto"/>
          <w:highlight w:val="none"/>
        </w:rPr>
        <w:tab/>
      </w:r>
      <w:r>
        <w:rPr>
          <w:rFonts w:hint="eastAsia"/>
          <w:color w:val="auto"/>
          <w:highlight w:val="none"/>
          <w:u w:val="single"/>
        </w:rPr>
        <w:tab/>
      </w:r>
      <w:r>
        <w:rPr>
          <w:rFonts w:hint="eastAsia"/>
          <w:color w:val="auto"/>
          <w:highlight w:val="none"/>
          <w:u w:val="single"/>
        </w:rPr>
        <w:t>年</w:t>
      </w:r>
      <w:r>
        <w:rPr>
          <w:rFonts w:hint="eastAsia"/>
          <w:color w:val="auto"/>
          <w:highlight w:val="none"/>
          <w:u w:val="single"/>
        </w:rPr>
        <w:tab/>
      </w:r>
      <w:r>
        <w:rPr>
          <w:rFonts w:hint="eastAsia"/>
          <w:color w:val="auto"/>
          <w:highlight w:val="none"/>
          <w:u w:val="single"/>
        </w:rPr>
        <w:t>月</w:t>
      </w:r>
      <w:r>
        <w:rPr>
          <w:rFonts w:hint="eastAsia"/>
          <w:color w:val="auto"/>
          <w:highlight w:val="none"/>
          <w:u w:val="single"/>
        </w:rPr>
        <w:tab/>
      </w:r>
      <w:r>
        <w:rPr>
          <w:rFonts w:hint="eastAsia"/>
          <w:color w:val="auto"/>
          <w:highlight w:val="none"/>
          <w:u w:val="single"/>
        </w:rPr>
        <w:t>日</w:t>
      </w:r>
    </w:p>
    <w:p>
      <w:pPr>
        <w:jc w:val="center"/>
        <w:rPr>
          <w:rFonts w:ascii="宋体" w:hAnsi="宋体" w:eastAsia="宋体" w:cs="宋体"/>
          <w:color w:val="auto"/>
          <w:sz w:val="21"/>
          <w:szCs w:val="21"/>
          <w:highlight w:val="none"/>
        </w:rPr>
        <w:sectPr>
          <w:type w:val="continuous"/>
          <w:pgSz w:w="11910" w:h="16840"/>
          <w:pgMar w:top="1420" w:right="841" w:bottom="280" w:left="860" w:header="720" w:footer="720" w:gutter="0"/>
          <w:cols w:space="720" w:num="1"/>
        </w:sectPr>
      </w:pPr>
    </w:p>
    <w:p>
      <w:pPr>
        <w:spacing w:before="21"/>
        <w:ind w:left="755" w:right="775"/>
        <w:jc w:val="center"/>
        <w:rPr>
          <w:rFonts w:ascii="宋体" w:eastAsia="宋体"/>
          <w:b/>
          <w:color w:val="auto"/>
          <w:sz w:val="36"/>
          <w:highlight w:val="none"/>
        </w:rPr>
      </w:pPr>
      <w:r>
        <w:rPr>
          <w:rFonts w:hint="eastAsia" w:ascii="宋体" w:eastAsia="宋体"/>
          <w:b/>
          <w:color w:val="auto"/>
          <w:sz w:val="36"/>
          <w:highlight w:val="none"/>
        </w:rPr>
        <w:t>二、安全生产合同</w:t>
      </w:r>
    </w:p>
    <w:p>
      <w:pPr>
        <w:pStyle w:val="2"/>
        <w:spacing w:before="9"/>
        <w:rPr>
          <w:b/>
          <w:color w:val="auto"/>
          <w:sz w:val="45"/>
          <w:highlight w:val="none"/>
        </w:rPr>
      </w:pPr>
    </w:p>
    <w:p>
      <w:pPr>
        <w:pStyle w:val="2"/>
        <w:tabs>
          <w:tab w:val="left" w:pos="7055"/>
        </w:tabs>
        <w:spacing w:line="391" w:lineRule="auto"/>
        <w:ind w:left="220" w:right="239" w:firstLine="420"/>
        <w:jc w:val="both"/>
        <w:rPr>
          <w:color w:val="auto"/>
          <w:highlight w:val="none"/>
        </w:rPr>
      </w:pPr>
      <w:r>
        <w:rPr>
          <w:color w:val="auto"/>
          <w:highlight w:val="none"/>
        </w:rPr>
        <w:t>为在合同的实施过程中创造安全</w:t>
      </w:r>
      <w:r>
        <w:rPr>
          <w:color w:val="auto"/>
          <w:spacing w:val="-5"/>
          <w:highlight w:val="none"/>
        </w:rPr>
        <w:t>、</w:t>
      </w:r>
      <w:r>
        <w:rPr>
          <w:color w:val="auto"/>
          <w:highlight w:val="none"/>
        </w:rPr>
        <w:t>高效的施工环境</w:t>
      </w:r>
      <w:r>
        <w:rPr>
          <w:color w:val="auto"/>
          <w:spacing w:val="-5"/>
          <w:highlight w:val="none"/>
        </w:rPr>
        <w:t>，</w:t>
      </w:r>
      <w:r>
        <w:rPr>
          <w:color w:val="auto"/>
          <w:highlight w:val="none"/>
        </w:rPr>
        <w:t>切实搞好本项目的安全管理工作，安徽省高速公路试验检测科研中心有限公司</w:t>
      </w:r>
      <w:r>
        <w:rPr>
          <w:rFonts w:ascii="Times New Roman" w:hAnsi="Times New Roman" w:eastAsia="Times New Roman"/>
          <w:color w:val="auto"/>
          <w:highlight w:val="none"/>
        </w:rPr>
        <w:t>(</w:t>
      </w:r>
      <w:r>
        <w:rPr>
          <w:color w:val="auto"/>
          <w:highlight w:val="none"/>
        </w:rPr>
        <w:t>以下简称</w:t>
      </w:r>
      <w:r>
        <w:rPr>
          <w:rFonts w:ascii="Times New Roman" w:hAnsi="Times New Roman" w:eastAsia="Times New Roman"/>
          <w:color w:val="auto"/>
          <w:highlight w:val="none"/>
        </w:rPr>
        <w:t>“</w:t>
      </w:r>
      <w:r>
        <w:rPr>
          <w:color w:val="auto"/>
          <w:highlight w:val="none"/>
        </w:rPr>
        <w:t>甲方</w:t>
      </w:r>
      <w:r>
        <w:rPr>
          <w:rFonts w:ascii="Times New Roman" w:hAnsi="Times New Roman" w:eastAsia="Times New Roman"/>
          <w:color w:val="auto"/>
          <w:highlight w:val="none"/>
        </w:rPr>
        <w:t>”)</w:t>
      </w:r>
      <w:r>
        <w:rPr>
          <w:color w:val="auto"/>
          <w:highlight w:val="none"/>
        </w:rPr>
        <w:t>与</w:t>
      </w:r>
      <w:r>
        <w:rPr>
          <w:color w:val="auto"/>
          <w:highlight w:val="none"/>
          <w:u w:val="single"/>
        </w:rPr>
        <w:tab/>
      </w:r>
      <w:r>
        <w:rPr>
          <w:rFonts w:ascii="Times New Roman" w:hAnsi="Times New Roman" w:eastAsia="Times New Roman"/>
          <w:color w:val="auto"/>
          <w:highlight w:val="none"/>
        </w:rPr>
        <w:t>(</w:t>
      </w:r>
      <w:r>
        <w:rPr>
          <w:color w:val="auto"/>
          <w:highlight w:val="none"/>
        </w:rPr>
        <w:t>以下简称</w:t>
      </w:r>
      <w:r>
        <w:rPr>
          <w:rFonts w:ascii="Times New Roman" w:hAnsi="Times New Roman" w:eastAsia="Times New Roman"/>
          <w:color w:val="auto"/>
          <w:highlight w:val="none"/>
        </w:rPr>
        <w:t>“</w:t>
      </w:r>
      <w:r>
        <w:rPr>
          <w:color w:val="auto"/>
          <w:highlight w:val="none"/>
        </w:rPr>
        <w:t>乙方</w:t>
      </w:r>
      <w:r>
        <w:rPr>
          <w:rFonts w:ascii="Times New Roman" w:hAnsi="Times New Roman" w:eastAsia="Times New Roman"/>
          <w:color w:val="auto"/>
          <w:highlight w:val="none"/>
        </w:rPr>
        <w:t>”)</w:t>
      </w:r>
      <w:r>
        <w:rPr>
          <w:color w:val="auto"/>
          <w:highlight w:val="none"/>
        </w:rPr>
        <w:t>特此签订安全生产合同：</w:t>
      </w:r>
    </w:p>
    <w:p>
      <w:pPr>
        <w:pStyle w:val="2"/>
        <w:spacing w:before="5"/>
        <w:ind w:left="640"/>
        <w:jc w:val="both"/>
        <w:rPr>
          <w:color w:val="auto"/>
          <w:highlight w:val="none"/>
        </w:rPr>
      </w:pPr>
      <w:r>
        <w:rPr>
          <w:color w:val="auto"/>
          <w:highlight w:val="none"/>
        </w:rPr>
        <w:t>第一条 甲方责任</w:t>
      </w:r>
    </w:p>
    <w:p>
      <w:pPr>
        <w:pStyle w:val="2"/>
        <w:spacing w:before="170"/>
        <w:ind w:left="640"/>
        <w:rPr>
          <w:color w:val="auto"/>
          <w:highlight w:val="none"/>
        </w:rPr>
      </w:pPr>
      <w:r>
        <w:rPr>
          <w:color w:val="auto"/>
          <w:highlight w:val="none"/>
        </w:rPr>
        <w:t>（一）严格遵守国家有关安全生产的法律法规，认真执行技术服务合同中的有关安全要求。</w:t>
      </w:r>
    </w:p>
    <w:p>
      <w:pPr>
        <w:pStyle w:val="2"/>
        <w:spacing w:before="170"/>
        <w:ind w:left="640"/>
        <w:rPr>
          <w:color w:val="auto"/>
          <w:highlight w:val="none"/>
        </w:rPr>
      </w:pPr>
      <w:r>
        <w:rPr>
          <w:color w:val="auto"/>
          <w:highlight w:val="none"/>
        </w:rPr>
        <w:t>（二）按照</w:t>
      </w:r>
      <w:r>
        <w:rPr>
          <w:rFonts w:ascii="Times New Roman" w:hAnsi="Times New Roman" w:eastAsia="Times New Roman"/>
          <w:color w:val="auto"/>
          <w:highlight w:val="none"/>
        </w:rPr>
        <w:t>“</w:t>
      </w:r>
      <w:r>
        <w:rPr>
          <w:color w:val="auto"/>
          <w:highlight w:val="none"/>
        </w:rPr>
        <w:t>安全第一、预防为主、综合治理</w:t>
      </w:r>
      <w:r>
        <w:rPr>
          <w:rFonts w:ascii="Times New Roman" w:hAnsi="Times New Roman" w:eastAsia="Times New Roman"/>
          <w:color w:val="auto"/>
          <w:highlight w:val="none"/>
        </w:rPr>
        <w:t>”</w:t>
      </w:r>
      <w:r>
        <w:rPr>
          <w:color w:val="auto"/>
          <w:highlight w:val="none"/>
        </w:rPr>
        <w:t>的原则对安全生产工作进行监督及管理。</w:t>
      </w:r>
    </w:p>
    <w:p>
      <w:pPr>
        <w:pStyle w:val="2"/>
        <w:spacing w:before="173"/>
        <w:ind w:left="640"/>
        <w:rPr>
          <w:color w:val="auto"/>
          <w:highlight w:val="none"/>
        </w:rPr>
      </w:pPr>
      <w:r>
        <w:rPr>
          <w:color w:val="auto"/>
          <w:highlight w:val="none"/>
        </w:rPr>
        <w:t>（三）负责建立健全本项目各项安全生产的管理机构和安全生产管理制度。</w:t>
      </w:r>
    </w:p>
    <w:p>
      <w:pPr>
        <w:pStyle w:val="2"/>
        <w:spacing w:before="170" w:line="391" w:lineRule="auto"/>
        <w:ind w:left="220" w:right="326" w:firstLine="420"/>
        <w:rPr>
          <w:color w:val="auto"/>
          <w:highlight w:val="none"/>
        </w:rPr>
      </w:pPr>
      <w:r>
        <w:rPr>
          <w:color w:val="auto"/>
          <w:highlight w:val="none"/>
        </w:rPr>
        <w:t>（四）按照本工程项目特点，组织制定本工程实施中的生产安全事故应急救援预案；组织对乙方技术   服务现场安全生产检查，监督乙方及时处理发现的各种安全隐患。</w:t>
      </w:r>
    </w:p>
    <w:p>
      <w:pPr>
        <w:pStyle w:val="2"/>
        <w:spacing w:before="3"/>
        <w:ind w:left="640"/>
        <w:rPr>
          <w:color w:val="auto"/>
          <w:highlight w:val="none"/>
        </w:rPr>
      </w:pPr>
      <w:r>
        <w:rPr>
          <w:color w:val="auto"/>
          <w:highlight w:val="none"/>
        </w:rPr>
        <w:t>第二条 乙方职责</w:t>
      </w:r>
    </w:p>
    <w:p>
      <w:pPr>
        <w:pStyle w:val="2"/>
        <w:spacing w:before="171" w:line="391" w:lineRule="auto"/>
        <w:ind w:left="220" w:right="237" w:firstLine="420"/>
        <w:rPr>
          <w:color w:val="auto"/>
          <w:highlight w:val="none"/>
        </w:rPr>
      </w:pPr>
      <w:r>
        <w:rPr>
          <w:color w:val="auto"/>
          <w:spacing w:val="-5"/>
          <w:highlight w:val="none"/>
        </w:rPr>
        <w:t>（一）乙方派驻人员应坚持“安全第一、预防为主、综合治理”原则，严格遵守国家及行业有关安全生产管理的法律法规、规程等规定，认真执行合同中的有关安全要求。</w:t>
      </w:r>
    </w:p>
    <w:p>
      <w:pPr>
        <w:pStyle w:val="2"/>
        <w:spacing w:before="3" w:line="391" w:lineRule="auto"/>
        <w:ind w:left="220" w:right="326" w:firstLine="420"/>
        <w:rPr>
          <w:color w:val="auto"/>
          <w:highlight w:val="none"/>
        </w:rPr>
      </w:pPr>
      <w:r>
        <w:rPr>
          <w:color w:val="auto"/>
          <w:highlight w:val="none"/>
        </w:rPr>
        <w:t>（二）乙方应加强派驻人员的安全生产宣传教育工作，增强全员安全生产意识，有组织、有计划地按   照甲方要求开展安全生产活动。</w:t>
      </w:r>
    </w:p>
    <w:p>
      <w:pPr>
        <w:pStyle w:val="2"/>
        <w:spacing w:before="1" w:line="393" w:lineRule="auto"/>
        <w:ind w:left="220" w:right="68" w:firstLine="420"/>
        <w:rPr>
          <w:color w:val="auto"/>
          <w:highlight w:val="none"/>
        </w:rPr>
      </w:pPr>
      <w:r>
        <w:rPr>
          <w:color w:val="auto"/>
          <w:highlight w:val="none"/>
        </w:rPr>
        <w:t>（三）乙方所有派驻人员，必须熟悉和遵守本条款的各项规定，做到生产与安全工作同时计划、布置、   检查、总结和评比。</w:t>
      </w:r>
    </w:p>
    <w:p>
      <w:pPr>
        <w:pStyle w:val="2"/>
        <w:spacing w:line="391" w:lineRule="auto"/>
        <w:ind w:left="220" w:right="326" w:firstLine="420"/>
        <w:rPr>
          <w:color w:val="auto"/>
          <w:highlight w:val="none"/>
        </w:rPr>
      </w:pPr>
      <w:r>
        <w:rPr>
          <w:color w:val="auto"/>
          <w:highlight w:val="none"/>
        </w:rPr>
        <w:t>（四）乙方应建立健全本项目派驻人员的安全生产管理系统和安全生产责任制。从派往项目实施的现   场负责人到驾驶员必须做到纵向到底</w:t>
      </w:r>
      <w:r>
        <w:rPr>
          <w:rFonts w:ascii="Times New Roman" w:eastAsia="Times New Roman"/>
          <w:color w:val="auto"/>
          <w:highlight w:val="none"/>
        </w:rPr>
        <w:t>,</w:t>
      </w:r>
      <w:r>
        <w:rPr>
          <w:color w:val="auto"/>
          <w:highlight w:val="none"/>
        </w:rPr>
        <w:t>一环不漏；横向到边，人人有责。</w:t>
      </w:r>
    </w:p>
    <w:p>
      <w:pPr>
        <w:pStyle w:val="2"/>
        <w:spacing w:before="2" w:line="391" w:lineRule="auto"/>
        <w:ind w:left="220" w:right="273" w:firstLine="420"/>
        <w:rPr>
          <w:color w:val="auto"/>
          <w:highlight w:val="none"/>
        </w:rPr>
      </w:pPr>
      <w:r>
        <w:rPr>
          <w:color w:val="auto"/>
          <w:highlight w:val="none"/>
        </w:rPr>
        <w:t>（五）乙方派驻的现场负责人是安全生产的第一责任人。现场设置安全员,负责所有员工的安全和治安保卫工作及预防事故的发生。并采取保护性措施防止事故发生。</w:t>
      </w:r>
    </w:p>
    <w:p>
      <w:pPr>
        <w:pStyle w:val="2"/>
        <w:spacing w:before="2" w:line="393" w:lineRule="auto"/>
        <w:ind w:left="220" w:right="326" w:firstLine="420"/>
        <w:rPr>
          <w:color w:val="auto"/>
          <w:highlight w:val="none"/>
        </w:rPr>
      </w:pPr>
      <w:r>
        <w:rPr>
          <w:color w:val="auto"/>
          <w:highlight w:val="none"/>
        </w:rPr>
        <w:t>（六）乙方在任何时候都应采取各种合理的预防措施，防止其员工发生违法、违禁、暴力或妨碍治安   的行为。</w:t>
      </w:r>
    </w:p>
    <w:p>
      <w:pPr>
        <w:pStyle w:val="2"/>
        <w:spacing w:line="391" w:lineRule="auto"/>
        <w:ind w:left="220" w:right="326" w:firstLine="420"/>
        <w:rPr>
          <w:color w:val="auto"/>
          <w:highlight w:val="none"/>
        </w:rPr>
      </w:pPr>
      <w:r>
        <w:rPr>
          <w:color w:val="auto"/>
          <w:highlight w:val="none"/>
        </w:rPr>
        <w:t>（七）乙方派驻人员须接受安全技术教育和培训，熟知和遵守本工种的各项安全技术操作规程，定期   进行安全技术考核，合格者方准上岗操作。</w:t>
      </w:r>
    </w:p>
    <w:p>
      <w:pPr>
        <w:pStyle w:val="2"/>
        <w:spacing w:before="2" w:line="391" w:lineRule="auto"/>
        <w:ind w:left="220" w:right="326" w:firstLine="420"/>
        <w:rPr>
          <w:color w:val="auto"/>
          <w:highlight w:val="none"/>
        </w:rPr>
      </w:pPr>
      <w:r>
        <w:rPr>
          <w:color w:val="auto"/>
          <w:highlight w:val="none"/>
        </w:rPr>
        <w:t>（八）操作人员上岗，必须按规定穿戴防护用品。乙方现场负责人和安全检查员应随时检查劳动防护   用品的穿戴情况，不按规定穿戴防护用品的人员不得上岗。</w:t>
      </w:r>
    </w:p>
    <w:p>
      <w:pPr>
        <w:pStyle w:val="2"/>
        <w:spacing w:before="1" w:line="393" w:lineRule="auto"/>
        <w:ind w:left="220" w:right="326" w:firstLine="420"/>
        <w:rPr>
          <w:color w:val="auto"/>
          <w:highlight w:val="none"/>
        </w:rPr>
      </w:pPr>
      <w:r>
        <w:rPr>
          <w:color w:val="auto"/>
          <w:highlight w:val="none"/>
        </w:rPr>
        <w:t>（九）技术服务中采用新技术、新工艺、新设备、新材料时，必须严格执行甲方制定的相应安全技术   措施，施工现场必须具有相关的安全标志牌。</w:t>
      </w:r>
    </w:p>
    <w:p>
      <w:pPr>
        <w:spacing w:line="393" w:lineRule="auto"/>
        <w:rPr>
          <w:color w:val="auto"/>
          <w:highlight w:val="none"/>
        </w:rPr>
        <w:sectPr>
          <w:footerReference r:id="rId7" w:type="default"/>
          <w:pgSz w:w="11910" w:h="16840"/>
          <w:pgMar w:top="1420" w:right="841" w:bottom="1040" w:left="860" w:header="0" w:footer="856" w:gutter="0"/>
          <w:pgNumType w:start="20"/>
          <w:cols w:space="720" w:num="1"/>
        </w:sectPr>
      </w:pPr>
    </w:p>
    <w:p>
      <w:pPr>
        <w:pStyle w:val="2"/>
        <w:spacing w:before="41" w:line="393" w:lineRule="auto"/>
        <w:ind w:left="220" w:right="326" w:firstLine="420"/>
        <w:rPr>
          <w:color w:val="auto"/>
          <w:highlight w:val="none"/>
        </w:rPr>
      </w:pPr>
      <w:r>
        <w:rPr>
          <w:color w:val="auto"/>
          <w:highlight w:val="none"/>
        </w:rPr>
        <w:t>（十）乙方承担项目全部的安全责任，项目实施过程中如发生安全事故，由此造成任何的人身伤亡、   罚款、索赔、损失补偿、诉讼费用及其他一切责任均由乙方承担。</w:t>
      </w:r>
    </w:p>
    <w:p>
      <w:pPr>
        <w:pStyle w:val="2"/>
        <w:spacing w:line="267" w:lineRule="exact"/>
        <w:ind w:left="640"/>
        <w:rPr>
          <w:color w:val="auto"/>
          <w:highlight w:val="none"/>
        </w:rPr>
      </w:pPr>
      <w:r>
        <w:rPr>
          <w:color w:val="auto"/>
          <w:highlight w:val="none"/>
        </w:rPr>
        <w:t>第三条 违约责任</w:t>
      </w:r>
    </w:p>
    <w:p>
      <w:pPr>
        <w:pStyle w:val="2"/>
        <w:spacing w:before="170"/>
        <w:ind w:left="640"/>
        <w:rPr>
          <w:color w:val="auto"/>
          <w:highlight w:val="none"/>
        </w:rPr>
      </w:pPr>
      <w:r>
        <w:rPr>
          <w:color w:val="auto"/>
          <w:highlight w:val="none"/>
        </w:rPr>
        <w:t>（一）如因乙方导致的安全事故对甲方名誉、财产造成损失的，甲方将有权解除合同并依法追究责任。</w:t>
      </w:r>
    </w:p>
    <w:p>
      <w:pPr>
        <w:pStyle w:val="2"/>
        <w:spacing w:before="173" w:line="391" w:lineRule="auto"/>
        <w:ind w:left="220" w:right="326" w:firstLine="420"/>
        <w:rPr>
          <w:color w:val="auto"/>
          <w:highlight w:val="none"/>
        </w:rPr>
      </w:pPr>
      <w:r>
        <w:rPr>
          <w:color w:val="auto"/>
          <w:highlight w:val="none"/>
        </w:rPr>
        <w:t>（二）甲方有权在工作开展过程中查验乙方投入本项目人员、设备、车辆各类保险凭证，如因乙方原   因出现安全事故，乙方未能及时处理，甲方有权使用乙方工程款优先执行相关合理赔偿，乙方必须服从。</w:t>
      </w:r>
    </w:p>
    <w:p>
      <w:pPr>
        <w:pStyle w:val="2"/>
        <w:spacing w:before="1" w:line="393" w:lineRule="auto"/>
        <w:ind w:left="220" w:right="326" w:firstLine="420"/>
        <w:rPr>
          <w:color w:val="auto"/>
          <w:highlight w:val="none"/>
        </w:rPr>
      </w:pPr>
      <w:r>
        <w:rPr>
          <w:color w:val="auto"/>
          <w:spacing w:val="-7"/>
          <w:highlight w:val="none"/>
        </w:rPr>
        <w:t xml:space="preserve">（三）甲方在检查过程中发现安全隐患，乙方未能及时整改的或屡改屡犯的，视情节轻重甲方有权对   乙方处以人民币 </w:t>
      </w:r>
      <w:r>
        <w:rPr>
          <w:rFonts w:ascii="Times New Roman" w:eastAsia="Times New Roman"/>
          <w:color w:val="auto"/>
          <w:highlight w:val="none"/>
        </w:rPr>
        <w:t>5000-50000</w:t>
      </w:r>
      <w:r>
        <w:rPr>
          <w:color w:val="auto"/>
          <w:highlight w:val="none"/>
        </w:rPr>
        <w:t>元罚款。</w:t>
      </w:r>
    </w:p>
    <w:p>
      <w:pPr>
        <w:pStyle w:val="2"/>
        <w:rPr>
          <w:color w:val="auto"/>
          <w:sz w:val="22"/>
          <w:highlight w:val="none"/>
        </w:rPr>
      </w:pPr>
    </w:p>
    <w:p>
      <w:pPr>
        <w:pStyle w:val="2"/>
        <w:rPr>
          <w:color w:val="auto"/>
          <w:sz w:val="22"/>
          <w:highlight w:val="none"/>
        </w:rPr>
      </w:pPr>
    </w:p>
    <w:p>
      <w:pPr>
        <w:pStyle w:val="2"/>
        <w:spacing w:before="11"/>
        <w:rPr>
          <w:color w:val="auto"/>
          <w:sz w:val="23"/>
          <w:highlight w:val="none"/>
        </w:rPr>
      </w:pPr>
    </w:p>
    <w:p>
      <w:pPr>
        <w:pStyle w:val="2"/>
        <w:tabs>
          <w:tab w:val="left" w:pos="3687"/>
          <w:tab w:val="left" w:pos="5732"/>
          <w:tab w:val="left" w:pos="8360"/>
        </w:tabs>
        <w:ind w:left="1091"/>
        <w:rPr>
          <w:color w:val="auto"/>
          <w:highlight w:val="none"/>
        </w:rPr>
      </w:pPr>
      <w:r>
        <w:rPr>
          <w:color w:val="auto"/>
          <w:highlight w:val="none"/>
        </w:rPr>
        <w:t>甲方：</w:t>
      </w:r>
      <w:r>
        <w:rPr>
          <w:color w:val="auto"/>
          <w:highlight w:val="none"/>
          <w:u w:val="single"/>
        </w:rPr>
        <w:tab/>
      </w:r>
      <w:r>
        <w:rPr>
          <w:color w:val="auto"/>
          <w:highlight w:val="none"/>
          <w:u w:val="single"/>
        </w:rPr>
        <w:t>（</w:t>
      </w:r>
      <w:r>
        <w:rPr>
          <w:color w:val="auto"/>
          <w:highlight w:val="none"/>
        </w:rPr>
        <w:t>盖单位章）</w:t>
      </w:r>
      <w:r>
        <w:rPr>
          <w:color w:val="auto"/>
          <w:highlight w:val="none"/>
        </w:rPr>
        <w:tab/>
      </w:r>
      <w:r>
        <w:rPr>
          <w:color w:val="auto"/>
          <w:highlight w:val="none"/>
        </w:rPr>
        <w:t>乙方：</w:t>
      </w:r>
      <w:r>
        <w:rPr>
          <w:color w:val="auto"/>
          <w:highlight w:val="none"/>
          <w:u w:val="single"/>
        </w:rPr>
        <w:tab/>
      </w:r>
      <w:r>
        <w:rPr>
          <w:color w:val="auto"/>
          <w:highlight w:val="none"/>
          <w:u w:val="single"/>
        </w:rPr>
        <w:t>（</w:t>
      </w:r>
      <w:r>
        <w:rPr>
          <w:color w:val="auto"/>
          <w:highlight w:val="none"/>
        </w:rPr>
        <w:t>盖单位章）</w:t>
      </w:r>
    </w:p>
    <w:p>
      <w:pPr>
        <w:pStyle w:val="2"/>
        <w:rPr>
          <w:color w:val="auto"/>
          <w:sz w:val="20"/>
          <w:highlight w:val="none"/>
        </w:rPr>
      </w:pPr>
    </w:p>
    <w:p>
      <w:pPr>
        <w:pStyle w:val="2"/>
        <w:rPr>
          <w:color w:val="auto"/>
          <w:sz w:val="20"/>
          <w:highlight w:val="none"/>
        </w:rPr>
      </w:pPr>
    </w:p>
    <w:p>
      <w:pPr>
        <w:pStyle w:val="2"/>
        <w:rPr>
          <w:color w:val="auto"/>
          <w:sz w:val="24"/>
          <w:highlight w:val="none"/>
        </w:rPr>
      </w:pPr>
    </w:p>
    <w:p>
      <w:pPr>
        <w:rPr>
          <w:color w:val="auto"/>
          <w:sz w:val="24"/>
          <w:highlight w:val="none"/>
        </w:rPr>
        <w:sectPr>
          <w:pgSz w:w="11910" w:h="16840"/>
          <w:pgMar w:top="1540" w:right="841" w:bottom="1040" w:left="860" w:header="0" w:footer="856" w:gutter="0"/>
          <w:cols w:space="720" w:num="1"/>
        </w:sectPr>
      </w:pPr>
    </w:p>
    <w:p>
      <w:pPr>
        <w:pStyle w:val="2"/>
        <w:spacing w:before="70"/>
        <w:ind w:left="1091"/>
        <w:rPr>
          <w:color w:val="auto"/>
          <w:highlight w:val="none"/>
        </w:rPr>
      </w:pPr>
      <w:r>
        <w:rPr>
          <w:color w:val="auto"/>
          <w:highlight w:val="none"/>
        </w:rPr>
        <w:t>法定代表人</w:t>
      </w:r>
    </w:p>
    <w:p>
      <w:pPr>
        <w:pStyle w:val="2"/>
        <w:tabs>
          <w:tab w:val="left" w:pos="4031"/>
        </w:tabs>
        <w:spacing w:before="170"/>
        <w:ind w:left="1091"/>
        <w:rPr>
          <w:color w:val="auto"/>
          <w:highlight w:val="none"/>
        </w:rPr>
      </w:pPr>
      <w:r>
        <w:rPr>
          <w:color w:val="auto"/>
          <w:highlight w:val="none"/>
        </w:rPr>
        <w:t>或其委托代理人：</w:t>
      </w:r>
      <w:r>
        <w:rPr>
          <w:color w:val="auto"/>
          <w:highlight w:val="none"/>
          <w:u w:val="single"/>
        </w:rPr>
        <w:tab/>
      </w:r>
      <w:r>
        <w:rPr>
          <w:color w:val="auto"/>
          <w:highlight w:val="none"/>
        </w:rPr>
        <w:t>（签字</w:t>
      </w:r>
      <w:r>
        <w:rPr>
          <w:color w:val="auto"/>
          <w:spacing w:val="-18"/>
          <w:highlight w:val="none"/>
        </w:rPr>
        <w:t>）</w:t>
      </w:r>
    </w:p>
    <w:p>
      <w:pPr>
        <w:pStyle w:val="2"/>
        <w:spacing w:before="70"/>
        <w:ind w:left="823"/>
        <w:rPr>
          <w:color w:val="auto"/>
          <w:highlight w:val="none"/>
        </w:rPr>
      </w:pPr>
      <w:r>
        <w:rPr>
          <w:color w:val="auto"/>
          <w:highlight w:val="none"/>
        </w:rPr>
        <w:br w:type="column"/>
      </w:r>
      <w:r>
        <w:rPr>
          <w:color w:val="auto"/>
          <w:highlight w:val="none"/>
        </w:rPr>
        <w:t>法定代表人</w:t>
      </w:r>
    </w:p>
    <w:p>
      <w:pPr>
        <w:pStyle w:val="2"/>
        <w:tabs>
          <w:tab w:val="left" w:pos="3763"/>
        </w:tabs>
        <w:spacing w:before="170"/>
        <w:ind w:left="823"/>
        <w:rPr>
          <w:color w:val="auto"/>
          <w:highlight w:val="none"/>
        </w:rPr>
      </w:pPr>
      <w:r>
        <w:rPr>
          <w:color w:val="auto"/>
          <w:highlight w:val="none"/>
        </w:rPr>
        <w:t>或其委托代理人：</w:t>
      </w:r>
      <w:r>
        <w:rPr>
          <w:color w:val="auto"/>
          <w:highlight w:val="none"/>
          <w:u w:val="single"/>
        </w:rPr>
        <w:tab/>
      </w:r>
      <w:r>
        <w:rPr>
          <w:color w:val="auto"/>
          <w:highlight w:val="none"/>
        </w:rPr>
        <w:t>（签字）</w:t>
      </w:r>
    </w:p>
    <w:p>
      <w:pPr>
        <w:rPr>
          <w:color w:val="auto"/>
          <w:highlight w:val="none"/>
        </w:rPr>
        <w:sectPr>
          <w:type w:val="continuous"/>
          <w:pgSz w:w="11910" w:h="16840"/>
          <w:pgMar w:top="1420" w:right="841" w:bottom="280" w:left="860" w:header="720" w:footer="720" w:gutter="0"/>
          <w:cols w:equalWidth="0" w:num="2">
            <w:col w:w="4870" w:space="40"/>
            <w:col w:w="5299"/>
          </w:cols>
        </w:sectPr>
      </w:pPr>
    </w:p>
    <w:p>
      <w:pPr>
        <w:pStyle w:val="2"/>
        <w:rPr>
          <w:color w:val="auto"/>
          <w:sz w:val="20"/>
          <w:highlight w:val="none"/>
        </w:rPr>
      </w:pPr>
    </w:p>
    <w:p>
      <w:pPr>
        <w:pStyle w:val="2"/>
        <w:spacing w:before="9"/>
        <w:rPr>
          <w:color w:val="auto"/>
          <w:sz w:val="25"/>
          <w:highlight w:val="none"/>
        </w:rPr>
      </w:pPr>
    </w:p>
    <w:p>
      <w:pPr>
        <w:pStyle w:val="2"/>
        <w:tabs>
          <w:tab w:val="left" w:pos="2036"/>
          <w:tab w:val="left" w:pos="2876"/>
          <w:tab w:val="left" w:pos="3611"/>
          <w:tab w:val="left" w:pos="5731"/>
          <w:tab w:val="left" w:pos="6678"/>
          <w:tab w:val="left" w:pos="7518"/>
          <w:tab w:val="left" w:pos="8252"/>
        </w:tabs>
        <w:spacing w:before="70"/>
        <w:ind w:left="1091"/>
        <w:rPr>
          <w:color w:val="auto"/>
          <w:highlight w:val="none"/>
        </w:rPr>
      </w:pPr>
      <w:r>
        <w:rPr>
          <w:rFonts w:ascii="Times New Roman" w:eastAsia="Times New Roman"/>
          <w:color w:val="auto"/>
          <w:highlight w:val="none"/>
          <w:u w:val="single"/>
        </w:rPr>
        <w:tab/>
      </w:r>
      <w:r>
        <w:rPr>
          <w:color w:val="auto"/>
          <w:highlight w:val="none"/>
          <w:u w:val="single"/>
        </w:rPr>
        <w:t>年</w:t>
      </w:r>
      <w:r>
        <w:rPr>
          <w:color w:val="auto"/>
          <w:highlight w:val="none"/>
          <w:u w:val="single"/>
        </w:rPr>
        <w:tab/>
      </w:r>
      <w:r>
        <w:rPr>
          <w:color w:val="auto"/>
          <w:highlight w:val="none"/>
          <w:u w:val="single"/>
        </w:rPr>
        <w:t>月</w:t>
      </w:r>
      <w:r>
        <w:rPr>
          <w:color w:val="auto"/>
          <w:highlight w:val="none"/>
          <w:u w:val="single"/>
        </w:rPr>
        <w:tab/>
      </w:r>
      <w:r>
        <w:rPr>
          <w:color w:val="auto"/>
          <w:highlight w:val="none"/>
          <w:u w:val="single"/>
        </w:rPr>
        <w:t>日</w:t>
      </w:r>
      <w:r>
        <w:rPr>
          <w:color w:val="auto"/>
          <w:highlight w:val="none"/>
        </w:rPr>
        <w:tab/>
      </w:r>
      <w:r>
        <w:rPr>
          <w:color w:val="auto"/>
          <w:highlight w:val="none"/>
          <w:u w:val="single"/>
        </w:rPr>
        <w:tab/>
      </w:r>
      <w:r>
        <w:rPr>
          <w:color w:val="auto"/>
          <w:highlight w:val="none"/>
          <w:u w:val="single"/>
        </w:rPr>
        <w:t>年</w:t>
      </w:r>
      <w:r>
        <w:rPr>
          <w:color w:val="auto"/>
          <w:highlight w:val="none"/>
          <w:u w:val="single"/>
        </w:rPr>
        <w:tab/>
      </w:r>
      <w:r>
        <w:rPr>
          <w:color w:val="auto"/>
          <w:highlight w:val="none"/>
          <w:u w:val="single"/>
        </w:rPr>
        <w:t>月</w:t>
      </w:r>
      <w:r>
        <w:rPr>
          <w:color w:val="auto"/>
          <w:highlight w:val="none"/>
          <w:u w:val="single"/>
        </w:rPr>
        <w:tab/>
      </w:r>
      <w:r>
        <w:rPr>
          <w:color w:val="auto"/>
          <w:highlight w:val="none"/>
          <w:u w:val="single"/>
        </w:rPr>
        <w:t>日</w:t>
      </w:r>
    </w:p>
    <w:p>
      <w:pPr>
        <w:rPr>
          <w:color w:val="auto"/>
          <w:highlight w:val="none"/>
        </w:rPr>
        <w:sectPr>
          <w:type w:val="continuous"/>
          <w:pgSz w:w="11910" w:h="16840"/>
          <w:pgMar w:top="1420" w:right="841" w:bottom="280" w:left="860" w:header="720" w:footer="720" w:gutter="0"/>
          <w:cols w:space="720" w:num="1"/>
        </w:sectPr>
      </w:pPr>
    </w:p>
    <w:p>
      <w:pPr>
        <w:spacing w:before="21"/>
        <w:ind w:left="755" w:right="772"/>
        <w:jc w:val="center"/>
        <w:rPr>
          <w:rFonts w:ascii="宋体" w:eastAsia="宋体"/>
          <w:b/>
          <w:color w:val="auto"/>
          <w:sz w:val="36"/>
          <w:highlight w:val="none"/>
        </w:rPr>
      </w:pPr>
      <w:r>
        <w:rPr>
          <w:rFonts w:hint="eastAsia" w:ascii="宋体" w:eastAsia="宋体"/>
          <w:b/>
          <w:color w:val="auto"/>
          <w:sz w:val="36"/>
          <w:highlight w:val="none"/>
        </w:rPr>
        <w:t>三、廉政合同</w:t>
      </w:r>
    </w:p>
    <w:p>
      <w:pPr>
        <w:pStyle w:val="2"/>
        <w:spacing w:before="9"/>
        <w:rPr>
          <w:b/>
          <w:color w:val="auto"/>
          <w:sz w:val="45"/>
          <w:highlight w:val="none"/>
        </w:rPr>
      </w:pPr>
    </w:p>
    <w:p>
      <w:pPr>
        <w:pStyle w:val="2"/>
        <w:tabs>
          <w:tab w:val="left" w:pos="3326"/>
        </w:tabs>
        <w:spacing w:line="391" w:lineRule="auto"/>
        <w:ind w:left="220" w:right="326" w:firstLine="420"/>
        <w:jc w:val="both"/>
        <w:rPr>
          <w:color w:val="auto"/>
          <w:highlight w:val="none"/>
        </w:rPr>
      </w:pPr>
      <w:r>
        <w:rPr>
          <w:color w:val="auto"/>
          <w:highlight w:val="none"/>
        </w:rPr>
        <w:t>为加强在公司物资设备、工程装修、劳务技术服务等采购中的党风廉政建设，规范、约束采供双方的   行为，防止违法违纪和不廉洁问题的发生，维护双方合法利益，经</w:t>
      </w:r>
      <w:r>
        <w:rPr>
          <w:color w:val="auto"/>
          <w:highlight w:val="none"/>
          <w:u w:val="single"/>
        </w:rPr>
        <w:t>安徽省高速公路试验检测科研中心有限公司</w:t>
      </w:r>
      <w:r>
        <w:rPr>
          <w:rFonts w:ascii="Times New Roman" w:hAnsi="Times New Roman" w:eastAsia="Times New Roman"/>
          <w:color w:val="auto"/>
          <w:highlight w:val="none"/>
        </w:rPr>
        <w:t>(</w:t>
      </w:r>
      <w:r>
        <w:rPr>
          <w:color w:val="auto"/>
          <w:highlight w:val="none"/>
        </w:rPr>
        <w:t>以下简称</w:t>
      </w:r>
      <w:r>
        <w:rPr>
          <w:rFonts w:ascii="Times New Roman" w:hAnsi="Times New Roman" w:eastAsia="Times New Roman"/>
          <w:color w:val="auto"/>
          <w:highlight w:val="none"/>
        </w:rPr>
        <w:t>“</w:t>
      </w:r>
      <w:r>
        <w:rPr>
          <w:color w:val="auto"/>
          <w:highlight w:val="none"/>
        </w:rPr>
        <w:t>甲方</w:t>
      </w:r>
      <w:r>
        <w:rPr>
          <w:rFonts w:ascii="Times New Roman" w:hAnsi="Times New Roman" w:eastAsia="Times New Roman"/>
          <w:color w:val="auto"/>
          <w:highlight w:val="none"/>
        </w:rPr>
        <w:t>”)</w:t>
      </w:r>
      <w:r>
        <w:rPr>
          <w:color w:val="auto"/>
          <w:highlight w:val="none"/>
        </w:rPr>
        <w:t>与</w:t>
      </w:r>
      <w:r>
        <w:rPr>
          <w:color w:val="auto"/>
          <w:highlight w:val="none"/>
          <w:u w:val="single"/>
        </w:rPr>
        <w:tab/>
      </w:r>
      <w:r>
        <w:rPr>
          <w:rFonts w:ascii="Times New Roman" w:hAnsi="Times New Roman" w:eastAsia="Times New Roman"/>
          <w:color w:val="auto"/>
          <w:highlight w:val="none"/>
        </w:rPr>
        <w:t>(</w:t>
      </w:r>
      <w:r>
        <w:rPr>
          <w:color w:val="auto"/>
          <w:highlight w:val="none"/>
        </w:rPr>
        <w:t>以下简称</w:t>
      </w:r>
      <w:r>
        <w:rPr>
          <w:rFonts w:ascii="Times New Roman" w:hAnsi="Times New Roman" w:eastAsia="Times New Roman"/>
          <w:color w:val="auto"/>
          <w:highlight w:val="none"/>
        </w:rPr>
        <w:t>“</w:t>
      </w:r>
      <w:r>
        <w:rPr>
          <w:color w:val="auto"/>
          <w:highlight w:val="none"/>
        </w:rPr>
        <w:t>乙方</w:t>
      </w:r>
      <w:r>
        <w:rPr>
          <w:rFonts w:ascii="Times New Roman" w:hAnsi="Times New Roman" w:eastAsia="Times New Roman"/>
          <w:color w:val="auto"/>
          <w:highlight w:val="none"/>
        </w:rPr>
        <w:t>”)</w:t>
      </w:r>
      <w:r>
        <w:rPr>
          <w:color w:val="auto"/>
          <w:highlight w:val="none"/>
        </w:rPr>
        <w:t>同意，特订立如下合同。</w:t>
      </w:r>
    </w:p>
    <w:p>
      <w:pPr>
        <w:pStyle w:val="2"/>
        <w:spacing w:before="5"/>
        <w:ind w:left="640"/>
        <w:rPr>
          <w:color w:val="auto"/>
          <w:highlight w:val="none"/>
        </w:rPr>
      </w:pPr>
      <w:r>
        <w:rPr>
          <w:color w:val="auto"/>
          <w:highlight w:val="none"/>
        </w:rPr>
        <w:t>一、甲方和乙方双方的权利和义务</w:t>
      </w:r>
    </w:p>
    <w:p>
      <w:pPr>
        <w:pStyle w:val="2"/>
        <w:spacing w:before="170"/>
        <w:ind w:left="640"/>
        <w:rPr>
          <w:color w:val="auto"/>
          <w:highlight w:val="none"/>
        </w:rPr>
      </w:pPr>
      <w:r>
        <w:rPr>
          <w:rFonts w:ascii="Times New Roman" w:eastAsia="Times New Roman"/>
          <w:color w:val="auto"/>
          <w:highlight w:val="none"/>
        </w:rPr>
        <w:t>(</w:t>
      </w:r>
      <w:r>
        <w:rPr>
          <w:color w:val="auto"/>
          <w:highlight w:val="none"/>
        </w:rPr>
        <w:t>一</w:t>
      </w:r>
      <w:r>
        <w:rPr>
          <w:rFonts w:ascii="Times New Roman" w:eastAsia="Times New Roman"/>
          <w:color w:val="auto"/>
          <w:highlight w:val="none"/>
        </w:rPr>
        <w:t>)</w:t>
      </w:r>
      <w:r>
        <w:rPr>
          <w:color w:val="auto"/>
          <w:highlight w:val="none"/>
        </w:rPr>
        <w:t>严格遵守党的政策规定和国家有关法律法规规定。</w:t>
      </w:r>
    </w:p>
    <w:p>
      <w:pPr>
        <w:pStyle w:val="2"/>
        <w:tabs>
          <w:tab w:val="left" w:pos="3193"/>
        </w:tabs>
        <w:spacing w:before="170"/>
        <w:ind w:left="640"/>
        <w:rPr>
          <w:color w:val="auto"/>
          <w:highlight w:val="none"/>
        </w:rPr>
      </w:pPr>
      <w:r>
        <w:rPr>
          <w:rFonts w:ascii="Times New Roman" w:eastAsia="Times New Roman"/>
          <w:color w:val="auto"/>
          <w:highlight w:val="none"/>
        </w:rPr>
        <w:t>(</w:t>
      </w:r>
      <w:r>
        <w:rPr>
          <w:color w:val="auto"/>
          <w:highlight w:val="none"/>
        </w:rPr>
        <w:t>二</w:t>
      </w:r>
      <w:r>
        <w:rPr>
          <w:rFonts w:ascii="Times New Roman" w:eastAsia="Times New Roman"/>
          <w:color w:val="auto"/>
          <w:highlight w:val="none"/>
        </w:rPr>
        <w:t>)</w:t>
      </w:r>
      <w:r>
        <w:rPr>
          <w:color w:val="auto"/>
          <w:highlight w:val="none"/>
        </w:rPr>
        <w:t>严格执行</w:t>
      </w:r>
      <w:r>
        <w:rPr>
          <w:color w:val="auto"/>
          <w:highlight w:val="none"/>
          <w:u w:val="single"/>
        </w:rPr>
        <w:tab/>
      </w:r>
      <w:r>
        <w:rPr>
          <w:color w:val="auto"/>
          <w:highlight w:val="none"/>
        </w:rPr>
        <w:t>（项目名称）合同文件，自觉按合同办事。</w:t>
      </w:r>
    </w:p>
    <w:p>
      <w:pPr>
        <w:pStyle w:val="2"/>
        <w:spacing w:before="173" w:line="391" w:lineRule="auto"/>
        <w:ind w:left="220" w:right="326" w:firstLine="420"/>
        <w:rPr>
          <w:color w:val="auto"/>
          <w:highlight w:val="none"/>
        </w:rPr>
      </w:pPr>
      <w:r>
        <w:rPr>
          <w:color w:val="auto"/>
          <w:highlight w:val="none"/>
        </w:rPr>
        <w:t>(三)双方的业务活动坚持公开、公正、诚信、透明的原则(法律认定的商业秘密和合同文件另有规定除外</w:t>
      </w:r>
      <w:r>
        <w:rPr>
          <w:rFonts w:ascii="Times New Roman" w:eastAsia="Times New Roman"/>
          <w:color w:val="auto"/>
          <w:highlight w:val="none"/>
        </w:rPr>
        <w:t>)</w:t>
      </w:r>
      <w:r>
        <w:rPr>
          <w:color w:val="auto"/>
          <w:highlight w:val="none"/>
        </w:rPr>
        <w:t>，不得损害国家和集体利益，不得违反规章制度。</w:t>
      </w:r>
    </w:p>
    <w:p>
      <w:pPr>
        <w:pStyle w:val="2"/>
        <w:spacing w:before="1"/>
        <w:ind w:left="640"/>
        <w:rPr>
          <w:color w:val="auto"/>
          <w:highlight w:val="none"/>
        </w:rPr>
      </w:pPr>
      <w:r>
        <w:rPr>
          <w:rFonts w:ascii="Times New Roman" w:eastAsia="Times New Roman"/>
          <w:color w:val="auto"/>
          <w:highlight w:val="none"/>
        </w:rPr>
        <w:t>(</w:t>
      </w:r>
      <w:r>
        <w:rPr>
          <w:color w:val="auto"/>
          <w:highlight w:val="none"/>
        </w:rPr>
        <w:t>四</w:t>
      </w:r>
      <w:r>
        <w:rPr>
          <w:rFonts w:ascii="Times New Roman" w:eastAsia="Times New Roman"/>
          <w:color w:val="auto"/>
          <w:highlight w:val="none"/>
        </w:rPr>
        <w:t>)</w:t>
      </w:r>
      <w:r>
        <w:rPr>
          <w:color w:val="auto"/>
          <w:highlight w:val="none"/>
        </w:rPr>
        <w:t>建立健全廉政制度，开展廉政教育，设立廉政告示牌，公布举报电话，监督并认真查处违法违纪行</w:t>
      </w:r>
    </w:p>
    <w:p>
      <w:pPr>
        <w:pStyle w:val="2"/>
        <w:rPr>
          <w:color w:val="auto"/>
          <w:sz w:val="8"/>
          <w:highlight w:val="none"/>
        </w:rPr>
      </w:pPr>
    </w:p>
    <w:p>
      <w:pPr>
        <w:pStyle w:val="2"/>
        <w:spacing w:before="70"/>
        <w:ind w:left="220"/>
        <w:rPr>
          <w:color w:val="auto"/>
          <w:highlight w:val="none"/>
        </w:rPr>
      </w:pPr>
      <w:r>
        <w:rPr>
          <w:color w:val="auto"/>
          <w:highlight w:val="none"/>
        </w:rPr>
        <w:t>为。</w:t>
      </w:r>
    </w:p>
    <w:p>
      <w:pPr>
        <w:pStyle w:val="2"/>
        <w:spacing w:before="170"/>
        <w:ind w:left="640"/>
        <w:rPr>
          <w:color w:val="auto"/>
          <w:highlight w:val="none"/>
        </w:rPr>
      </w:pPr>
      <w:r>
        <w:rPr>
          <w:rFonts w:ascii="Times New Roman" w:eastAsia="Times New Roman"/>
          <w:color w:val="auto"/>
          <w:highlight w:val="none"/>
        </w:rPr>
        <w:t>(</w:t>
      </w:r>
      <w:r>
        <w:rPr>
          <w:color w:val="auto"/>
          <w:highlight w:val="none"/>
        </w:rPr>
        <w:t>五</w:t>
      </w:r>
      <w:r>
        <w:rPr>
          <w:rFonts w:ascii="Times New Roman" w:eastAsia="Times New Roman"/>
          <w:color w:val="auto"/>
          <w:highlight w:val="none"/>
        </w:rPr>
        <w:t>)</w:t>
      </w:r>
      <w:r>
        <w:rPr>
          <w:color w:val="auto"/>
          <w:highlight w:val="none"/>
        </w:rPr>
        <w:t>发现对方在业务活动中有违反廉政规定的行为，有及时提醒对方纠正的权利和义务。</w:t>
      </w:r>
    </w:p>
    <w:p>
      <w:pPr>
        <w:pStyle w:val="2"/>
        <w:spacing w:before="170"/>
        <w:ind w:left="640"/>
        <w:rPr>
          <w:color w:val="auto"/>
          <w:highlight w:val="none"/>
        </w:rPr>
      </w:pPr>
      <w:r>
        <w:rPr>
          <w:rFonts w:ascii="Times New Roman" w:eastAsia="Times New Roman"/>
          <w:color w:val="auto"/>
          <w:highlight w:val="none"/>
        </w:rPr>
        <w:t>(</w:t>
      </w:r>
      <w:r>
        <w:rPr>
          <w:color w:val="auto"/>
          <w:highlight w:val="none"/>
        </w:rPr>
        <w:t>六</w:t>
      </w:r>
      <w:r>
        <w:rPr>
          <w:rFonts w:ascii="Times New Roman" w:eastAsia="Times New Roman"/>
          <w:color w:val="auto"/>
          <w:highlight w:val="none"/>
        </w:rPr>
        <w:t>)</w:t>
      </w:r>
      <w:r>
        <w:rPr>
          <w:color w:val="auto"/>
          <w:highlight w:val="none"/>
        </w:rPr>
        <w:t>发现对方严重违反本合同义务条款的行为，有向其上级有关部门举报、建议给予处理并要求告知处</w:t>
      </w:r>
    </w:p>
    <w:p>
      <w:pPr>
        <w:pStyle w:val="2"/>
        <w:rPr>
          <w:color w:val="auto"/>
          <w:sz w:val="8"/>
          <w:highlight w:val="none"/>
        </w:rPr>
      </w:pPr>
    </w:p>
    <w:p>
      <w:pPr>
        <w:pStyle w:val="2"/>
        <w:spacing w:before="70"/>
        <w:ind w:left="220"/>
        <w:rPr>
          <w:color w:val="auto"/>
          <w:highlight w:val="none"/>
        </w:rPr>
      </w:pPr>
      <w:r>
        <w:rPr>
          <w:color w:val="auto"/>
          <w:highlight w:val="none"/>
        </w:rPr>
        <w:t>理结果的权利。</w:t>
      </w:r>
    </w:p>
    <w:p>
      <w:pPr>
        <w:pStyle w:val="2"/>
        <w:spacing w:before="170"/>
        <w:ind w:left="640"/>
        <w:rPr>
          <w:color w:val="auto"/>
          <w:highlight w:val="none"/>
        </w:rPr>
      </w:pPr>
      <w:r>
        <w:rPr>
          <w:color w:val="auto"/>
          <w:highlight w:val="none"/>
        </w:rPr>
        <w:t>二、甲方的义务</w:t>
      </w:r>
    </w:p>
    <w:p>
      <w:pPr>
        <w:pStyle w:val="2"/>
        <w:spacing w:before="170" w:line="393" w:lineRule="auto"/>
        <w:ind w:left="220" w:right="326" w:firstLine="420"/>
        <w:rPr>
          <w:color w:val="auto"/>
          <w:highlight w:val="none"/>
        </w:rPr>
      </w:pPr>
      <w:r>
        <w:rPr>
          <w:color w:val="auto"/>
          <w:highlight w:val="none"/>
        </w:rPr>
        <w:t>（一）甲方及其工作人员不得索要或接受乙方的礼金、有价证券和贵重物品，不得让乙方报销任何应   由甲方或甲方工作人员个人支付的费用等。</w:t>
      </w:r>
    </w:p>
    <w:p>
      <w:pPr>
        <w:pStyle w:val="2"/>
        <w:spacing w:line="391" w:lineRule="auto"/>
        <w:ind w:left="220" w:right="326" w:firstLine="420"/>
        <w:rPr>
          <w:color w:val="auto"/>
          <w:highlight w:val="none"/>
        </w:rPr>
      </w:pPr>
      <w:r>
        <w:rPr>
          <w:color w:val="auto"/>
          <w:highlight w:val="none"/>
        </w:rPr>
        <w:t>（二）甲方工作人员不得参加乙方安排的超标准宴请和娱乐活动；不得接受乙方提供的通讯工具、交   通工具和高档办公用品等。</w:t>
      </w:r>
    </w:p>
    <w:p>
      <w:pPr>
        <w:pStyle w:val="2"/>
        <w:spacing w:before="2" w:line="391" w:lineRule="auto"/>
        <w:ind w:left="220" w:right="326" w:firstLine="420"/>
        <w:rPr>
          <w:color w:val="auto"/>
          <w:highlight w:val="none"/>
        </w:rPr>
      </w:pPr>
      <w:r>
        <w:rPr>
          <w:color w:val="auto"/>
          <w:highlight w:val="none"/>
        </w:rPr>
        <w:t>（三）甲方及其工作人员不得要求或者接受乙方为其住房装修、婚丧嫁娶活动、配偶子女的工作安排   以及出国出境、旅游等提供方便等。</w:t>
      </w:r>
    </w:p>
    <w:p>
      <w:pPr>
        <w:pStyle w:val="2"/>
        <w:spacing w:before="2" w:line="393" w:lineRule="auto"/>
        <w:ind w:left="220" w:right="326" w:firstLine="420"/>
        <w:rPr>
          <w:color w:val="auto"/>
          <w:highlight w:val="none"/>
        </w:rPr>
      </w:pPr>
      <w:r>
        <w:rPr>
          <w:color w:val="auto"/>
          <w:highlight w:val="none"/>
        </w:rPr>
        <w:t>（四）甲方工作人员及其配偶、子女不得从事与甲方项目有关的材料设备供应、工程分包、劳务、服   务等经济活动。</w:t>
      </w:r>
    </w:p>
    <w:p>
      <w:pPr>
        <w:pStyle w:val="2"/>
        <w:spacing w:line="391" w:lineRule="auto"/>
        <w:ind w:left="220" w:right="326" w:firstLine="420"/>
        <w:rPr>
          <w:color w:val="auto"/>
          <w:highlight w:val="none"/>
        </w:rPr>
      </w:pPr>
      <w:r>
        <w:rPr>
          <w:color w:val="auto"/>
          <w:highlight w:val="none"/>
        </w:rPr>
        <w:t>（五）甲方及其工作人员不得以任何理由向乙方推荐分包单位或推销材料，不得要求乙方购买合同规   定外的物资、材料和设备。</w:t>
      </w:r>
    </w:p>
    <w:p>
      <w:pPr>
        <w:pStyle w:val="2"/>
        <w:spacing w:before="2" w:line="391" w:lineRule="auto"/>
        <w:ind w:left="220" w:right="326" w:firstLine="420"/>
        <w:rPr>
          <w:color w:val="auto"/>
          <w:highlight w:val="none"/>
        </w:rPr>
      </w:pPr>
      <w:r>
        <w:rPr>
          <w:color w:val="auto"/>
          <w:highlight w:val="none"/>
        </w:rPr>
        <w:t>（六）甲方工作人员要秉公办事，不准营私舞弊，不准利用职权从事各种个人有偿中介活动和安排个   人检测队伍。</w:t>
      </w:r>
    </w:p>
    <w:p>
      <w:pPr>
        <w:pStyle w:val="2"/>
        <w:spacing w:before="1"/>
        <w:ind w:left="640"/>
        <w:rPr>
          <w:color w:val="auto"/>
          <w:highlight w:val="none"/>
        </w:rPr>
      </w:pPr>
      <w:r>
        <w:rPr>
          <w:color w:val="auto"/>
          <w:highlight w:val="none"/>
        </w:rPr>
        <w:t>三、乙方的义务</w:t>
      </w:r>
    </w:p>
    <w:p>
      <w:pPr>
        <w:pStyle w:val="2"/>
        <w:spacing w:before="172"/>
        <w:ind w:left="640"/>
        <w:rPr>
          <w:color w:val="auto"/>
          <w:highlight w:val="none"/>
        </w:rPr>
      </w:pPr>
      <w:r>
        <w:rPr>
          <w:rFonts w:ascii="Times New Roman" w:eastAsia="Times New Roman"/>
          <w:color w:val="auto"/>
          <w:highlight w:val="none"/>
        </w:rPr>
        <w:t>(</w:t>
      </w:r>
      <w:r>
        <w:rPr>
          <w:color w:val="auto"/>
          <w:highlight w:val="none"/>
        </w:rPr>
        <w:t>一</w:t>
      </w:r>
      <w:r>
        <w:rPr>
          <w:rFonts w:ascii="Times New Roman" w:eastAsia="Times New Roman"/>
          <w:color w:val="auto"/>
          <w:highlight w:val="none"/>
        </w:rPr>
        <w:t>)</w:t>
      </w:r>
      <w:r>
        <w:rPr>
          <w:color w:val="auto"/>
          <w:highlight w:val="none"/>
        </w:rPr>
        <w:t>乙方不得以任何理由向甲方及其工作人员行贿或馈赠礼金、有价证券、贵重礼品。</w:t>
      </w:r>
    </w:p>
    <w:p>
      <w:pPr>
        <w:pStyle w:val="2"/>
        <w:spacing w:before="171"/>
        <w:ind w:left="640"/>
        <w:rPr>
          <w:color w:val="auto"/>
          <w:highlight w:val="none"/>
        </w:rPr>
      </w:pPr>
      <w:r>
        <w:rPr>
          <w:rFonts w:ascii="Times New Roman" w:eastAsia="Times New Roman"/>
          <w:color w:val="auto"/>
          <w:highlight w:val="none"/>
        </w:rPr>
        <w:t>(</w:t>
      </w:r>
      <w:r>
        <w:rPr>
          <w:color w:val="auto"/>
          <w:highlight w:val="none"/>
        </w:rPr>
        <w:t>二</w:t>
      </w:r>
      <w:r>
        <w:rPr>
          <w:rFonts w:ascii="Times New Roman" w:eastAsia="Times New Roman"/>
          <w:color w:val="auto"/>
          <w:highlight w:val="none"/>
        </w:rPr>
        <w:t>)</w:t>
      </w:r>
      <w:r>
        <w:rPr>
          <w:color w:val="auto"/>
          <w:highlight w:val="none"/>
        </w:rPr>
        <w:t>乙方不得以任何名义为甲方及其工作人员报销应由甲方单位或个人支付的任何费用。</w:t>
      </w:r>
    </w:p>
    <w:p>
      <w:pPr>
        <w:rPr>
          <w:color w:val="auto"/>
          <w:highlight w:val="none"/>
        </w:rPr>
        <w:sectPr>
          <w:pgSz w:w="11910" w:h="16840"/>
          <w:pgMar w:top="1420" w:right="841" w:bottom="1040" w:left="860" w:header="0" w:footer="856" w:gutter="0"/>
          <w:cols w:space="720" w:num="1"/>
        </w:sectPr>
      </w:pPr>
    </w:p>
    <w:p>
      <w:pPr>
        <w:pStyle w:val="2"/>
        <w:spacing w:before="61"/>
        <w:ind w:firstLine="630" w:firstLineChars="300"/>
        <w:rPr>
          <w:color w:val="auto"/>
          <w:highlight w:val="none"/>
        </w:rPr>
      </w:pPr>
      <w:r>
        <w:rPr>
          <w:rFonts w:ascii="Times New Roman" w:eastAsia="Times New Roman"/>
          <w:color w:val="auto"/>
          <w:highlight w:val="none"/>
        </w:rPr>
        <w:t>(</w:t>
      </w:r>
      <w:r>
        <w:rPr>
          <w:color w:val="auto"/>
          <w:highlight w:val="none"/>
        </w:rPr>
        <w:t>三</w:t>
      </w:r>
      <w:r>
        <w:rPr>
          <w:rFonts w:ascii="Times New Roman" w:eastAsia="Times New Roman"/>
          <w:color w:val="auto"/>
          <w:highlight w:val="none"/>
        </w:rPr>
        <w:t>)</w:t>
      </w:r>
      <w:r>
        <w:rPr>
          <w:color w:val="auto"/>
          <w:highlight w:val="none"/>
        </w:rPr>
        <w:t>乙方不得以任何理由安排甲方工作人员参加超标准宴请及娱乐活动。</w:t>
      </w:r>
    </w:p>
    <w:p>
      <w:pPr>
        <w:pStyle w:val="2"/>
        <w:spacing w:before="173" w:line="391" w:lineRule="auto"/>
        <w:ind w:left="418" w:leftChars="190" w:right="1867" w:firstLine="210" w:firstLineChars="100"/>
        <w:rPr>
          <w:color w:val="auto"/>
          <w:highlight w:val="none"/>
        </w:rPr>
      </w:pPr>
      <w:r>
        <w:rPr>
          <w:color w:val="auto"/>
          <w:highlight w:val="none"/>
        </w:rPr>
        <w:t>(四)乙方不得为甲方单位和个人购置或提供通信工具、交通工具和高档办公用品等。  四、 违约责任</w:t>
      </w:r>
    </w:p>
    <w:p>
      <w:pPr>
        <w:pStyle w:val="2"/>
        <w:spacing w:before="1" w:line="393" w:lineRule="auto"/>
        <w:ind w:left="220" w:right="134" w:firstLine="420"/>
        <w:rPr>
          <w:color w:val="auto"/>
          <w:highlight w:val="none"/>
        </w:rPr>
      </w:pPr>
      <w:r>
        <w:rPr>
          <w:rFonts w:ascii="Times New Roman" w:eastAsia="Times New Roman"/>
          <w:color w:val="auto"/>
          <w:highlight w:val="none"/>
        </w:rPr>
        <w:t>(</w:t>
      </w:r>
      <w:r>
        <w:rPr>
          <w:color w:val="auto"/>
          <w:highlight w:val="none"/>
        </w:rPr>
        <w:t>一</w:t>
      </w:r>
      <w:r>
        <w:rPr>
          <w:rFonts w:ascii="Times New Roman" w:eastAsia="Times New Roman"/>
          <w:color w:val="auto"/>
          <w:highlight w:val="none"/>
        </w:rPr>
        <w:t>)</w:t>
      </w:r>
      <w:r>
        <w:rPr>
          <w:color w:val="auto"/>
          <w:spacing w:val="-5"/>
          <w:highlight w:val="none"/>
        </w:rPr>
        <w:t xml:space="preserve">甲方及其工作人员违反本合同第 </w:t>
      </w:r>
      <w:r>
        <w:rPr>
          <w:rFonts w:ascii="Times New Roman" w:eastAsia="Times New Roman"/>
          <w:color w:val="auto"/>
          <w:highlight w:val="none"/>
        </w:rPr>
        <w:t>1</w:t>
      </w:r>
      <w:r>
        <w:rPr>
          <w:color w:val="auto"/>
          <w:spacing w:val="-13"/>
          <w:highlight w:val="none"/>
        </w:rPr>
        <w:t>、</w:t>
      </w:r>
      <w:r>
        <w:rPr>
          <w:rFonts w:ascii="Times New Roman" w:eastAsia="Times New Roman"/>
          <w:color w:val="auto"/>
          <w:highlight w:val="none"/>
        </w:rPr>
        <w:t xml:space="preserve">2 </w:t>
      </w:r>
      <w:r>
        <w:rPr>
          <w:color w:val="auto"/>
          <w:spacing w:val="-7"/>
          <w:highlight w:val="none"/>
        </w:rPr>
        <w:t>条，按管理权限，依据有关规定给予党纪、政纪或组织处理； 涉嫌犯罪的，移交司法机关追究刑事责任；给乙方单位造成经济损失的，应予以赔偿。</w:t>
      </w:r>
    </w:p>
    <w:p>
      <w:pPr>
        <w:pStyle w:val="2"/>
        <w:spacing w:line="391" w:lineRule="auto"/>
        <w:ind w:left="220" w:right="134" w:firstLine="420"/>
        <w:rPr>
          <w:color w:val="auto"/>
          <w:highlight w:val="none"/>
        </w:rPr>
      </w:pPr>
      <w:r>
        <w:rPr>
          <w:rFonts w:ascii="Times New Roman" w:eastAsia="Times New Roman"/>
          <w:color w:val="auto"/>
          <w:highlight w:val="none"/>
        </w:rPr>
        <w:t>(</w:t>
      </w:r>
      <w:r>
        <w:rPr>
          <w:color w:val="auto"/>
          <w:highlight w:val="none"/>
        </w:rPr>
        <w:t>二</w:t>
      </w:r>
      <w:r>
        <w:rPr>
          <w:rFonts w:ascii="Times New Roman" w:eastAsia="Times New Roman"/>
          <w:color w:val="auto"/>
          <w:highlight w:val="none"/>
        </w:rPr>
        <w:t>)</w:t>
      </w:r>
      <w:r>
        <w:rPr>
          <w:color w:val="auto"/>
          <w:spacing w:val="-5"/>
          <w:highlight w:val="none"/>
        </w:rPr>
        <w:t xml:space="preserve">乙方及其工作人员违反本合同第 </w:t>
      </w:r>
      <w:r>
        <w:rPr>
          <w:rFonts w:ascii="Times New Roman" w:eastAsia="Times New Roman"/>
          <w:color w:val="auto"/>
          <w:highlight w:val="none"/>
        </w:rPr>
        <w:t>1</w:t>
      </w:r>
      <w:r>
        <w:rPr>
          <w:color w:val="auto"/>
          <w:spacing w:val="-13"/>
          <w:highlight w:val="none"/>
        </w:rPr>
        <w:t>、</w:t>
      </w:r>
      <w:r>
        <w:rPr>
          <w:rFonts w:ascii="Times New Roman" w:eastAsia="Times New Roman"/>
          <w:color w:val="auto"/>
          <w:highlight w:val="none"/>
        </w:rPr>
        <w:t xml:space="preserve">3 </w:t>
      </w:r>
      <w:r>
        <w:rPr>
          <w:color w:val="auto"/>
          <w:spacing w:val="-7"/>
          <w:highlight w:val="none"/>
        </w:rPr>
        <w:t>条，按管理权限，依据有关规定给予党纪、政纪或组织处理； 给甲方单位造成经济损失的，应予以赔偿。</w:t>
      </w:r>
    </w:p>
    <w:p>
      <w:pPr>
        <w:pStyle w:val="2"/>
        <w:spacing w:before="2" w:line="391" w:lineRule="auto"/>
        <w:ind w:left="220" w:right="239" w:firstLine="525"/>
        <w:rPr>
          <w:color w:val="auto"/>
          <w:highlight w:val="none"/>
        </w:rPr>
      </w:pPr>
      <w:r>
        <w:rPr>
          <w:color w:val="auto"/>
          <w:spacing w:val="-4"/>
          <w:highlight w:val="none"/>
        </w:rPr>
        <w:t>五、双方约定：本合同由双方或双方上级单位的纪检监察部门负责监督执行。由甲方或甲方上级单位的纪检监察部门约请乙方或乙方上级单位纪检监察部门对本合同执行情况进行监督，提出在本合同规定范围内的裁定意见。</w:t>
      </w:r>
    </w:p>
    <w:p>
      <w:pPr>
        <w:pStyle w:val="2"/>
        <w:spacing w:before="4"/>
        <w:ind w:left="640"/>
        <w:rPr>
          <w:color w:val="auto"/>
          <w:highlight w:val="none"/>
        </w:rPr>
      </w:pPr>
      <w:r>
        <w:rPr>
          <w:color w:val="auto"/>
          <w:highlight w:val="none"/>
        </w:rPr>
        <w:t>六、本合同有效期为甲方和乙方签署之日起至该项目完成后止。</w:t>
      </w:r>
    </w:p>
    <w:p>
      <w:pPr>
        <w:pStyle w:val="2"/>
        <w:tabs>
          <w:tab w:val="left" w:pos="3368"/>
        </w:tabs>
        <w:spacing w:before="170" w:line="391" w:lineRule="auto"/>
        <w:ind w:left="220" w:right="326" w:firstLine="420"/>
        <w:rPr>
          <w:color w:val="auto"/>
          <w:highlight w:val="none"/>
        </w:rPr>
      </w:pPr>
      <w:r>
        <w:rPr>
          <w:color w:val="auto"/>
          <w:highlight w:val="none"/>
        </w:rPr>
        <w:t>七、本合同作为</w:t>
      </w:r>
      <w:r>
        <w:rPr>
          <w:color w:val="auto"/>
          <w:highlight w:val="none"/>
          <w:u w:val="single"/>
        </w:rPr>
        <w:tab/>
      </w:r>
      <w:r>
        <w:rPr>
          <w:color w:val="auto"/>
          <w:w w:val="95"/>
          <w:highlight w:val="none"/>
        </w:rPr>
        <w:t>（</w:t>
      </w:r>
      <w:r>
        <w:rPr>
          <w:color w:val="auto"/>
          <w:w w:val="95"/>
          <w:sz w:val="22"/>
          <w:szCs w:val="22"/>
          <w:highlight w:val="none"/>
        </w:rPr>
        <w:t xml:space="preserve">项目名称）合同的附件，与项目主合同具有同等的法律效力，经合同  </w:t>
      </w:r>
      <w:r>
        <w:rPr>
          <w:color w:val="auto"/>
          <w:highlight w:val="none"/>
        </w:rPr>
        <w:t>双方签署后立即生效。</w:t>
      </w:r>
    </w:p>
    <w:p>
      <w:pPr>
        <w:pStyle w:val="2"/>
        <w:spacing w:before="4" w:line="391" w:lineRule="auto"/>
        <w:ind w:left="220" w:right="326" w:firstLine="420"/>
        <w:rPr>
          <w:color w:val="auto"/>
          <w:highlight w:val="none"/>
        </w:rPr>
      </w:pPr>
      <w:r>
        <w:rPr>
          <w:color w:val="auto"/>
          <w:spacing w:val="-4"/>
          <w:highlight w:val="none"/>
        </w:rPr>
        <w:t>八、本协议书正本二份、副本 四 份，合同双方各执正本一份，副本 二 份，当正本与副本的内容不一致时，以正本为准。</w:t>
      </w:r>
    </w:p>
    <w:p>
      <w:pPr>
        <w:pStyle w:val="2"/>
        <w:rPr>
          <w:color w:val="auto"/>
          <w:sz w:val="20"/>
          <w:highlight w:val="none"/>
        </w:rPr>
      </w:pPr>
    </w:p>
    <w:p>
      <w:pPr>
        <w:pStyle w:val="2"/>
        <w:tabs>
          <w:tab w:val="left" w:pos="3687"/>
          <w:tab w:val="left" w:pos="5732"/>
          <w:tab w:val="left" w:pos="8360"/>
        </w:tabs>
        <w:spacing w:before="177"/>
        <w:ind w:left="1091"/>
        <w:rPr>
          <w:color w:val="auto"/>
          <w:highlight w:val="none"/>
        </w:rPr>
      </w:pPr>
      <w:r>
        <w:rPr>
          <w:color w:val="auto"/>
          <w:highlight w:val="none"/>
        </w:rPr>
        <w:t>甲方：</w:t>
      </w:r>
      <w:r>
        <w:rPr>
          <w:color w:val="auto"/>
          <w:highlight w:val="none"/>
          <w:u w:val="single"/>
        </w:rPr>
        <w:tab/>
      </w:r>
      <w:r>
        <w:rPr>
          <w:color w:val="auto"/>
          <w:highlight w:val="none"/>
          <w:u w:val="single"/>
        </w:rPr>
        <w:t>（</w:t>
      </w:r>
      <w:r>
        <w:rPr>
          <w:color w:val="auto"/>
          <w:highlight w:val="none"/>
        </w:rPr>
        <w:t>盖单位章）</w:t>
      </w:r>
      <w:r>
        <w:rPr>
          <w:color w:val="auto"/>
          <w:highlight w:val="none"/>
        </w:rPr>
        <w:tab/>
      </w:r>
      <w:r>
        <w:rPr>
          <w:color w:val="auto"/>
          <w:highlight w:val="none"/>
        </w:rPr>
        <w:t>乙方：</w:t>
      </w:r>
      <w:r>
        <w:rPr>
          <w:color w:val="auto"/>
          <w:highlight w:val="none"/>
          <w:u w:val="single"/>
        </w:rPr>
        <w:tab/>
      </w:r>
      <w:r>
        <w:rPr>
          <w:color w:val="auto"/>
          <w:highlight w:val="none"/>
          <w:u w:val="single"/>
        </w:rPr>
        <w:t>（</w:t>
      </w:r>
      <w:r>
        <w:rPr>
          <w:color w:val="auto"/>
          <w:highlight w:val="none"/>
        </w:rPr>
        <w:t>盖单位章）</w:t>
      </w:r>
    </w:p>
    <w:p>
      <w:pPr>
        <w:pStyle w:val="2"/>
        <w:rPr>
          <w:color w:val="auto"/>
          <w:sz w:val="20"/>
          <w:highlight w:val="none"/>
        </w:rPr>
      </w:pPr>
    </w:p>
    <w:p>
      <w:pPr>
        <w:pStyle w:val="2"/>
        <w:rPr>
          <w:color w:val="auto"/>
          <w:sz w:val="20"/>
          <w:highlight w:val="none"/>
        </w:rPr>
      </w:pPr>
    </w:p>
    <w:p>
      <w:pPr>
        <w:pStyle w:val="2"/>
        <w:rPr>
          <w:color w:val="auto"/>
          <w:sz w:val="24"/>
          <w:highlight w:val="none"/>
        </w:rPr>
      </w:pPr>
    </w:p>
    <w:p>
      <w:pPr>
        <w:rPr>
          <w:color w:val="auto"/>
          <w:sz w:val="24"/>
          <w:highlight w:val="none"/>
        </w:rPr>
        <w:sectPr>
          <w:pgSz w:w="11910" w:h="16840"/>
          <w:pgMar w:top="1520" w:right="841" w:bottom="1040" w:left="860" w:header="0" w:footer="856" w:gutter="0"/>
          <w:cols w:space="720" w:num="1"/>
        </w:sectPr>
      </w:pPr>
    </w:p>
    <w:p>
      <w:pPr>
        <w:pStyle w:val="2"/>
        <w:spacing w:before="70"/>
        <w:ind w:left="1091"/>
        <w:rPr>
          <w:color w:val="auto"/>
          <w:highlight w:val="none"/>
        </w:rPr>
      </w:pPr>
      <w:r>
        <w:rPr>
          <w:color w:val="auto"/>
          <w:highlight w:val="none"/>
        </w:rPr>
        <w:t>法定代表人</w:t>
      </w:r>
    </w:p>
    <w:p>
      <w:pPr>
        <w:pStyle w:val="2"/>
        <w:tabs>
          <w:tab w:val="left" w:pos="4031"/>
        </w:tabs>
        <w:spacing w:before="170"/>
        <w:ind w:left="1091"/>
        <w:rPr>
          <w:color w:val="auto"/>
          <w:highlight w:val="none"/>
        </w:rPr>
      </w:pPr>
      <w:r>
        <w:rPr>
          <w:color w:val="auto"/>
          <w:highlight w:val="none"/>
        </w:rPr>
        <w:t>或其委托代理人：</w:t>
      </w:r>
      <w:r>
        <w:rPr>
          <w:color w:val="auto"/>
          <w:highlight w:val="none"/>
          <w:u w:val="single"/>
        </w:rPr>
        <w:tab/>
      </w:r>
      <w:r>
        <w:rPr>
          <w:color w:val="auto"/>
          <w:highlight w:val="none"/>
        </w:rPr>
        <w:t>（签字</w:t>
      </w:r>
      <w:r>
        <w:rPr>
          <w:color w:val="auto"/>
          <w:spacing w:val="-18"/>
          <w:highlight w:val="none"/>
        </w:rPr>
        <w:t>）</w:t>
      </w:r>
    </w:p>
    <w:p>
      <w:pPr>
        <w:pStyle w:val="2"/>
        <w:spacing w:before="70"/>
        <w:ind w:left="823"/>
        <w:rPr>
          <w:color w:val="auto"/>
          <w:highlight w:val="none"/>
        </w:rPr>
      </w:pPr>
      <w:r>
        <w:rPr>
          <w:color w:val="auto"/>
          <w:highlight w:val="none"/>
        </w:rPr>
        <w:br w:type="column"/>
      </w:r>
      <w:r>
        <w:rPr>
          <w:color w:val="auto"/>
          <w:highlight w:val="none"/>
        </w:rPr>
        <w:t>法定代表人</w:t>
      </w:r>
    </w:p>
    <w:p>
      <w:pPr>
        <w:pStyle w:val="2"/>
        <w:tabs>
          <w:tab w:val="left" w:pos="3763"/>
        </w:tabs>
        <w:spacing w:before="170"/>
        <w:ind w:left="823"/>
        <w:rPr>
          <w:color w:val="auto"/>
          <w:highlight w:val="none"/>
        </w:rPr>
      </w:pPr>
      <w:r>
        <w:rPr>
          <w:color w:val="auto"/>
          <w:highlight w:val="none"/>
        </w:rPr>
        <w:t>或其委托代理人：</w:t>
      </w:r>
      <w:r>
        <w:rPr>
          <w:color w:val="auto"/>
          <w:highlight w:val="none"/>
          <w:u w:val="single"/>
        </w:rPr>
        <w:tab/>
      </w:r>
      <w:r>
        <w:rPr>
          <w:color w:val="auto"/>
          <w:highlight w:val="none"/>
        </w:rPr>
        <w:t>（签字）</w:t>
      </w:r>
    </w:p>
    <w:p>
      <w:pPr>
        <w:rPr>
          <w:color w:val="auto"/>
          <w:highlight w:val="none"/>
        </w:rPr>
        <w:sectPr>
          <w:type w:val="continuous"/>
          <w:pgSz w:w="11910" w:h="16840"/>
          <w:pgMar w:top="1420" w:right="841" w:bottom="280" w:left="860" w:header="720" w:footer="720" w:gutter="0"/>
          <w:cols w:equalWidth="0" w:num="2">
            <w:col w:w="4870" w:space="40"/>
            <w:col w:w="5299"/>
          </w:cols>
        </w:sectPr>
      </w:pPr>
    </w:p>
    <w:p>
      <w:pPr>
        <w:pStyle w:val="2"/>
        <w:rPr>
          <w:color w:val="auto"/>
          <w:sz w:val="20"/>
          <w:highlight w:val="none"/>
        </w:rPr>
      </w:pPr>
    </w:p>
    <w:p>
      <w:pPr>
        <w:pStyle w:val="2"/>
        <w:spacing w:before="9"/>
        <w:rPr>
          <w:color w:val="auto"/>
          <w:sz w:val="25"/>
          <w:highlight w:val="none"/>
        </w:rPr>
      </w:pPr>
    </w:p>
    <w:p>
      <w:pPr>
        <w:pStyle w:val="2"/>
        <w:tabs>
          <w:tab w:val="left" w:pos="2036"/>
          <w:tab w:val="left" w:pos="2876"/>
          <w:tab w:val="left" w:pos="3611"/>
          <w:tab w:val="left" w:pos="5731"/>
          <w:tab w:val="left" w:pos="6678"/>
          <w:tab w:val="left" w:pos="7518"/>
          <w:tab w:val="left" w:pos="8252"/>
        </w:tabs>
        <w:spacing w:before="70"/>
        <w:ind w:left="1091"/>
        <w:rPr>
          <w:color w:val="auto"/>
          <w:highlight w:val="none"/>
        </w:rPr>
      </w:pPr>
      <w:r>
        <w:rPr>
          <w:rFonts w:ascii="Times New Roman" w:eastAsia="Times New Roman"/>
          <w:color w:val="auto"/>
          <w:highlight w:val="none"/>
          <w:u w:val="single"/>
        </w:rPr>
        <w:tab/>
      </w:r>
      <w:r>
        <w:rPr>
          <w:color w:val="auto"/>
          <w:highlight w:val="none"/>
          <w:u w:val="single"/>
        </w:rPr>
        <w:t>年</w:t>
      </w:r>
      <w:r>
        <w:rPr>
          <w:color w:val="auto"/>
          <w:highlight w:val="none"/>
          <w:u w:val="single"/>
        </w:rPr>
        <w:tab/>
      </w:r>
      <w:r>
        <w:rPr>
          <w:color w:val="auto"/>
          <w:highlight w:val="none"/>
          <w:u w:val="single"/>
        </w:rPr>
        <w:t>月</w:t>
      </w:r>
      <w:r>
        <w:rPr>
          <w:color w:val="auto"/>
          <w:highlight w:val="none"/>
          <w:u w:val="single"/>
        </w:rPr>
        <w:tab/>
      </w:r>
      <w:r>
        <w:rPr>
          <w:color w:val="auto"/>
          <w:highlight w:val="none"/>
          <w:u w:val="single"/>
        </w:rPr>
        <w:t>日</w:t>
      </w:r>
      <w:r>
        <w:rPr>
          <w:color w:val="auto"/>
          <w:highlight w:val="none"/>
        </w:rPr>
        <w:tab/>
      </w:r>
      <w:r>
        <w:rPr>
          <w:color w:val="auto"/>
          <w:highlight w:val="none"/>
          <w:u w:val="single"/>
        </w:rPr>
        <w:tab/>
      </w:r>
      <w:r>
        <w:rPr>
          <w:color w:val="auto"/>
          <w:highlight w:val="none"/>
          <w:u w:val="single"/>
        </w:rPr>
        <w:t>年</w:t>
      </w:r>
      <w:r>
        <w:rPr>
          <w:color w:val="auto"/>
          <w:highlight w:val="none"/>
          <w:u w:val="single"/>
        </w:rPr>
        <w:tab/>
      </w:r>
      <w:r>
        <w:rPr>
          <w:color w:val="auto"/>
          <w:highlight w:val="none"/>
          <w:u w:val="single"/>
        </w:rPr>
        <w:t>月</w:t>
      </w:r>
      <w:r>
        <w:rPr>
          <w:color w:val="auto"/>
          <w:highlight w:val="none"/>
          <w:u w:val="single"/>
        </w:rPr>
        <w:tab/>
      </w:r>
      <w:r>
        <w:rPr>
          <w:color w:val="auto"/>
          <w:highlight w:val="none"/>
          <w:u w:val="single"/>
        </w:rPr>
        <w:t>日</w:t>
      </w:r>
    </w:p>
    <w:p>
      <w:pPr>
        <w:rPr>
          <w:color w:val="auto"/>
          <w:highlight w:val="none"/>
        </w:rPr>
        <w:sectPr>
          <w:type w:val="continuous"/>
          <w:pgSz w:w="11910" w:h="16840"/>
          <w:pgMar w:top="1420" w:right="841" w:bottom="280" w:left="860" w:header="720" w:footer="720" w:gutter="0"/>
          <w:cols w:space="720" w:num="1"/>
        </w:sectPr>
      </w:pPr>
    </w:p>
    <w:p>
      <w:pPr>
        <w:pStyle w:val="2"/>
        <w:rPr>
          <w:color w:val="auto"/>
          <w:sz w:val="20"/>
          <w:highlight w:val="none"/>
        </w:rPr>
      </w:pPr>
    </w:p>
    <w:p>
      <w:pPr>
        <w:pStyle w:val="2"/>
        <w:rPr>
          <w:color w:val="auto"/>
          <w:sz w:val="20"/>
          <w:highlight w:val="none"/>
        </w:rPr>
      </w:pPr>
    </w:p>
    <w:p>
      <w:pPr>
        <w:pStyle w:val="2"/>
        <w:rPr>
          <w:color w:val="auto"/>
          <w:sz w:val="20"/>
          <w:highlight w:val="none"/>
        </w:rPr>
      </w:pPr>
    </w:p>
    <w:p>
      <w:pPr>
        <w:pStyle w:val="2"/>
        <w:rPr>
          <w:color w:val="auto"/>
          <w:sz w:val="20"/>
          <w:highlight w:val="none"/>
        </w:rPr>
      </w:pPr>
    </w:p>
    <w:p>
      <w:pPr>
        <w:pStyle w:val="2"/>
        <w:rPr>
          <w:color w:val="auto"/>
          <w:sz w:val="20"/>
          <w:highlight w:val="none"/>
        </w:rPr>
      </w:pPr>
    </w:p>
    <w:p>
      <w:pPr>
        <w:pStyle w:val="2"/>
        <w:rPr>
          <w:color w:val="auto"/>
          <w:sz w:val="20"/>
          <w:highlight w:val="none"/>
        </w:rPr>
      </w:pPr>
    </w:p>
    <w:p>
      <w:pPr>
        <w:pStyle w:val="2"/>
        <w:rPr>
          <w:color w:val="auto"/>
          <w:sz w:val="20"/>
          <w:highlight w:val="none"/>
        </w:rPr>
      </w:pPr>
    </w:p>
    <w:p>
      <w:pPr>
        <w:pStyle w:val="2"/>
        <w:rPr>
          <w:color w:val="auto"/>
          <w:sz w:val="20"/>
          <w:highlight w:val="none"/>
        </w:rPr>
      </w:pPr>
    </w:p>
    <w:p>
      <w:pPr>
        <w:pStyle w:val="2"/>
        <w:rPr>
          <w:color w:val="auto"/>
          <w:sz w:val="20"/>
          <w:highlight w:val="none"/>
        </w:rPr>
      </w:pPr>
    </w:p>
    <w:p>
      <w:pPr>
        <w:pStyle w:val="2"/>
        <w:rPr>
          <w:color w:val="auto"/>
          <w:sz w:val="20"/>
          <w:highlight w:val="none"/>
        </w:rPr>
      </w:pPr>
    </w:p>
    <w:p>
      <w:pPr>
        <w:pStyle w:val="2"/>
        <w:rPr>
          <w:color w:val="auto"/>
          <w:sz w:val="20"/>
          <w:highlight w:val="none"/>
        </w:rPr>
      </w:pPr>
    </w:p>
    <w:p>
      <w:pPr>
        <w:pStyle w:val="2"/>
        <w:rPr>
          <w:color w:val="auto"/>
          <w:sz w:val="20"/>
          <w:highlight w:val="none"/>
        </w:rPr>
      </w:pPr>
    </w:p>
    <w:p>
      <w:pPr>
        <w:pStyle w:val="2"/>
        <w:rPr>
          <w:color w:val="auto"/>
          <w:sz w:val="20"/>
          <w:highlight w:val="none"/>
        </w:rPr>
      </w:pPr>
    </w:p>
    <w:p>
      <w:pPr>
        <w:pStyle w:val="2"/>
        <w:rPr>
          <w:color w:val="auto"/>
          <w:sz w:val="20"/>
          <w:highlight w:val="none"/>
        </w:rPr>
      </w:pPr>
    </w:p>
    <w:p>
      <w:pPr>
        <w:pStyle w:val="2"/>
        <w:rPr>
          <w:color w:val="auto"/>
          <w:sz w:val="20"/>
          <w:highlight w:val="none"/>
        </w:rPr>
      </w:pPr>
    </w:p>
    <w:p>
      <w:pPr>
        <w:pStyle w:val="2"/>
        <w:rPr>
          <w:color w:val="auto"/>
          <w:sz w:val="20"/>
          <w:highlight w:val="none"/>
        </w:rPr>
      </w:pPr>
    </w:p>
    <w:p>
      <w:pPr>
        <w:pStyle w:val="2"/>
        <w:rPr>
          <w:color w:val="auto"/>
          <w:sz w:val="20"/>
          <w:highlight w:val="none"/>
        </w:rPr>
      </w:pPr>
    </w:p>
    <w:p>
      <w:pPr>
        <w:pStyle w:val="2"/>
        <w:spacing w:before="4"/>
        <w:rPr>
          <w:color w:val="auto"/>
          <w:sz w:val="14"/>
          <w:highlight w:val="none"/>
        </w:rPr>
      </w:pPr>
    </w:p>
    <w:p>
      <w:pPr>
        <w:pStyle w:val="4"/>
        <w:spacing w:before="55"/>
        <w:ind w:right="775"/>
        <w:rPr>
          <w:color w:val="auto"/>
          <w:highlight w:val="none"/>
        </w:rPr>
      </w:pPr>
      <w:bookmarkStart w:id="4" w:name="_TOC_250001"/>
      <w:bookmarkEnd w:id="4"/>
      <w:r>
        <w:rPr>
          <w:color w:val="auto"/>
          <w:highlight w:val="none"/>
        </w:rPr>
        <w:t>第五章 采购需求及清单</w:t>
      </w:r>
    </w:p>
    <w:p>
      <w:pPr>
        <w:rPr>
          <w:color w:val="auto"/>
          <w:highlight w:val="none"/>
        </w:rPr>
        <w:sectPr>
          <w:pgSz w:w="11910" w:h="16840"/>
          <w:pgMar w:top="1600" w:right="841" w:bottom="1040" w:left="860" w:header="0" w:footer="856" w:gutter="0"/>
          <w:cols w:space="720" w:num="1"/>
        </w:sectPr>
      </w:pPr>
    </w:p>
    <w:p>
      <w:pPr>
        <w:pStyle w:val="10"/>
        <w:spacing w:before="98"/>
        <w:ind w:left="640"/>
        <w:rPr>
          <w:color w:val="auto"/>
          <w:highlight w:val="none"/>
        </w:rPr>
      </w:pPr>
      <w:r>
        <w:rPr>
          <w:color w:val="auto"/>
          <w:highlight w:val="none"/>
        </w:rPr>
        <w:t>一、采购内容</w:t>
      </w:r>
    </w:p>
    <w:p>
      <w:pPr>
        <w:pStyle w:val="2"/>
        <w:spacing w:before="11"/>
        <w:rPr>
          <w:color w:val="auto"/>
          <w:highlight w:val="none"/>
        </w:rPr>
      </w:pPr>
    </w:p>
    <w:p>
      <w:pPr>
        <w:pStyle w:val="10"/>
        <w:spacing w:line="456" w:lineRule="auto"/>
        <w:ind w:left="640" w:right="976" w:hanging="53"/>
        <w:rPr>
          <w:color w:val="auto"/>
          <w:highlight w:val="none"/>
        </w:rPr>
      </w:pPr>
      <w:r>
        <w:rPr>
          <w:color w:val="auto"/>
          <w:spacing w:val="-1"/>
          <w:highlight w:val="none"/>
        </w:rPr>
        <w:t>具体见响应文件格式“三、已标价的报价清单”，各潜在供应商已按照要求填报。</w:t>
      </w:r>
      <w:r>
        <w:rPr>
          <w:color w:val="auto"/>
          <w:highlight w:val="none"/>
        </w:rPr>
        <w:t>二、采购要求</w:t>
      </w:r>
    </w:p>
    <w:p>
      <w:pPr>
        <w:pStyle w:val="10"/>
        <w:spacing w:before="3" w:line="364" w:lineRule="auto"/>
        <w:ind w:right="237" w:firstLine="480"/>
        <w:jc w:val="both"/>
        <w:rPr>
          <w:color w:val="auto"/>
          <w:highlight w:val="none"/>
        </w:rPr>
      </w:pPr>
      <w:r>
        <w:rPr>
          <w:rFonts w:ascii="Times New Roman" w:eastAsia="Times New Roman"/>
          <w:color w:val="auto"/>
          <w:highlight w:val="none"/>
        </w:rPr>
        <w:t>1</w:t>
      </w:r>
      <w:r>
        <w:rPr>
          <w:color w:val="auto"/>
          <w:spacing w:val="-1"/>
          <w:highlight w:val="none"/>
        </w:rPr>
        <w:t>、供应商所供应产品应符合国家有关标准和行业主管部门现行有效规范、标准要求，同</w:t>
      </w:r>
      <w:r>
        <w:rPr>
          <w:color w:val="auto"/>
          <w:spacing w:val="-9"/>
          <w:highlight w:val="none"/>
        </w:rPr>
        <w:t>时满足采购人的现场要求。并严格按照采购清单中的仪器设备技术参数及要求等向采购人提供</w:t>
      </w:r>
      <w:r>
        <w:rPr>
          <w:color w:val="auto"/>
          <w:spacing w:val="-8"/>
          <w:highlight w:val="none"/>
        </w:rPr>
        <w:t>相应的检测仪器设备，如供货过程中发现产品实际技术参数与清单要求有差异，需提供相关产</w:t>
      </w:r>
      <w:r>
        <w:rPr>
          <w:color w:val="auto"/>
          <w:spacing w:val="-7"/>
          <w:highlight w:val="none"/>
        </w:rPr>
        <w:t>品技术参数的官方证明或报告，由采购人审核决定是否更换品牌型号，更换后的设备技术参数</w:t>
      </w:r>
      <w:r>
        <w:rPr>
          <w:color w:val="auto"/>
          <w:highlight w:val="none"/>
        </w:rPr>
        <w:t>不得低于原采购清单要求。</w:t>
      </w:r>
    </w:p>
    <w:p>
      <w:pPr>
        <w:pStyle w:val="10"/>
        <w:spacing w:before="126" w:line="364" w:lineRule="auto"/>
        <w:ind w:left="219" w:right="117" w:firstLine="480"/>
        <w:rPr>
          <w:color w:val="auto"/>
          <w:highlight w:val="none"/>
        </w:rPr>
      </w:pPr>
      <w:r>
        <w:rPr>
          <w:rFonts w:ascii="Times New Roman" w:eastAsia="Times New Roman"/>
          <w:color w:val="auto"/>
          <w:highlight w:val="none"/>
        </w:rPr>
        <w:t>2</w:t>
      </w:r>
      <w:r>
        <w:rPr>
          <w:color w:val="auto"/>
          <w:highlight w:val="none"/>
        </w:rPr>
        <w:t>、供应商应按照采购人要求的时间、地点和数量供应产品，且产品必须全新、原装、原</w:t>
      </w:r>
      <w:r>
        <w:rPr>
          <w:color w:val="auto"/>
          <w:spacing w:val="-15"/>
          <w:highlight w:val="none"/>
        </w:rPr>
        <w:t>厂。产品的运输、安装调试均由设备供应商负责。该费用应包含在合同价中，不单独进行支付。</w:t>
      </w:r>
    </w:p>
    <w:p>
      <w:pPr>
        <w:pStyle w:val="10"/>
        <w:spacing w:before="92" w:line="364" w:lineRule="auto"/>
        <w:ind w:left="219" w:right="237" w:firstLine="480"/>
        <w:rPr>
          <w:color w:val="auto"/>
          <w:highlight w:val="none"/>
        </w:rPr>
      </w:pPr>
      <w:r>
        <w:rPr>
          <w:rFonts w:ascii="Times New Roman" w:eastAsia="Times New Roman"/>
          <w:color w:val="auto"/>
          <w:highlight w:val="none"/>
        </w:rPr>
        <w:t>3</w:t>
      </w:r>
      <w:r>
        <w:rPr>
          <w:color w:val="auto"/>
          <w:highlight w:val="none"/>
        </w:rPr>
        <w:t>、所有产品需提供出厂合格证明。产品到场应货物完好，物品配件齐全。同时需提供仪器设备清单，提供仪器设备（材料、配件、附件）合格证明和检测报告、使用说明书。</w:t>
      </w:r>
    </w:p>
    <w:p>
      <w:pPr>
        <w:pStyle w:val="10"/>
        <w:spacing w:before="102"/>
        <w:ind w:left="687"/>
        <w:rPr>
          <w:color w:val="auto"/>
          <w:highlight w:val="none"/>
        </w:rPr>
      </w:pPr>
      <w:r>
        <w:rPr>
          <w:rFonts w:ascii="Times New Roman" w:eastAsia="Times New Roman"/>
          <w:color w:val="auto"/>
          <w:highlight w:val="none"/>
        </w:rPr>
        <w:t>4</w:t>
      </w:r>
      <w:r>
        <w:rPr>
          <w:color w:val="auto"/>
          <w:highlight w:val="none"/>
        </w:rPr>
        <w:t>、供应商在安装、调试过程中，因产品质量原因造成的材料设备损坏、误工等一切损失</w:t>
      </w:r>
    </w:p>
    <w:p>
      <w:pPr>
        <w:pStyle w:val="10"/>
        <w:spacing w:before="162" w:line="324" w:lineRule="auto"/>
        <w:ind w:left="207" w:right="366"/>
        <w:rPr>
          <w:color w:val="auto"/>
          <w:highlight w:val="none"/>
        </w:rPr>
      </w:pPr>
      <w:r>
        <w:rPr>
          <w:color w:val="auto"/>
          <w:highlight w:val="none"/>
        </w:rPr>
        <w:t>，由设备供应商承担责任及费用；其中搬迁现有仪器的验收标准以不发生跌损为前提，安装调试运行完好（因设备自身原因损坏的除外）。</w:t>
      </w:r>
    </w:p>
    <w:p>
      <w:pPr>
        <w:pStyle w:val="2"/>
        <w:spacing w:before="5"/>
        <w:rPr>
          <w:color w:val="auto"/>
          <w:sz w:val="19"/>
          <w:highlight w:val="none"/>
        </w:rPr>
      </w:pPr>
    </w:p>
    <w:p>
      <w:pPr>
        <w:pStyle w:val="10"/>
        <w:spacing w:line="364" w:lineRule="auto"/>
        <w:ind w:left="207" w:right="250" w:firstLine="480"/>
        <w:rPr>
          <w:color w:val="auto"/>
          <w:highlight w:val="none"/>
        </w:rPr>
      </w:pPr>
      <w:r>
        <w:rPr>
          <w:rFonts w:ascii="Times New Roman" w:eastAsia="Times New Roman"/>
          <w:color w:val="auto"/>
          <w:highlight w:val="none"/>
        </w:rPr>
        <w:t>5</w:t>
      </w:r>
      <w:r>
        <w:rPr>
          <w:color w:val="auto"/>
          <w:spacing w:val="-1"/>
          <w:highlight w:val="none"/>
        </w:rPr>
        <w:t xml:space="preserve">、供应商在安装、调试过程中，应负责对安装调试人员进行安全教育，设立警示标牌， </w:t>
      </w:r>
      <w:r>
        <w:rPr>
          <w:color w:val="auto"/>
          <w:highlight w:val="none"/>
        </w:rPr>
        <w:t>此过程中造成的人身伤害、财产损失等事项，一切责任由设备供应商负责承担和处理。</w:t>
      </w:r>
    </w:p>
    <w:p>
      <w:pPr>
        <w:pStyle w:val="10"/>
        <w:spacing w:before="171"/>
        <w:ind w:left="687"/>
        <w:rPr>
          <w:color w:val="auto"/>
          <w:highlight w:val="none"/>
        </w:rPr>
      </w:pPr>
      <w:r>
        <w:rPr>
          <w:rFonts w:ascii="Times New Roman" w:eastAsia="Times New Roman"/>
          <w:color w:val="auto"/>
          <w:highlight w:val="none"/>
        </w:rPr>
        <w:t>6</w:t>
      </w:r>
      <w:r>
        <w:rPr>
          <w:color w:val="auto"/>
          <w:highlight w:val="none"/>
        </w:rPr>
        <w:t>、试验检测仪器若检校不合格，供应商应包退或包换合格产品，并承担检校费用。</w:t>
      </w:r>
    </w:p>
    <w:p>
      <w:pPr>
        <w:pStyle w:val="10"/>
        <w:spacing w:before="158" w:line="364" w:lineRule="auto"/>
        <w:ind w:left="207" w:right="250" w:firstLine="480"/>
        <w:rPr>
          <w:color w:val="auto"/>
          <w:sz w:val="17"/>
          <w:highlight w:val="none"/>
        </w:rPr>
      </w:pPr>
      <w:r>
        <w:rPr>
          <w:rFonts w:ascii="Times New Roman" w:eastAsia="Times New Roman"/>
          <w:color w:val="auto"/>
          <w:highlight w:val="none"/>
        </w:rPr>
        <w:t>7</w:t>
      </w:r>
      <w:r>
        <w:rPr>
          <w:color w:val="auto"/>
          <w:highlight w:val="none"/>
        </w:rPr>
        <w:t>、质保期</w:t>
      </w:r>
      <w:r>
        <w:rPr>
          <w:rFonts w:hint="eastAsia"/>
          <w:color w:val="auto"/>
          <w:highlight w:val="none"/>
          <w:lang w:val="en-US"/>
        </w:rPr>
        <w:t>三</w:t>
      </w:r>
      <w:r>
        <w:rPr>
          <w:color w:val="auto"/>
          <w:highlight w:val="none"/>
        </w:rPr>
        <w:t>年。在质保期内需免费提供设备维修、更换服务，并免费提供设备使用维护咨询服务，此项费用应包含在合同价中，不单独进行支付</w:t>
      </w:r>
    </w:p>
    <w:p>
      <w:pPr>
        <w:pStyle w:val="10"/>
        <w:keepNext w:val="0"/>
        <w:keepLines w:val="0"/>
        <w:pageBreakBefore w:val="0"/>
        <w:widowControl w:val="0"/>
        <w:kinsoku/>
        <w:wordWrap/>
        <w:overflowPunct/>
        <w:topLinePunct w:val="0"/>
        <w:autoSpaceDE w:val="0"/>
        <w:autoSpaceDN w:val="0"/>
        <w:bidi w:val="0"/>
        <w:adjustRightInd/>
        <w:snapToGrid/>
        <w:spacing w:line="300" w:lineRule="auto"/>
        <w:ind w:left="686" w:right="351"/>
        <w:textAlignment w:val="auto"/>
        <w:rPr>
          <w:color w:val="auto"/>
          <w:highlight w:val="none"/>
        </w:rPr>
      </w:pPr>
      <w:r>
        <w:rPr>
          <w:rFonts w:ascii="Times New Roman" w:eastAsia="Times New Roman"/>
          <w:color w:val="auto"/>
          <w:highlight w:val="none"/>
        </w:rPr>
        <w:t>8</w:t>
      </w:r>
      <w:r>
        <w:rPr>
          <w:color w:val="auto"/>
          <w:highlight w:val="none"/>
        </w:rPr>
        <w:t>、</w:t>
      </w:r>
      <w:r>
        <w:rPr>
          <w:rFonts w:hint="eastAsia"/>
          <w:color w:val="auto"/>
          <w:highlight w:val="none"/>
        </w:rPr>
        <w:t>供应商在签订合同后</w:t>
      </w:r>
      <w:r>
        <w:rPr>
          <w:rFonts w:hint="eastAsia"/>
          <w:color w:val="auto"/>
          <w:highlight w:val="none"/>
          <w:lang w:val="en-US" w:eastAsia="zh-CN"/>
        </w:rPr>
        <w:t>10</w:t>
      </w:r>
      <w:r>
        <w:rPr>
          <w:rFonts w:hint="eastAsia"/>
          <w:color w:val="auto"/>
          <w:highlight w:val="none"/>
        </w:rPr>
        <w:t>日历天内交付货物并安装调试完成，30日历天内协助完成仪器标定工作。</w:t>
      </w:r>
    </w:p>
    <w:p>
      <w:pPr>
        <w:pStyle w:val="10"/>
        <w:spacing w:before="45" w:line="364" w:lineRule="auto"/>
        <w:ind w:left="207" w:right="130" w:firstLine="480"/>
        <w:jc w:val="both"/>
        <w:rPr>
          <w:color w:val="auto"/>
          <w:highlight w:val="none"/>
        </w:rPr>
      </w:pPr>
      <w:r>
        <w:rPr>
          <w:rFonts w:ascii="Times New Roman" w:eastAsia="Times New Roman"/>
          <w:color w:val="auto"/>
          <w:highlight w:val="none"/>
        </w:rPr>
        <w:t>9</w:t>
      </w:r>
      <w:r>
        <w:rPr>
          <w:color w:val="auto"/>
          <w:highlight w:val="none"/>
        </w:rPr>
        <w:t>、采购费用，按三次支付。设备进场安装调试并验收合格后，进行第一次支付，支付费</w:t>
      </w:r>
      <w:r>
        <w:rPr>
          <w:color w:val="auto"/>
          <w:spacing w:val="-5"/>
          <w:highlight w:val="none"/>
        </w:rPr>
        <w:t xml:space="preserve">用为本次实际设备总费用的 </w:t>
      </w:r>
      <w:r>
        <w:rPr>
          <w:rFonts w:ascii="Times New Roman" w:eastAsia="Times New Roman"/>
          <w:color w:val="auto"/>
          <w:spacing w:val="-15"/>
          <w:highlight w:val="none"/>
        </w:rPr>
        <w:t>50%</w:t>
      </w:r>
      <w:r>
        <w:rPr>
          <w:color w:val="auto"/>
          <w:spacing w:val="-7"/>
          <w:highlight w:val="none"/>
        </w:rPr>
        <w:t>；设备全部安装完成并试运行三个月无严重质量问题，支付至</w:t>
      </w:r>
      <w:r>
        <w:rPr>
          <w:color w:val="auto"/>
          <w:spacing w:val="-12"/>
          <w:highlight w:val="none"/>
        </w:rPr>
        <w:t xml:space="preserve">实际工程价款的 </w:t>
      </w:r>
      <w:r>
        <w:rPr>
          <w:rFonts w:ascii="Times New Roman" w:eastAsia="Times New Roman"/>
          <w:color w:val="auto"/>
          <w:highlight w:val="none"/>
        </w:rPr>
        <w:t>90%;</w:t>
      </w:r>
      <w:r>
        <w:rPr>
          <w:color w:val="auto"/>
          <w:highlight w:val="none"/>
        </w:rPr>
        <w:t>在项目仪器撤场时，仪器设备供应商应安排人员协助仪器的拆卸，完成</w:t>
      </w:r>
      <w:r>
        <w:rPr>
          <w:color w:val="auto"/>
          <w:spacing w:val="-5"/>
          <w:highlight w:val="none"/>
        </w:rPr>
        <w:t xml:space="preserve">后支付实际工程价款剩余的 </w:t>
      </w:r>
      <w:r>
        <w:rPr>
          <w:rFonts w:ascii="Times New Roman" w:eastAsia="Times New Roman"/>
          <w:color w:val="auto"/>
          <w:highlight w:val="none"/>
        </w:rPr>
        <w:t>10%</w:t>
      </w:r>
      <w:r>
        <w:rPr>
          <w:color w:val="auto"/>
          <w:spacing w:val="-8"/>
          <w:highlight w:val="none"/>
        </w:rPr>
        <w:t xml:space="preserve">费用。办理工程结算时，乙方须提供 </w:t>
      </w:r>
      <w:r>
        <w:rPr>
          <w:rFonts w:ascii="Times New Roman" w:eastAsia="Times New Roman"/>
          <w:color w:val="auto"/>
          <w:highlight w:val="none"/>
        </w:rPr>
        <w:t>13%</w:t>
      </w:r>
      <w:r>
        <w:rPr>
          <w:color w:val="auto"/>
          <w:spacing w:val="-2"/>
          <w:highlight w:val="none"/>
        </w:rPr>
        <w:t>的增值税专用发票。</w:t>
      </w:r>
    </w:p>
    <w:p>
      <w:pPr>
        <w:spacing w:line="364" w:lineRule="auto"/>
        <w:jc w:val="both"/>
        <w:rPr>
          <w:color w:val="auto"/>
          <w:highlight w:val="none"/>
        </w:rPr>
        <w:sectPr>
          <w:pgSz w:w="11910" w:h="16840"/>
          <w:pgMar w:top="1600" w:right="841" w:bottom="1040" w:left="860" w:header="0" w:footer="856" w:gutter="0"/>
          <w:cols w:space="720" w:num="1"/>
        </w:sectPr>
      </w:pPr>
    </w:p>
    <w:p>
      <w:pPr>
        <w:pStyle w:val="2"/>
        <w:rPr>
          <w:color w:val="auto"/>
          <w:sz w:val="20"/>
          <w:highlight w:val="none"/>
        </w:rPr>
      </w:pPr>
    </w:p>
    <w:p>
      <w:pPr>
        <w:pStyle w:val="2"/>
        <w:rPr>
          <w:color w:val="auto"/>
          <w:sz w:val="20"/>
          <w:highlight w:val="none"/>
        </w:rPr>
      </w:pPr>
    </w:p>
    <w:p>
      <w:pPr>
        <w:pStyle w:val="2"/>
        <w:rPr>
          <w:color w:val="auto"/>
          <w:sz w:val="20"/>
          <w:highlight w:val="none"/>
        </w:rPr>
      </w:pPr>
    </w:p>
    <w:p>
      <w:pPr>
        <w:pStyle w:val="2"/>
        <w:rPr>
          <w:color w:val="auto"/>
          <w:sz w:val="20"/>
          <w:highlight w:val="none"/>
        </w:rPr>
      </w:pPr>
    </w:p>
    <w:p>
      <w:pPr>
        <w:pStyle w:val="2"/>
        <w:rPr>
          <w:color w:val="auto"/>
          <w:sz w:val="20"/>
          <w:highlight w:val="none"/>
        </w:rPr>
      </w:pPr>
    </w:p>
    <w:p>
      <w:pPr>
        <w:pStyle w:val="2"/>
        <w:rPr>
          <w:color w:val="auto"/>
          <w:sz w:val="20"/>
          <w:highlight w:val="none"/>
        </w:rPr>
      </w:pPr>
    </w:p>
    <w:p>
      <w:pPr>
        <w:pStyle w:val="2"/>
        <w:rPr>
          <w:color w:val="auto"/>
          <w:sz w:val="20"/>
          <w:highlight w:val="none"/>
        </w:rPr>
      </w:pPr>
    </w:p>
    <w:p>
      <w:pPr>
        <w:pStyle w:val="2"/>
        <w:rPr>
          <w:color w:val="auto"/>
          <w:sz w:val="20"/>
          <w:highlight w:val="none"/>
        </w:rPr>
      </w:pPr>
    </w:p>
    <w:p>
      <w:pPr>
        <w:pStyle w:val="2"/>
        <w:rPr>
          <w:color w:val="auto"/>
          <w:sz w:val="20"/>
          <w:highlight w:val="none"/>
        </w:rPr>
      </w:pPr>
    </w:p>
    <w:p>
      <w:pPr>
        <w:pStyle w:val="2"/>
        <w:rPr>
          <w:color w:val="auto"/>
          <w:sz w:val="20"/>
          <w:highlight w:val="none"/>
        </w:rPr>
      </w:pPr>
    </w:p>
    <w:p>
      <w:pPr>
        <w:pStyle w:val="2"/>
        <w:rPr>
          <w:color w:val="auto"/>
          <w:sz w:val="20"/>
          <w:highlight w:val="none"/>
        </w:rPr>
      </w:pPr>
    </w:p>
    <w:p>
      <w:pPr>
        <w:pStyle w:val="2"/>
        <w:rPr>
          <w:color w:val="auto"/>
          <w:sz w:val="20"/>
          <w:highlight w:val="none"/>
        </w:rPr>
      </w:pPr>
    </w:p>
    <w:p>
      <w:pPr>
        <w:pStyle w:val="2"/>
        <w:rPr>
          <w:color w:val="auto"/>
          <w:sz w:val="20"/>
          <w:highlight w:val="none"/>
        </w:rPr>
      </w:pPr>
    </w:p>
    <w:p>
      <w:pPr>
        <w:pStyle w:val="2"/>
        <w:rPr>
          <w:color w:val="auto"/>
          <w:sz w:val="20"/>
          <w:highlight w:val="none"/>
        </w:rPr>
      </w:pPr>
    </w:p>
    <w:p>
      <w:pPr>
        <w:pStyle w:val="2"/>
        <w:rPr>
          <w:color w:val="auto"/>
          <w:sz w:val="20"/>
          <w:highlight w:val="none"/>
        </w:rPr>
      </w:pPr>
    </w:p>
    <w:p>
      <w:pPr>
        <w:pStyle w:val="2"/>
        <w:rPr>
          <w:color w:val="auto"/>
          <w:sz w:val="20"/>
          <w:highlight w:val="none"/>
        </w:rPr>
      </w:pPr>
    </w:p>
    <w:p>
      <w:pPr>
        <w:pStyle w:val="2"/>
        <w:rPr>
          <w:color w:val="auto"/>
          <w:sz w:val="20"/>
          <w:highlight w:val="none"/>
        </w:rPr>
      </w:pPr>
    </w:p>
    <w:p>
      <w:pPr>
        <w:pStyle w:val="2"/>
        <w:spacing w:before="9"/>
        <w:rPr>
          <w:color w:val="auto"/>
          <w:sz w:val="27"/>
          <w:highlight w:val="none"/>
        </w:rPr>
      </w:pPr>
    </w:p>
    <w:p>
      <w:pPr>
        <w:spacing w:before="49"/>
        <w:ind w:left="272" w:right="292"/>
        <w:jc w:val="center"/>
        <w:rPr>
          <w:rFonts w:ascii="宋体" w:eastAsia="宋体"/>
          <w:b/>
          <w:color w:val="auto"/>
          <w:sz w:val="36"/>
          <w:highlight w:val="none"/>
        </w:rPr>
      </w:pPr>
      <w:bookmarkStart w:id="5" w:name="_TOC_250000"/>
      <w:bookmarkEnd w:id="5"/>
      <w:r>
        <w:rPr>
          <w:rFonts w:hint="eastAsia" w:ascii="宋体" w:eastAsia="宋体"/>
          <w:b/>
          <w:color w:val="auto"/>
          <w:sz w:val="36"/>
          <w:highlight w:val="none"/>
        </w:rPr>
        <w:t>第六章 响应文件格式</w:t>
      </w:r>
    </w:p>
    <w:p>
      <w:pPr>
        <w:jc w:val="center"/>
        <w:rPr>
          <w:rFonts w:ascii="宋体" w:eastAsia="宋体"/>
          <w:color w:val="auto"/>
          <w:sz w:val="36"/>
          <w:highlight w:val="none"/>
        </w:rPr>
        <w:sectPr>
          <w:footerReference r:id="rId8" w:type="default"/>
          <w:pgSz w:w="11910" w:h="16840"/>
          <w:pgMar w:top="1580" w:right="840" w:bottom="1180" w:left="860" w:header="0" w:footer="998" w:gutter="0"/>
          <w:pgNumType w:start="26"/>
          <w:cols w:space="720" w:num="1"/>
        </w:sectPr>
      </w:pPr>
    </w:p>
    <w:p>
      <w:pPr>
        <w:spacing w:before="50"/>
        <w:ind w:right="240"/>
        <w:jc w:val="right"/>
        <w:rPr>
          <w:rFonts w:ascii="宋体" w:eastAsia="宋体"/>
          <w:b/>
          <w:color w:val="auto"/>
          <w:sz w:val="32"/>
          <w:highlight w:val="none"/>
        </w:rPr>
      </w:pPr>
      <w:r>
        <w:rPr>
          <w:rFonts w:hint="eastAsia" w:ascii="宋体" w:eastAsia="宋体"/>
          <w:b/>
          <w:color w:val="auto"/>
          <w:w w:val="95"/>
          <w:sz w:val="32"/>
          <w:highlight w:val="none"/>
        </w:rPr>
        <w:t>正本</w:t>
      </w:r>
      <w:r>
        <w:rPr>
          <w:rFonts w:ascii="Times New Roman" w:eastAsia="Times New Roman"/>
          <w:b/>
          <w:color w:val="auto"/>
          <w:w w:val="95"/>
          <w:sz w:val="32"/>
          <w:highlight w:val="none"/>
        </w:rPr>
        <w:t>/</w:t>
      </w:r>
      <w:r>
        <w:rPr>
          <w:rFonts w:hint="eastAsia" w:ascii="宋体" w:eastAsia="宋体"/>
          <w:b/>
          <w:color w:val="auto"/>
          <w:w w:val="95"/>
          <w:sz w:val="32"/>
          <w:highlight w:val="none"/>
        </w:rPr>
        <w:t>副本</w:t>
      </w:r>
    </w:p>
    <w:p>
      <w:pPr>
        <w:pStyle w:val="2"/>
        <w:rPr>
          <w:b/>
          <w:color w:val="auto"/>
          <w:sz w:val="34"/>
          <w:highlight w:val="none"/>
        </w:rPr>
      </w:pPr>
    </w:p>
    <w:p>
      <w:pPr>
        <w:pStyle w:val="2"/>
        <w:rPr>
          <w:b/>
          <w:color w:val="auto"/>
          <w:sz w:val="34"/>
          <w:highlight w:val="none"/>
        </w:rPr>
      </w:pPr>
    </w:p>
    <w:p>
      <w:pPr>
        <w:pStyle w:val="2"/>
        <w:rPr>
          <w:b/>
          <w:color w:val="auto"/>
          <w:sz w:val="34"/>
          <w:highlight w:val="none"/>
        </w:rPr>
      </w:pPr>
    </w:p>
    <w:p>
      <w:pPr>
        <w:pStyle w:val="2"/>
        <w:spacing w:before="2"/>
        <w:rPr>
          <w:b/>
          <w:color w:val="auto"/>
          <w:sz w:val="27"/>
          <w:highlight w:val="none"/>
        </w:rPr>
      </w:pPr>
    </w:p>
    <w:p>
      <w:pPr>
        <w:spacing w:before="1" w:line="292" w:lineRule="auto"/>
        <w:ind w:left="272" w:right="296"/>
        <w:jc w:val="center"/>
        <w:rPr>
          <w:rFonts w:ascii="宋体" w:eastAsia="宋体"/>
          <w:b/>
          <w:color w:val="auto"/>
          <w:sz w:val="40"/>
          <w:highlight w:val="none"/>
          <w:lang w:val="en-US"/>
        </w:rPr>
      </w:pPr>
      <w:r>
        <w:rPr>
          <w:rFonts w:hint="eastAsia" w:ascii="宋体" w:eastAsia="宋体"/>
          <w:b/>
          <w:color w:val="auto"/>
          <w:sz w:val="40"/>
          <w:highlight w:val="none"/>
          <w:lang w:val="en-US"/>
        </w:rPr>
        <w:t>五河至蒙城高速公路中心试验室</w:t>
      </w:r>
    </w:p>
    <w:p>
      <w:pPr>
        <w:spacing w:before="1" w:line="292" w:lineRule="auto"/>
        <w:ind w:left="272" w:right="296"/>
        <w:jc w:val="center"/>
        <w:rPr>
          <w:rFonts w:hint="default" w:ascii="宋体" w:eastAsia="宋体"/>
          <w:b/>
          <w:color w:val="auto"/>
          <w:sz w:val="40"/>
          <w:highlight w:val="none"/>
          <w:lang w:val="en-US" w:eastAsia="zh-CN"/>
        </w:rPr>
      </w:pPr>
      <w:r>
        <w:rPr>
          <w:rFonts w:hint="eastAsia" w:ascii="宋体" w:eastAsia="宋体"/>
          <w:b/>
          <w:color w:val="auto"/>
          <w:sz w:val="40"/>
          <w:highlight w:val="none"/>
          <w:lang w:val="en-US"/>
        </w:rPr>
        <w:t>路基仪器设备采购</w:t>
      </w:r>
      <w:r>
        <w:rPr>
          <w:rFonts w:hint="eastAsia" w:ascii="宋体" w:eastAsia="宋体"/>
          <w:b/>
          <w:color w:val="auto"/>
          <w:sz w:val="40"/>
          <w:highlight w:val="none"/>
          <w:lang w:val="en-US" w:eastAsia="zh-CN"/>
        </w:rPr>
        <w:t>（二次）</w:t>
      </w:r>
      <w:bookmarkStart w:id="7" w:name="_GoBack"/>
      <w:bookmarkEnd w:id="7"/>
    </w:p>
    <w:p>
      <w:pPr>
        <w:pStyle w:val="2"/>
        <w:rPr>
          <w:b/>
          <w:color w:val="auto"/>
          <w:sz w:val="40"/>
          <w:highlight w:val="none"/>
        </w:rPr>
      </w:pPr>
    </w:p>
    <w:p>
      <w:pPr>
        <w:pStyle w:val="2"/>
        <w:rPr>
          <w:b/>
          <w:color w:val="auto"/>
          <w:sz w:val="40"/>
          <w:highlight w:val="none"/>
        </w:rPr>
      </w:pPr>
    </w:p>
    <w:p>
      <w:pPr>
        <w:pStyle w:val="2"/>
        <w:rPr>
          <w:b/>
          <w:color w:val="auto"/>
          <w:sz w:val="40"/>
          <w:highlight w:val="none"/>
        </w:rPr>
      </w:pPr>
    </w:p>
    <w:p>
      <w:pPr>
        <w:pStyle w:val="2"/>
        <w:rPr>
          <w:b/>
          <w:color w:val="auto"/>
          <w:sz w:val="40"/>
          <w:highlight w:val="none"/>
        </w:rPr>
      </w:pPr>
    </w:p>
    <w:p>
      <w:pPr>
        <w:pStyle w:val="2"/>
        <w:spacing w:before="6"/>
        <w:rPr>
          <w:b/>
          <w:color w:val="auto"/>
          <w:sz w:val="51"/>
          <w:highlight w:val="none"/>
        </w:rPr>
      </w:pPr>
    </w:p>
    <w:p>
      <w:pPr>
        <w:tabs>
          <w:tab w:val="left" w:pos="1043"/>
          <w:tab w:val="left" w:pos="2085"/>
          <w:tab w:val="left" w:pos="3127"/>
        </w:tabs>
        <w:ind w:right="19"/>
        <w:jc w:val="center"/>
        <w:rPr>
          <w:rFonts w:ascii="宋体" w:eastAsia="宋体"/>
          <w:b/>
          <w:color w:val="auto"/>
          <w:sz w:val="52"/>
          <w:highlight w:val="none"/>
        </w:rPr>
      </w:pPr>
      <w:r>
        <w:rPr>
          <w:rFonts w:hint="eastAsia" w:ascii="宋体" w:eastAsia="宋体"/>
          <w:b/>
          <w:color w:val="auto"/>
          <w:sz w:val="52"/>
          <w:highlight w:val="none"/>
        </w:rPr>
        <w:t>响</w:t>
      </w:r>
      <w:r>
        <w:rPr>
          <w:rFonts w:hint="eastAsia" w:ascii="宋体" w:eastAsia="宋体"/>
          <w:b/>
          <w:color w:val="auto"/>
          <w:sz w:val="52"/>
          <w:highlight w:val="none"/>
        </w:rPr>
        <w:tab/>
      </w:r>
      <w:r>
        <w:rPr>
          <w:rFonts w:hint="eastAsia" w:ascii="宋体" w:eastAsia="宋体"/>
          <w:b/>
          <w:color w:val="auto"/>
          <w:sz w:val="52"/>
          <w:highlight w:val="none"/>
        </w:rPr>
        <w:t>应</w:t>
      </w:r>
      <w:r>
        <w:rPr>
          <w:rFonts w:hint="eastAsia" w:ascii="宋体" w:eastAsia="宋体"/>
          <w:b/>
          <w:color w:val="auto"/>
          <w:sz w:val="52"/>
          <w:highlight w:val="none"/>
        </w:rPr>
        <w:tab/>
      </w:r>
      <w:r>
        <w:rPr>
          <w:rFonts w:hint="eastAsia" w:ascii="宋体" w:eastAsia="宋体"/>
          <w:b/>
          <w:color w:val="auto"/>
          <w:sz w:val="52"/>
          <w:highlight w:val="none"/>
        </w:rPr>
        <w:t>文</w:t>
      </w:r>
      <w:r>
        <w:rPr>
          <w:rFonts w:hint="eastAsia" w:ascii="宋体" w:eastAsia="宋体"/>
          <w:b/>
          <w:color w:val="auto"/>
          <w:sz w:val="52"/>
          <w:highlight w:val="none"/>
        </w:rPr>
        <w:tab/>
      </w:r>
      <w:r>
        <w:rPr>
          <w:rFonts w:hint="eastAsia" w:ascii="宋体" w:eastAsia="宋体"/>
          <w:b/>
          <w:color w:val="auto"/>
          <w:sz w:val="52"/>
          <w:highlight w:val="none"/>
        </w:rPr>
        <w:t>件</w:t>
      </w:r>
    </w:p>
    <w:p>
      <w:pPr>
        <w:pStyle w:val="2"/>
        <w:rPr>
          <w:b/>
          <w:color w:val="auto"/>
          <w:sz w:val="52"/>
          <w:highlight w:val="none"/>
        </w:rPr>
      </w:pPr>
    </w:p>
    <w:p>
      <w:pPr>
        <w:pStyle w:val="2"/>
        <w:rPr>
          <w:b/>
          <w:color w:val="auto"/>
          <w:sz w:val="52"/>
          <w:highlight w:val="none"/>
        </w:rPr>
      </w:pPr>
    </w:p>
    <w:p>
      <w:pPr>
        <w:pStyle w:val="2"/>
        <w:rPr>
          <w:b/>
          <w:color w:val="auto"/>
          <w:sz w:val="52"/>
          <w:highlight w:val="none"/>
        </w:rPr>
      </w:pPr>
    </w:p>
    <w:p>
      <w:pPr>
        <w:pStyle w:val="2"/>
        <w:rPr>
          <w:b/>
          <w:color w:val="auto"/>
          <w:sz w:val="52"/>
          <w:highlight w:val="none"/>
        </w:rPr>
      </w:pPr>
    </w:p>
    <w:p>
      <w:pPr>
        <w:pStyle w:val="2"/>
        <w:rPr>
          <w:b/>
          <w:color w:val="auto"/>
          <w:sz w:val="52"/>
          <w:highlight w:val="none"/>
        </w:rPr>
      </w:pPr>
    </w:p>
    <w:p>
      <w:pPr>
        <w:pStyle w:val="2"/>
        <w:spacing w:before="1"/>
        <w:rPr>
          <w:b/>
          <w:color w:val="auto"/>
          <w:sz w:val="70"/>
          <w:highlight w:val="none"/>
        </w:rPr>
      </w:pPr>
    </w:p>
    <w:p>
      <w:pPr>
        <w:pStyle w:val="8"/>
        <w:tabs>
          <w:tab w:val="left" w:pos="2800"/>
        </w:tabs>
        <w:ind w:left="0" w:right="17" w:firstLine="0"/>
        <w:jc w:val="center"/>
        <w:rPr>
          <w:rFonts w:ascii="Times New Roman" w:eastAsia="Times New Roman"/>
          <w:color w:val="auto"/>
          <w:highlight w:val="none"/>
        </w:rPr>
      </w:pPr>
      <w:r>
        <w:rPr>
          <w:color w:val="auto"/>
          <w:highlight w:val="none"/>
        </w:rPr>
        <w:t>供</w:t>
      </w:r>
      <w:r>
        <w:rPr>
          <w:color w:val="auto"/>
          <w:spacing w:val="-3"/>
          <w:highlight w:val="none"/>
        </w:rPr>
        <w:t>应</w:t>
      </w:r>
      <w:r>
        <w:rPr>
          <w:color w:val="auto"/>
          <w:highlight w:val="none"/>
        </w:rPr>
        <w:t>商：</w:t>
      </w:r>
      <w:r>
        <w:rPr>
          <w:color w:val="auto"/>
          <w:highlight w:val="none"/>
          <w:u w:val="single"/>
        </w:rPr>
        <w:tab/>
      </w:r>
      <w:r>
        <w:rPr>
          <w:rFonts w:ascii="Times New Roman" w:eastAsia="Times New Roman"/>
          <w:color w:val="auto"/>
          <w:spacing w:val="-3"/>
          <w:highlight w:val="none"/>
          <w:u w:val="single"/>
        </w:rPr>
        <w:t>(</w:t>
      </w:r>
      <w:r>
        <w:rPr>
          <w:color w:val="auto"/>
          <w:spacing w:val="-1"/>
          <w:highlight w:val="none"/>
          <w:u w:val="single"/>
        </w:rPr>
        <w:t>全</w:t>
      </w:r>
      <w:r>
        <w:rPr>
          <w:color w:val="auto"/>
          <w:spacing w:val="-3"/>
          <w:highlight w:val="none"/>
          <w:u w:val="single"/>
        </w:rPr>
        <w:t>称</w:t>
      </w:r>
      <w:r>
        <w:rPr>
          <w:color w:val="auto"/>
          <w:spacing w:val="-1"/>
          <w:highlight w:val="none"/>
          <w:u w:val="single"/>
        </w:rPr>
        <w:t>、盖</w:t>
      </w:r>
      <w:r>
        <w:rPr>
          <w:color w:val="auto"/>
          <w:spacing w:val="-3"/>
          <w:highlight w:val="none"/>
          <w:u w:val="single"/>
        </w:rPr>
        <w:t>单</w:t>
      </w:r>
      <w:r>
        <w:rPr>
          <w:color w:val="auto"/>
          <w:spacing w:val="-1"/>
          <w:highlight w:val="none"/>
          <w:u w:val="single"/>
        </w:rPr>
        <w:t>位章</w:t>
      </w:r>
      <w:r>
        <w:rPr>
          <w:rFonts w:ascii="Times New Roman" w:eastAsia="Times New Roman"/>
          <w:color w:val="auto"/>
          <w:highlight w:val="none"/>
          <w:u w:val="single"/>
        </w:rPr>
        <w:t>)</w:t>
      </w:r>
    </w:p>
    <w:p>
      <w:pPr>
        <w:pStyle w:val="2"/>
        <w:rPr>
          <w:rFonts w:ascii="Times New Roman"/>
          <w:color w:val="auto"/>
          <w:sz w:val="20"/>
          <w:highlight w:val="none"/>
        </w:rPr>
      </w:pPr>
    </w:p>
    <w:p>
      <w:pPr>
        <w:pStyle w:val="2"/>
        <w:rPr>
          <w:rFonts w:ascii="Times New Roman"/>
          <w:color w:val="auto"/>
          <w:sz w:val="20"/>
          <w:highlight w:val="none"/>
        </w:rPr>
      </w:pPr>
    </w:p>
    <w:p>
      <w:pPr>
        <w:pStyle w:val="8"/>
        <w:tabs>
          <w:tab w:val="left" w:pos="1679"/>
          <w:tab w:val="left" w:pos="3079"/>
          <w:tab w:val="left" w:pos="4619"/>
        </w:tabs>
        <w:spacing w:before="245"/>
        <w:ind w:left="0" w:right="16" w:firstLine="0"/>
        <w:jc w:val="center"/>
        <w:rPr>
          <w:color w:val="auto"/>
          <w:highlight w:val="none"/>
        </w:rPr>
      </w:pPr>
      <w:r>
        <w:rPr>
          <w:rFonts w:ascii="Times New Roman" w:eastAsia="Times New Roman"/>
          <w:color w:val="auto"/>
          <w:highlight w:val="none"/>
          <w:u w:val="single"/>
        </w:rPr>
        <w:tab/>
      </w:r>
      <w:r>
        <w:rPr>
          <w:color w:val="auto"/>
          <w:spacing w:val="-3"/>
          <w:highlight w:val="none"/>
        </w:rPr>
        <w:t>年</w:t>
      </w:r>
      <w:r>
        <w:rPr>
          <w:color w:val="auto"/>
          <w:spacing w:val="-3"/>
          <w:highlight w:val="none"/>
          <w:u w:val="single"/>
        </w:rPr>
        <w:tab/>
      </w:r>
      <w:r>
        <w:rPr>
          <w:color w:val="auto"/>
          <w:highlight w:val="none"/>
        </w:rPr>
        <w:t>月</w:t>
      </w:r>
      <w:r>
        <w:rPr>
          <w:color w:val="auto"/>
          <w:highlight w:val="none"/>
          <w:u w:val="single"/>
        </w:rPr>
        <w:tab/>
      </w:r>
      <w:r>
        <w:rPr>
          <w:color w:val="auto"/>
          <w:highlight w:val="none"/>
        </w:rPr>
        <w:t>日</w:t>
      </w:r>
    </w:p>
    <w:p>
      <w:pPr>
        <w:rPr>
          <w:color w:val="auto"/>
          <w:sz w:val="30"/>
          <w:highlight w:val="none"/>
        </w:rPr>
      </w:pPr>
    </w:p>
    <w:p>
      <w:pPr>
        <w:rPr>
          <w:color w:val="auto"/>
          <w:sz w:val="30"/>
          <w:highlight w:val="none"/>
        </w:rPr>
      </w:pPr>
    </w:p>
    <w:p>
      <w:pPr>
        <w:spacing w:before="9"/>
        <w:rPr>
          <w:color w:val="auto"/>
          <w:sz w:val="24"/>
          <w:highlight w:val="none"/>
        </w:rPr>
      </w:pPr>
    </w:p>
    <w:p>
      <w:pPr>
        <w:pStyle w:val="8"/>
        <w:tabs>
          <w:tab w:val="left" w:pos="979"/>
        </w:tabs>
        <w:spacing w:before="1"/>
        <w:ind w:left="0" w:right="17" w:firstLine="0"/>
        <w:jc w:val="center"/>
        <w:rPr>
          <w:color w:val="auto"/>
          <w:highlight w:val="none"/>
        </w:rPr>
      </w:pPr>
      <w:r>
        <w:rPr>
          <w:color w:val="auto"/>
          <w:highlight w:val="none"/>
        </w:rPr>
        <w:t>目</w:t>
      </w:r>
      <w:r>
        <w:rPr>
          <w:color w:val="auto"/>
          <w:highlight w:val="none"/>
        </w:rPr>
        <w:tab/>
      </w:r>
      <w:r>
        <w:rPr>
          <w:color w:val="auto"/>
          <w:highlight w:val="none"/>
        </w:rPr>
        <w:t>录</w:t>
      </w:r>
    </w:p>
    <w:p>
      <w:pPr>
        <w:jc w:val="center"/>
        <w:rPr>
          <w:color w:val="auto"/>
          <w:highlight w:val="none"/>
        </w:rPr>
        <w:sectPr>
          <w:pgSz w:w="11910" w:h="16840"/>
          <w:pgMar w:top="1480" w:right="840" w:bottom="1180" w:left="860" w:header="0" w:footer="998" w:gutter="0"/>
          <w:cols w:space="720" w:num="1"/>
        </w:sectPr>
      </w:pPr>
    </w:p>
    <w:p>
      <w:pPr>
        <w:spacing w:before="8"/>
        <w:rPr>
          <w:color w:val="auto"/>
          <w:sz w:val="25"/>
          <w:highlight w:val="none"/>
        </w:rPr>
      </w:pPr>
    </w:p>
    <w:p>
      <w:pPr>
        <w:pStyle w:val="10"/>
        <w:spacing w:before="66"/>
        <w:rPr>
          <w:rFonts w:ascii="黑体" w:eastAsia="黑体"/>
          <w:color w:val="auto"/>
          <w:highlight w:val="none"/>
        </w:rPr>
      </w:pPr>
      <w:r>
        <w:rPr>
          <w:rFonts w:hint="eastAsia" w:ascii="黑体" w:eastAsia="黑体"/>
          <w:color w:val="auto"/>
          <w:highlight w:val="none"/>
        </w:rPr>
        <w:t>一、报价函</w:t>
      </w:r>
    </w:p>
    <w:p>
      <w:pPr>
        <w:pStyle w:val="10"/>
        <w:spacing w:before="132" w:line="345" w:lineRule="auto"/>
        <w:ind w:right="5905"/>
        <w:rPr>
          <w:rFonts w:ascii="黑体" w:eastAsia="黑体"/>
          <w:color w:val="auto"/>
          <w:highlight w:val="none"/>
        </w:rPr>
      </w:pPr>
      <w:r>
        <w:rPr>
          <w:rFonts w:hint="eastAsia" w:ascii="黑体" w:eastAsia="黑体"/>
          <w:color w:val="auto"/>
          <w:highlight w:val="none"/>
        </w:rPr>
        <w:t>二、法定代表人身份证明及授权委托书三、已标价的报价清单</w:t>
      </w:r>
    </w:p>
    <w:p>
      <w:pPr>
        <w:pStyle w:val="10"/>
        <w:spacing w:line="343" w:lineRule="auto"/>
        <w:ind w:right="7585"/>
        <w:rPr>
          <w:rFonts w:ascii="黑体" w:eastAsia="黑体"/>
          <w:color w:val="auto"/>
          <w:highlight w:val="none"/>
        </w:rPr>
      </w:pPr>
      <w:r>
        <w:rPr>
          <w:rFonts w:hint="eastAsia" w:ascii="黑体" w:eastAsia="黑体"/>
          <w:color w:val="auto"/>
          <w:highlight w:val="none"/>
        </w:rPr>
        <w:t xml:space="preserve">四、供应商基本情况 </w:t>
      </w:r>
      <w:r>
        <w:rPr>
          <w:rFonts w:hint="eastAsia" w:ascii="黑体" w:eastAsia="黑体"/>
          <w:color w:val="auto"/>
          <w:spacing w:val="-2"/>
          <w:highlight w:val="none"/>
        </w:rPr>
        <w:t>五、近年类似业绩情况</w:t>
      </w:r>
      <w:r>
        <w:rPr>
          <w:rFonts w:hint="eastAsia" w:ascii="黑体" w:eastAsia="黑体"/>
          <w:color w:val="auto"/>
          <w:highlight w:val="none"/>
        </w:rPr>
        <w:t>六、信誉情况</w:t>
      </w:r>
    </w:p>
    <w:p>
      <w:pPr>
        <w:pStyle w:val="10"/>
        <w:rPr>
          <w:rFonts w:ascii="黑体" w:eastAsia="黑体"/>
          <w:color w:val="auto"/>
          <w:highlight w:val="none"/>
        </w:rPr>
      </w:pPr>
      <w:r>
        <w:rPr>
          <w:rFonts w:hint="eastAsia" w:ascii="黑体" w:eastAsia="黑体"/>
          <w:color w:val="auto"/>
          <w:highlight w:val="none"/>
        </w:rPr>
        <w:t>七、其他材料</w:t>
      </w:r>
    </w:p>
    <w:p>
      <w:pPr>
        <w:pStyle w:val="11"/>
        <w:bidi w:val="0"/>
        <w:sectPr>
          <w:pgSz w:w="11910" w:h="16840"/>
          <w:pgMar w:top="1580" w:right="840" w:bottom="1180" w:left="860" w:header="0" w:footer="998" w:gutter="0"/>
          <w:cols w:space="720" w:num="1"/>
        </w:sectPr>
      </w:pPr>
    </w:p>
    <w:p>
      <w:pPr>
        <w:pStyle w:val="8"/>
        <w:spacing w:before="35"/>
        <w:ind w:left="272" w:right="287" w:firstLine="0"/>
        <w:jc w:val="center"/>
        <w:rPr>
          <w:color w:val="auto"/>
          <w:highlight w:val="none"/>
        </w:rPr>
      </w:pPr>
      <w:r>
        <w:rPr>
          <w:color w:val="auto"/>
          <w:highlight w:val="none"/>
        </w:rPr>
        <w:t>一、报价函</w:t>
      </w:r>
    </w:p>
    <w:p>
      <w:pPr>
        <w:rPr>
          <w:color w:val="auto"/>
          <w:sz w:val="20"/>
          <w:highlight w:val="none"/>
        </w:rPr>
      </w:pPr>
    </w:p>
    <w:p>
      <w:pPr>
        <w:spacing w:before="12"/>
        <w:rPr>
          <w:color w:val="auto"/>
          <w:sz w:val="17"/>
          <w:highlight w:val="none"/>
        </w:rPr>
      </w:pPr>
    </w:p>
    <w:p>
      <w:pPr>
        <w:pStyle w:val="10"/>
        <w:tabs>
          <w:tab w:val="left" w:pos="3099"/>
        </w:tabs>
        <w:spacing w:before="74"/>
        <w:rPr>
          <w:color w:val="auto"/>
          <w:highlight w:val="none"/>
        </w:rPr>
      </w:pPr>
      <w:r>
        <w:rPr>
          <w:rFonts w:ascii="Times New Roman" w:eastAsia="Times New Roman"/>
          <w:color w:val="auto"/>
          <w:highlight w:val="none"/>
          <w:u w:val="single"/>
        </w:rPr>
        <w:tab/>
      </w:r>
      <w:r>
        <w:rPr>
          <w:rFonts w:ascii="Times New Roman" w:eastAsia="Times New Roman"/>
          <w:color w:val="auto"/>
          <w:highlight w:val="none"/>
        </w:rPr>
        <w:t>(</w:t>
      </w:r>
      <w:r>
        <w:rPr>
          <w:color w:val="auto"/>
          <w:highlight w:val="none"/>
        </w:rPr>
        <w:t>采购人名称</w:t>
      </w:r>
      <w:r>
        <w:rPr>
          <w:rFonts w:ascii="Times New Roman" w:eastAsia="Times New Roman"/>
          <w:color w:val="auto"/>
          <w:highlight w:val="none"/>
        </w:rPr>
        <w:t>)</w:t>
      </w:r>
      <w:r>
        <w:rPr>
          <w:color w:val="auto"/>
          <w:highlight w:val="none"/>
        </w:rPr>
        <w:t>：</w:t>
      </w:r>
    </w:p>
    <w:p>
      <w:pPr>
        <w:pStyle w:val="2"/>
        <w:rPr>
          <w:color w:val="auto"/>
          <w:sz w:val="26"/>
          <w:highlight w:val="none"/>
        </w:rPr>
      </w:pPr>
    </w:p>
    <w:p>
      <w:pPr>
        <w:pStyle w:val="10"/>
        <w:numPr>
          <w:ilvl w:val="0"/>
          <w:numId w:val="15"/>
        </w:numPr>
        <w:tabs>
          <w:tab w:val="left" w:pos="1061"/>
          <w:tab w:val="left" w:pos="2979"/>
          <w:tab w:val="left" w:pos="3243"/>
          <w:tab w:val="left" w:pos="3692"/>
          <w:tab w:val="left" w:pos="5499"/>
          <w:tab w:val="left" w:pos="6589"/>
        </w:tabs>
        <w:spacing w:before="168" w:line="312" w:lineRule="auto"/>
        <w:ind w:right="237" w:firstLine="480"/>
        <w:jc w:val="both"/>
        <w:rPr>
          <w:color w:val="auto"/>
          <w:highlight w:val="none"/>
        </w:rPr>
      </w:pPr>
      <w:r>
        <w:rPr>
          <w:color w:val="auto"/>
          <w:highlight w:val="none"/>
        </w:rPr>
        <w:t>我方已仔细研究了</w:t>
      </w:r>
      <w:r>
        <w:rPr>
          <w:color w:val="auto"/>
          <w:highlight w:val="none"/>
          <w:u w:val="single"/>
        </w:rPr>
        <w:tab/>
      </w:r>
      <w:r>
        <w:rPr>
          <w:color w:val="auto"/>
          <w:highlight w:val="none"/>
          <w:u w:val="single"/>
        </w:rPr>
        <w:tab/>
      </w:r>
      <w:r>
        <w:rPr>
          <w:rFonts w:ascii="Times New Roman" w:hAnsi="Times New Roman" w:eastAsia="Times New Roman"/>
          <w:color w:val="auto"/>
          <w:highlight w:val="none"/>
        </w:rPr>
        <w:t>(</w:t>
      </w:r>
      <w:r>
        <w:rPr>
          <w:color w:val="auto"/>
          <w:highlight w:val="none"/>
        </w:rPr>
        <w:t>项目名称</w:t>
      </w:r>
      <w:r>
        <w:rPr>
          <w:rFonts w:ascii="Times New Roman" w:hAnsi="Times New Roman" w:eastAsia="Times New Roman"/>
          <w:color w:val="auto"/>
          <w:highlight w:val="none"/>
        </w:rPr>
        <w:t>)</w:t>
      </w:r>
      <w:r>
        <w:rPr>
          <w:color w:val="auto"/>
          <w:highlight w:val="none"/>
        </w:rPr>
        <w:t>合同包询比文件的全部内容</w:t>
      </w:r>
      <w:r>
        <w:rPr>
          <w:color w:val="auto"/>
          <w:spacing w:val="-5"/>
          <w:highlight w:val="none"/>
        </w:rPr>
        <w:t>，</w:t>
      </w:r>
      <w:r>
        <w:rPr>
          <w:color w:val="auto"/>
          <w:highlight w:val="none"/>
        </w:rPr>
        <w:t>愿意以人民</w:t>
      </w:r>
      <w:r>
        <w:rPr>
          <w:color w:val="auto"/>
          <w:spacing w:val="-16"/>
          <w:highlight w:val="none"/>
        </w:rPr>
        <w:t>币</w:t>
      </w:r>
      <w:r>
        <w:rPr>
          <w:rFonts w:ascii="Times New Roman" w:hAnsi="Times New Roman" w:eastAsia="Times New Roman"/>
          <w:color w:val="auto"/>
          <w:highlight w:val="none"/>
        </w:rPr>
        <w:t>(</w:t>
      </w:r>
      <w:r>
        <w:rPr>
          <w:color w:val="auto"/>
          <w:highlight w:val="none"/>
        </w:rPr>
        <w:t>大写</w:t>
      </w:r>
      <w:r>
        <w:rPr>
          <w:rFonts w:ascii="Times New Roman" w:hAnsi="Times New Roman" w:eastAsia="Times New Roman"/>
          <w:color w:val="auto"/>
          <w:highlight w:val="none"/>
        </w:rPr>
        <w:t>)</w:t>
      </w:r>
      <w:r>
        <w:rPr>
          <w:rFonts w:ascii="Times New Roman" w:hAnsi="Times New Roman" w:eastAsia="Times New Roman"/>
          <w:color w:val="auto"/>
          <w:spacing w:val="4"/>
          <w:highlight w:val="none"/>
        </w:rPr>
        <w:t>(</w:t>
      </w:r>
      <w:r>
        <w:rPr>
          <w:color w:val="auto"/>
          <w:highlight w:val="none"/>
        </w:rPr>
        <w:t>小写：</w:t>
      </w:r>
      <w:r>
        <w:rPr>
          <w:rFonts w:ascii="Times New Roman" w:hAnsi="Times New Roman" w:eastAsia="Times New Roman"/>
          <w:color w:val="auto"/>
          <w:highlight w:val="none"/>
        </w:rPr>
        <w:t>¥</w:t>
      </w:r>
      <w:r>
        <w:rPr>
          <w:rFonts w:ascii="Times New Roman" w:hAnsi="Times New Roman" w:eastAsia="Times New Roman"/>
          <w:color w:val="auto"/>
          <w:highlight w:val="none"/>
          <w:u w:val="single"/>
        </w:rPr>
        <w:tab/>
      </w:r>
      <w:r>
        <w:rPr>
          <w:rFonts w:ascii="Times New Roman" w:hAnsi="Times New Roman" w:eastAsia="Times New Roman"/>
          <w:color w:val="auto"/>
          <w:highlight w:val="none"/>
          <w:u w:val="single"/>
        </w:rPr>
        <w:tab/>
      </w:r>
      <w:r>
        <w:rPr>
          <w:rFonts w:ascii="Times New Roman" w:hAnsi="Times New Roman" w:eastAsia="Times New Roman"/>
          <w:color w:val="auto"/>
          <w:highlight w:val="none"/>
        </w:rPr>
        <w:t>)</w:t>
      </w:r>
      <w:r>
        <w:rPr>
          <w:color w:val="auto"/>
          <w:highlight w:val="none"/>
        </w:rPr>
        <w:t>的总报价，服务期</w:t>
      </w:r>
      <w:r>
        <w:rPr>
          <w:color w:val="auto"/>
          <w:highlight w:val="none"/>
          <w:u w:val="single"/>
        </w:rPr>
        <w:tab/>
      </w:r>
      <w:r>
        <w:rPr>
          <w:color w:val="auto"/>
          <w:highlight w:val="none"/>
          <w:u w:val="single"/>
        </w:rPr>
        <w:tab/>
      </w:r>
      <w:r>
        <w:rPr>
          <w:color w:val="auto"/>
          <w:highlight w:val="none"/>
        </w:rPr>
        <w:t>，按合同约定实施和完成相关</w:t>
      </w:r>
      <w:r>
        <w:rPr>
          <w:color w:val="auto"/>
          <w:spacing w:val="-14"/>
          <w:highlight w:val="none"/>
        </w:rPr>
        <w:t>服</w:t>
      </w:r>
      <w:r>
        <w:rPr>
          <w:color w:val="auto"/>
          <w:highlight w:val="none"/>
        </w:rPr>
        <w:t>务，质量目标达到</w:t>
      </w:r>
      <w:r>
        <w:rPr>
          <w:color w:val="auto"/>
          <w:highlight w:val="none"/>
          <w:u w:val="single"/>
        </w:rPr>
        <w:tab/>
      </w:r>
      <w:r>
        <w:rPr>
          <w:color w:val="auto"/>
          <w:highlight w:val="none"/>
        </w:rPr>
        <w:t>，安全目标达到</w:t>
      </w:r>
      <w:r>
        <w:rPr>
          <w:color w:val="auto"/>
          <w:highlight w:val="none"/>
          <w:u w:val="single"/>
        </w:rPr>
        <w:tab/>
      </w:r>
      <w:r>
        <w:rPr>
          <w:color w:val="auto"/>
          <w:highlight w:val="none"/>
        </w:rPr>
        <w:t>。</w:t>
      </w:r>
    </w:p>
    <w:p>
      <w:pPr>
        <w:pStyle w:val="10"/>
        <w:numPr>
          <w:ilvl w:val="0"/>
          <w:numId w:val="15"/>
        </w:numPr>
        <w:tabs>
          <w:tab w:val="left" w:pos="1061"/>
        </w:tabs>
        <w:spacing w:before="1"/>
        <w:ind w:left="1061"/>
        <w:rPr>
          <w:color w:val="auto"/>
          <w:highlight w:val="none"/>
        </w:rPr>
      </w:pPr>
      <w:r>
        <w:rPr>
          <w:color w:val="auto"/>
          <w:highlight w:val="none"/>
        </w:rPr>
        <w:t>我方承诺在响应有效期内不修改、撤销响应文件。</w:t>
      </w:r>
    </w:p>
    <w:p>
      <w:pPr>
        <w:pStyle w:val="10"/>
        <w:numPr>
          <w:ilvl w:val="0"/>
          <w:numId w:val="15"/>
        </w:numPr>
        <w:tabs>
          <w:tab w:val="left" w:pos="1061"/>
          <w:tab w:val="left" w:pos="7698"/>
          <w:tab w:val="left" w:pos="8919"/>
        </w:tabs>
        <w:spacing w:before="93"/>
        <w:ind w:left="1061"/>
        <w:rPr>
          <w:color w:val="auto"/>
          <w:highlight w:val="none"/>
        </w:rPr>
      </w:pPr>
      <w:r>
        <w:rPr>
          <w:color w:val="auto"/>
          <w:highlight w:val="none"/>
        </w:rPr>
        <w:t>随同本报价函提交响应保证金一份，金额为人民币</w:t>
      </w:r>
      <w:r>
        <w:rPr>
          <w:rFonts w:ascii="Times New Roman" w:hAnsi="Times New Roman" w:eastAsia="Times New Roman"/>
          <w:color w:val="auto"/>
          <w:highlight w:val="none"/>
        </w:rPr>
        <w:t>(</w:t>
      </w:r>
      <w:r>
        <w:rPr>
          <w:color w:val="auto"/>
          <w:highlight w:val="none"/>
        </w:rPr>
        <w:t>大写</w:t>
      </w:r>
      <w:r>
        <w:rPr>
          <w:rFonts w:ascii="Times New Roman" w:hAnsi="Times New Roman" w:eastAsia="Times New Roman"/>
          <w:color w:val="auto"/>
          <w:highlight w:val="none"/>
        </w:rPr>
        <w:t>)</w:t>
      </w:r>
      <w:r>
        <w:rPr>
          <w:rFonts w:ascii="Times New Roman" w:hAnsi="Times New Roman" w:eastAsia="Times New Roman"/>
          <w:color w:val="auto"/>
          <w:highlight w:val="none"/>
          <w:u w:val="single"/>
        </w:rPr>
        <w:tab/>
      </w:r>
      <w:r>
        <w:rPr>
          <w:color w:val="auto"/>
          <w:highlight w:val="none"/>
        </w:rPr>
        <w:t>元</w:t>
      </w:r>
      <w:r>
        <w:rPr>
          <w:rFonts w:ascii="Times New Roman" w:hAnsi="Times New Roman" w:eastAsia="Times New Roman"/>
          <w:color w:val="auto"/>
          <w:highlight w:val="none"/>
        </w:rPr>
        <w:t>(¥</w:t>
      </w:r>
      <w:r>
        <w:rPr>
          <w:rFonts w:ascii="Times New Roman" w:hAnsi="Times New Roman" w:eastAsia="Times New Roman"/>
          <w:color w:val="auto"/>
          <w:highlight w:val="none"/>
          <w:u w:val="single"/>
        </w:rPr>
        <w:tab/>
      </w:r>
      <w:r>
        <w:rPr>
          <w:rFonts w:ascii="Times New Roman" w:hAnsi="Times New Roman" w:eastAsia="Times New Roman"/>
          <w:color w:val="auto"/>
          <w:highlight w:val="none"/>
        </w:rPr>
        <w:t>)</w:t>
      </w:r>
      <w:r>
        <w:rPr>
          <w:color w:val="auto"/>
          <w:highlight w:val="none"/>
        </w:rPr>
        <w:t>。</w:t>
      </w:r>
    </w:p>
    <w:p>
      <w:pPr>
        <w:pStyle w:val="10"/>
        <w:numPr>
          <w:ilvl w:val="0"/>
          <w:numId w:val="15"/>
        </w:numPr>
        <w:tabs>
          <w:tab w:val="left" w:pos="1061"/>
        </w:tabs>
        <w:spacing w:before="91"/>
        <w:ind w:left="1061"/>
        <w:rPr>
          <w:color w:val="auto"/>
          <w:highlight w:val="none"/>
        </w:rPr>
      </w:pPr>
      <w:r>
        <w:rPr>
          <w:color w:val="auto"/>
          <w:highlight w:val="none"/>
        </w:rPr>
        <w:t>如我方成交：</w:t>
      </w:r>
    </w:p>
    <w:p>
      <w:pPr>
        <w:pStyle w:val="10"/>
        <w:spacing w:before="94" w:line="312" w:lineRule="auto"/>
        <w:ind w:left="700" w:right="1065"/>
        <w:rPr>
          <w:color w:val="auto"/>
          <w:highlight w:val="none"/>
        </w:rPr>
      </w:pPr>
      <w:r>
        <w:rPr>
          <w:rFonts w:ascii="Times New Roman" w:eastAsia="Times New Roman"/>
          <w:color w:val="auto"/>
          <w:highlight w:val="none"/>
        </w:rPr>
        <w:t>(1)</w:t>
      </w:r>
      <w:r>
        <w:rPr>
          <w:color w:val="auto"/>
          <w:spacing w:val="-1"/>
          <w:highlight w:val="none"/>
        </w:rPr>
        <w:t>我方承诺在收到成交通知书后，在成交通知书规定的期限内与你方签订合同。</w:t>
      </w:r>
      <w:r>
        <w:rPr>
          <w:rFonts w:ascii="Times New Roman" w:eastAsia="Times New Roman"/>
          <w:color w:val="auto"/>
          <w:highlight w:val="none"/>
        </w:rPr>
        <w:t>(2)</w:t>
      </w:r>
      <w:r>
        <w:rPr>
          <w:color w:val="auto"/>
          <w:highlight w:val="none"/>
        </w:rPr>
        <w:t>我方承诺按照询比文件规定向你方递交履约担保。</w:t>
      </w:r>
    </w:p>
    <w:p>
      <w:pPr>
        <w:pStyle w:val="10"/>
        <w:spacing w:line="307" w:lineRule="exact"/>
        <w:ind w:left="700"/>
        <w:rPr>
          <w:color w:val="auto"/>
          <w:highlight w:val="none"/>
        </w:rPr>
      </w:pPr>
      <w:r>
        <w:rPr>
          <w:rFonts w:ascii="Times New Roman" w:eastAsia="Times New Roman"/>
          <w:color w:val="auto"/>
          <w:spacing w:val="-1"/>
          <w:highlight w:val="none"/>
        </w:rPr>
        <w:t>(3)</w:t>
      </w:r>
      <w:r>
        <w:rPr>
          <w:color w:val="auto"/>
          <w:highlight w:val="none"/>
        </w:rPr>
        <w:t>我方承诺在合同约定的期限内完成全部合同任务。</w:t>
      </w:r>
    </w:p>
    <w:p>
      <w:pPr>
        <w:pStyle w:val="10"/>
        <w:numPr>
          <w:ilvl w:val="0"/>
          <w:numId w:val="15"/>
        </w:numPr>
        <w:tabs>
          <w:tab w:val="left" w:pos="1061"/>
        </w:tabs>
        <w:spacing w:before="93"/>
        <w:ind w:left="1061"/>
        <w:rPr>
          <w:color w:val="auto"/>
          <w:highlight w:val="none"/>
        </w:rPr>
      </w:pPr>
      <w:r>
        <w:rPr>
          <w:color w:val="auto"/>
          <w:highlight w:val="none"/>
        </w:rPr>
        <w:t>我方在此声明，所递交的响应文件及有关资料内容完整、真实和准确。</w:t>
      </w:r>
    </w:p>
    <w:p>
      <w:pPr>
        <w:pStyle w:val="10"/>
        <w:numPr>
          <w:ilvl w:val="0"/>
          <w:numId w:val="15"/>
        </w:numPr>
        <w:tabs>
          <w:tab w:val="left" w:pos="1061"/>
        </w:tabs>
        <w:spacing w:before="93" w:line="312" w:lineRule="auto"/>
        <w:ind w:right="237" w:firstLine="480"/>
        <w:rPr>
          <w:color w:val="auto"/>
          <w:highlight w:val="none"/>
        </w:rPr>
      </w:pPr>
      <w:r>
        <w:rPr>
          <w:color w:val="auto"/>
          <w:spacing w:val="-1"/>
          <w:highlight w:val="none"/>
        </w:rPr>
        <w:t>在合同协议书正式签署生效之前，本报价函连同你方的成交通知书将构成我们双方之</w:t>
      </w:r>
      <w:r>
        <w:rPr>
          <w:color w:val="auto"/>
          <w:highlight w:val="none"/>
        </w:rPr>
        <w:t>间共同遵守的文件，对双方具有约束力。</w:t>
      </w:r>
    </w:p>
    <w:p>
      <w:pPr>
        <w:pStyle w:val="10"/>
        <w:numPr>
          <w:ilvl w:val="0"/>
          <w:numId w:val="15"/>
        </w:numPr>
        <w:tabs>
          <w:tab w:val="left" w:pos="1061"/>
        </w:tabs>
        <w:spacing w:line="307" w:lineRule="exact"/>
        <w:ind w:left="1061"/>
        <w:rPr>
          <w:color w:val="auto"/>
          <w:highlight w:val="none"/>
        </w:rPr>
      </w:pPr>
      <w:r>
        <w:rPr>
          <w:color w:val="auto"/>
          <w:spacing w:val="-8"/>
          <w:highlight w:val="none"/>
        </w:rPr>
        <w:t>我方理解，你方不一定接受任何报价。同时也理解，你方不负担我方的任何报价费用。</w:t>
      </w:r>
    </w:p>
    <w:p>
      <w:pPr>
        <w:pStyle w:val="2"/>
        <w:rPr>
          <w:color w:val="auto"/>
          <w:sz w:val="26"/>
          <w:highlight w:val="none"/>
        </w:rPr>
      </w:pPr>
    </w:p>
    <w:p>
      <w:pPr>
        <w:pStyle w:val="2"/>
        <w:rPr>
          <w:color w:val="auto"/>
          <w:sz w:val="26"/>
          <w:highlight w:val="none"/>
        </w:rPr>
      </w:pPr>
    </w:p>
    <w:p>
      <w:pPr>
        <w:pStyle w:val="2"/>
        <w:rPr>
          <w:color w:val="auto"/>
          <w:sz w:val="26"/>
          <w:highlight w:val="none"/>
        </w:rPr>
      </w:pPr>
    </w:p>
    <w:p>
      <w:pPr>
        <w:pStyle w:val="2"/>
        <w:rPr>
          <w:color w:val="auto"/>
          <w:sz w:val="26"/>
          <w:highlight w:val="none"/>
        </w:rPr>
      </w:pPr>
    </w:p>
    <w:p>
      <w:pPr>
        <w:pStyle w:val="2"/>
        <w:rPr>
          <w:color w:val="auto"/>
          <w:sz w:val="26"/>
          <w:highlight w:val="none"/>
        </w:rPr>
      </w:pPr>
    </w:p>
    <w:p>
      <w:pPr>
        <w:pStyle w:val="2"/>
        <w:rPr>
          <w:color w:val="auto"/>
          <w:sz w:val="26"/>
          <w:highlight w:val="none"/>
        </w:rPr>
      </w:pPr>
    </w:p>
    <w:p>
      <w:pPr>
        <w:pStyle w:val="2"/>
        <w:spacing w:before="8"/>
        <w:rPr>
          <w:color w:val="auto"/>
          <w:sz w:val="38"/>
          <w:highlight w:val="none"/>
        </w:rPr>
      </w:pPr>
    </w:p>
    <w:p>
      <w:pPr>
        <w:pStyle w:val="10"/>
        <w:tabs>
          <w:tab w:val="left" w:pos="7119"/>
          <w:tab w:val="left" w:pos="7479"/>
        </w:tabs>
        <w:spacing w:line="312" w:lineRule="auto"/>
        <w:ind w:left="3640" w:right="1964"/>
        <w:rPr>
          <w:rFonts w:ascii="Times New Roman" w:eastAsia="Times New Roman"/>
          <w:color w:val="auto"/>
          <w:highlight w:val="none"/>
        </w:rPr>
      </w:pPr>
      <w:r>
        <w:rPr>
          <w:color w:val="auto"/>
          <w:highlight w:val="none"/>
        </w:rPr>
        <w:t>供应商：</w:t>
      </w:r>
      <w:r>
        <w:rPr>
          <w:color w:val="auto"/>
          <w:highlight w:val="none"/>
          <w:u w:val="single"/>
        </w:rPr>
        <w:tab/>
      </w:r>
      <w:r>
        <w:rPr>
          <w:rFonts w:ascii="Times New Roman" w:eastAsia="Times New Roman"/>
          <w:color w:val="auto"/>
          <w:highlight w:val="none"/>
        </w:rPr>
        <w:t>(</w:t>
      </w:r>
      <w:r>
        <w:rPr>
          <w:color w:val="auto"/>
          <w:highlight w:val="none"/>
        </w:rPr>
        <w:t>盖单位章</w:t>
      </w:r>
      <w:r>
        <w:rPr>
          <w:rFonts w:ascii="Times New Roman" w:eastAsia="Times New Roman"/>
          <w:color w:val="auto"/>
          <w:spacing w:val="-16"/>
          <w:highlight w:val="none"/>
        </w:rPr>
        <w:t xml:space="preserve">) </w:t>
      </w:r>
      <w:r>
        <w:rPr>
          <w:color w:val="auto"/>
          <w:highlight w:val="none"/>
        </w:rPr>
        <w:t>法定代表人或委托代理人：</w:t>
      </w:r>
      <w:r>
        <w:rPr>
          <w:color w:val="auto"/>
          <w:highlight w:val="none"/>
          <w:u w:val="single"/>
        </w:rPr>
        <w:tab/>
      </w:r>
      <w:r>
        <w:rPr>
          <w:color w:val="auto"/>
          <w:highlight w:val="none"/>
          <w:u w:val="single"/>
        </w:rPr>
        <w:tab/>
      </w:r>
      <w:r>
        <w:rPr>
          <w:rFonts w:ascii="Times New Roman" w:eastAsia="Times New Roman"/>
          <w:color w:val="auto"/>
          <w:highlight w:val="none"/>
        </w:rPr>
        <w:t>(</w:t>
      </w:r>
      <w:r>
        <w:rPr>
          <w:color w:val="auto"/>
          <w:highlight w:val="none"/>
        </w:rPr>
        <w:t>签名</w:t>
      </w:r>
      <w:r>
        <w:rPr>
          <w:rFonts w:ascii="Times New Roman" w:eastAsia="Times New Roman"/>
          <w:color w:val="auto"/>
          <w:highlight w:val="none"/>
        </w:rPr>
        <w:t>)</w:t>
      </w:r>
    </w:p>
    <w:p>
      <w:pPr>
        <w:pStyle w:val="10"/>
        <w:tabs>
          <w:tab w:val="left" w:pos="8859"/>
          <w:tab w:val="left" w:pos="8979"/>
        </w:tabs>
        <w:spacing w:line="312" w:lineRule="auto"/>
        <w:ind w:left="3640" w:right="1224"/>
        <w:jc w:val="both"/>
        <w:rPr>
          <w:rFonts w:ascii="Times New Roman" w:eastAsia="Times New Roman"/>
          <w:color w:val="auto"/>
          <w:highlight w:val="none"/>
        </w:rPr>
      </w:pPr>
      <w:r>
        <w:rPr>
          <w:color w:val="auto"/>
          <w:highlight w:val="none"/>
        </w:rPr>
        <w:t>地址：</w:t>
      </w:r>
      <w:r>
        <w:rPr>
          <w:rFonts w:ascii="Times New Roman" w:eastAsia="Times New Roman"/>
          <w:color w:val="auto"/>
          <w:highlight w:val="none"/>
          <w:u w:val="single"/>
        </w:rPr>
        <w:tab/>
      </w:r>
      <w:r>
        <w:rPr>
          <w:color w:val="auto"/>
          <w:highlight w:val="none"/>
        </w:rPr>
        <w:t>网址：</w:t>
      </w:r>
      <w:r>
        <w:rPr>
          <w:rFonts w:ascii="Times New Roman" w:eastAsia="Times New Roman"/>
          <w:color w:val="auto"/>
          <w:highlight w:val="none"/>
          <w:u w:val="single"/>
        </w:rPr>
        <w:tab/>
      </w:r>
      <w:r>
        <w:rPr>
          <w:color w:val="auto"/>
          <w:highlight w:val="none"/>
        </w:rPr>
        <w:t>电话：</w:t>
      </w:r>
      <w:r>
        <w:rPr>
          <w:rFonts w:ascii="Times New Roman" w:eastAsia="Times New Roman"/>
          <w:color w:val="auto"/>
          <w:highlight w:val="none"/>
          <w:u w:val="single"/>
        </w:rPr>
        <w:tab/>
      </w:r>
      <w:r>
        <w:rPr>
          <w:color w:val="auto"/>
          <w:highlight w:val="none"/>
        </w:rPr>
        <w:t>电子邮箱：</w:t>
      </w:r>
      <w:r>
        <w:rPr>
          <w:rFonts w:ascii="Times New Roman" w:eastAsia="Times New Roman"/>
          <w:color w:val="auto"/>
          <w:highlight w:val="none"/>
          <w:u w:val="single"/>
        </w:rPr>
        <w:tab/>
      </w:r>
      <w:r>
        <w:rPr>
          <w:rFonts w:ascii="Times New Roman" w:eastAsia="Times New Roman"/>
          <w:color w:val="auto"/>
          <w:highlight w:val="none"/>
          <w:u w:val="single"/>
        </w:rPr>
        <w:tab/>
      </w:r>
    </w:p>
    <w:p>
      <w:pPr>
        <w:pStyle w:val="10"/>
        <w:tabs>
          <w:tab w:val="left" w:pos="5799"/>
          <w:tab w:val="left" w:pos="6759"/>
          <w:tab w:val="left" w:pos="7839"/>
        </w:tabs>
        <w:spacing w:before="1"/>
        <w:ind w:left="4960"/>
        <w:rPr>
          <w:color w:val="auto"/>
          <w:highlight w:val="none"/>
        </w:rPr>
      </w:pPr>
      <w:r>
        <w:rPr>
          <w:rFonts w:ascii="Times New Roman" w:eastAsia="Times New Roman"/>
          <w:color w:val="auto"/>
          <w:highlight w:val="none"/>
          <w:u w:val="single"/>
        </w:rPr>
        <w:tab/>
      </w:r>
      <w:r>
        <w:rPr>
          <w:color w:val="auto"/>
          <w:highlight w:val="none"/>
        </w:rPr>
        <w:t>年</w:t>
      </w:r>
      <w:r>
        <w:rPr>
          <w:color w:val="auto"/>
          <w:highlight w:val="none"/>
          <w:u w:val="single"/>
        </w:rPr>
        <w:tab/>
      </w:r>
      <w:r>
        <w:rPr>
          <w:color w:val="auto"/>
          <w:highlight w:val="none"/>
        </w:rPr>
        <w:t>月</w:t>
      </w:r>
      <w:r>
        <w:rPr>
          <w:color w:val="auto"/>
          <w:highlight w:val="none"/>
          <w:u w:val="single"/>
        </w:rPr>
        <w:tab/>
      </w:r>
      <w:r>
        <w:rPr>
          <w:color w:val="auto"/>
          <w:highlight w:val="none"/>
        </w:rPr>
        <w:t>日</w:t>
      </w:r>
    </w:p>
    <w:p>
      <w:pPr>
        <w:rPr>
          <w:color w:val="auto"/>
          <w:highlight w:val="none"/>
        </w:rPr>
        <w:sectPr>
          <w:pgSz w:w="11910" w:h="16840"/>
          <w:pgMar w:top="1460" w:right="840" w:bottom="1180" w:left="860" w:header="0" w:footer="998" w:gutter="0"/>
          <w:cols w:space="720" w:num="1"/>
        </w:sectPr>
      </w:pPr>
    </w:p>
    <w:p>
      <w:pPr>
        <w:pStyle w:val="2"/>
        <w:spacing w:before="11"/>
        <w:rPr>
          <w:color w:val="auto"/>
          <w:sz w:val="22"/>
          <w:highlight w:val="none"/>
        </w:rPr>
      </w:pPr>
    </w:p>
    <w:p>
      <w:pPr>
        <w:pStyle w:val="8"/>
        <w:spacing w:before="62"/>
        <w:ind w:left="272" w:right="287" w:firstLine="0"/>
        <w:jc w:val="center"/>
        <w:rPr>
          <w:color w:val="auto"/>
          <w:highlight w:val="none"/>
        </w:rPr>
      </w:pPr>
      <w:r>
        <w:rPr>
          <w:color w:val="auto"/>
          <w:highlight w:val="none"/>
        </w:rPr>
        <w:t>二、法定代表人身份证明及授权委托书</w:t>
      </w:r>
    </w:p>
    <w:p>
      <w:pPr>
        <w:spacing w:before="9"/>
        <w:rPr>
          <w:color w:val="auto"/>
          <w:sz w:val="40"/>
          <w:highlight w:val="none"/>
        </w:rPr>
      </w:pPr>
    </w:p>
    <w:p>
      <w:pPr>
        <w:pStyle w:val="8"/>
        <w:ind w:left="272" w:right="291" w:firstLine="0"/>
        <w:jc w:val="center"/>
        <w:rPr>
          <w:color w:val="auto"/>
          <w:highlight w:val="none"/>
        </w:rPr>
      </w:pPr>
      <w:r>
        <w:rPr>
          <w:rFonts w:ascii="Times New Roman" w:eastAsia="Times New Roman"/>
          <w:color w:val="auto"/>
          <w:highlight w:val="none"/>
        </w:rPr>
        <w:t>2-1</w:t>
      </w:r>
      <w:r>
        <w:rPr>
          <w:color w:val="auto"/>
          <w:spacing w:val="-3"/>
          <w:highlight w:val="none"/>
        </w:rPr>
        <w:t>法定代表人身份证明</w:t>
      </w:r>
    </w:p>
    <w:p>
      <w:pPr>
        <w:spacing w:before="9"/>
        <w:rPr>
          <w:color w:val="auto"/>
          <w:sz w:val="43"/>
          <w:highlight w:val="none"/>
        </w:rPr>
      </w:pPr>
    </w:p>
    <w:p>
      <w:pPr>
        <w:pStyle w:val="10"/>
        <w:tabs>
          <w:tab w:val="left" w:pos="2559"/>
          <w:tab w:val="left" w:pos="3759"/>
          <w:tab w:val="left" w:pos="4959"/>
          <w:tab w:val="left" w:pos="5199"/>
        </w:tabs>
        <w:spacing w:line="343" w:lineRule="auto"/>
        <w:ind w:right="4945"/>
        <w:jc w:val="both"/>
        <w:rPr>
          <w:rFonts w:ascii="Times New Roman" w:eastAsia="Times New Roman"/>
          <w:color w:val="auto"/>
          <w:highlight w:val="none"/>
        </w:rPr>
      </w:pPr>
      <w:r>
        <w:rPr>
          <w:color w:val="auto"/>
          <w:highlight w:val="none"/>
        </w:rPr>
        <w:t>供应商名称：</w:t>
      </w:r>
      <w:r>
        <w:rPr>
          <w:rFonts w:ascii="Times New Roman" w:eastAsia="Times New Roman"/>
          <w:color w:val="auto"/>
          <w:highlight w:val="none"/>
          <w:u w:val="single"/>
        </w:rPr>
        <w:tab/>
      </w:r>
      <w:r>
        <w:rPr>
          <w:rFonts w:ascii="Times New Roman" w:eastAsia="Times New Roman"/>
          <w:color w:val="auto"/>
          <w:highlight w:val="none"/>
          <w:u w:val="single"/>
        </w:rPr>
        <w:tab/>
      </w:r>
      <w:r>
        <w:rPr>
          <w:rFonts w:ascii="Times New Roman" w:eastAsia="Times New Roman"/>
          <w:color w:val="auto"/>
          <w:highlight w:val="none"/>
          <w:u w:val="single"/>
        </w:rPr>
        <w:tab/>
      </w:r>
      <w:r>
        <w:rPr>
          <w:rFonts w:ascii="Times New Roman" w:eastAsia="Times New Roman"/>
          <w:color w:val="auto"/>
          <w:highlight w:val="none"/>
          <w:u w:val="single"/>
        </w:rPr>
        <w:tab/>
      </w:r>
      <w:r>
        <w:rPr>
          <w:color w:val="auto"/>
          <w:highlight w:val="none"/>
        </w:rPr>
        <w:t>单位性质：</w:t>
      </w:r>
      <w:r>
        <w:rPr>
          <w:rFonts w:ascii="Times New Roman" w:eastAsia="Times New Roman"/>
          <w:color w:val="auto"/>
          <w:highlight w:val="none"/>
          <w:u w:val="single"/>
        </w:rPr>
        <w:tab/>
      </w:r>
      <w:r>
        <w:rPr>
          <w:rFonts w:ascii="Times New Roman" w:eastAsia="Times New Roman"/>
          <w:color w:val="auto"/>
          <w:highlight w:val="none"/>
          <w:u w:val="single"/>
        </w:rPr>
        <w:tab/>
      </w:r>
      <w:r>
        <w:rPr>
          <w:rFonts w:ascii="Times New Roman" w:eastAsia="Times New Roman"/>
          <w:color w:val="auto"/>
          <w:highlight w:val="none"/>
          <w:u w:val="single"/>
        </w:rPr>
        <w:tab/>
      </w:r>
      <w:r>
        <w:rPr>
          <w:rFonts w:ascii="Times New Roman" w:eastAsia="Times New Roman"/>
          <w:color w:val="auto"/>
          <w:highlight w:val="none"/>
          <w:u w:val="single"/>
        </w:rPr>
        <w:tab/>
      </w:r>
      <w:r>
        <w:rPr>
          <w:color w:val="auto"/>
          <w:highlight w:val="none"/>
        </w:rPr>
        <w:t>地址：</w:t>
      </w:r>
      <w:r>
        <w:rPr>
          <w:rFonts w:ascii="Times New Roman" w:eastAsia="Times New Roman"/>
          <w:color w:val="auto"/>
          <w:highlight w:val="none"/>
          <w:u w:val="single"/>
        </w:rPr>
        <w:tab/>
      </w:r>
      <w:r>
        <w:rPr>
          <w:rFonts w:ascii="Times New Roman" w:eastAsia="Times New Roman"/>
          <w:color w:val="auto"/>
          <w:highlight w:val="none"/>
          <w:u w:val="single"/>
        </w:rPr>
        <w:tab/>
      </w:r>
      <w:r>
        <w:rPr>
          <w:rFonts w:ascii="Times New Roman" w:eastAsia="Times New Roman"/>
          <w:color w:val="auto"/>
          <w:highlight w:val="none"/>
          <w:u w:val="single"/>
        </w:rPr>
        <w:tab/>
      </w:r>
      <w:r>
        <w:rPr>
          <w:rFonts w:ascii="Times New Roman" w:eastAsia="Times New Roman"/>
          <w:color w:val="auto"/>
          <w:highlight w:val="none"/>
          <w:u w:val="single"/>
        </w:rPr>
        <w:tab/>
      </w:r>
      <w:r>
        <w:rPr>
          <w:color w:val="auto"/>
          <w:highlight w:val="none"/>
        </w:rPr>
        <w:t>成立时间：</w:t>
      </w:r>
      <w:r>
        <w:rPr>
          <w:color w:val="auto"/>
          <w:highlight w:val="none"/>
          <w:u w:val="single"/>
        </w:rPr>
        <w:tab/>
      </w:r>
      <w:r>
        <w:rPr>
          <w:color w:val="auto"/>
          <w:highlight w:val="none"/>
        </w:rPr>
        <w:t>年</w:t>
      </w:r>
      <w:r>
        <w:rPr>
          <w:color w:val="auto"/>
          <w:highlight w:val="none"/>
          <w:u w:val="single"/>
        </w:rPr>
        <w:tab/>
      </w:r>
      <w:r>
        <w:rPr>
          <w:color w:val="auto"/>
          <w:highlight w:val="none"/>
        </w:rPr>
        <w:t>月</w:t>
      </w:r>
      <w:r>
        <w:rPr>
          <w:color w:val="auto"/>
          <w:highlight w:val="none"/>
          <w:u w:val="single"/>
        </w:rPr>
        <w:tab/>
      </w:r>
      <w:r>
        <w:rPr>
          <w:color w:val="auto"/>
          <w:spacing w:val="-18"/>
          <w:highlight w:val="none"/>
        </w:rPr>
        <w:t>日</w:t>
      </w:r>
      <w:r>
        <w:rPr>
          <w:color w:val="auto"/>
          <w:highlight w:val="none"/>
        </w:rPr>
        <w:t>经营期限：</w:t>
      </w:r>
      <w:r>
        <w:rPr>
          <w:rFonts w:ascii="Times New Roman" w:eastAsia="Times New Roman"/>
          <w:color w:val="auto"/>
          <w:highlight w:val="none"/>
          <w:u w:val="single"/>
        </w:rPr>
        <w:tab/>
      </w:r>
      <w:r>
        <w:rPr>
          <w:rFonts w:ascii="Times New Roman" w:eastAsia="Times New Roman"/>
          <w:color w:val="auto"/>
          <w:highlight w:val="none"/>
          <w:u w:val="single"/>
        </w:rPr>
        <w:tab/>
      </w:r>
      <w:r>
        <w:rPr>
          <w:rFonts w:ascii="Times New Roman" w:eastAsia="Times New Roman"/>
          <w:color w:val="auto"/>
          <w:highlight w:val="none"/>
          <w:u w:val="single"/>
        </w:rPr>
        <w:tab/>
      </w:r>
      <w:r>
        <w:rPr>
          <w:rFonts w:ascii="Times New Roman" w:eastAsia="Times New Roman"/>
          <w:color w:val="auto"/>
          <w:highlight w:val="none"/>
          <w:u w:val="single"/>
        </w:rPr>
        <w:tab/>
      </w:r>
    </w:p>
    <w:p>
      <w:pPr>
        <w:pStyle w:val="10"/>
        <w:tabs>
          <w:tab w:val="left" w:pos="2979"/>
          <w:tab w:val="left" w:pos="3999"/>
          <w:tab w:val="left" w:pos="7139"/>
          <w:tab w:val="left" w:pos="8878"/>
        </w:tabs>
        <w:spacing w:before="2" w:line="343" w:lineRule="auto"/>
        <w:ind w:right="1325"/>
        <w:jc w:val="both"/>
        <w:rPr>
          <w:color w:val="auto"/>
          <w:highlight w:val="none"/>
        </w:rPr>
      </w:pPr>
      <w:r>
        <w:rPr>
          <w:color w:val="auto"/>
          <w:highlight w:val="none"/>
        </w:rPr>
        <w:t>姓名：</w:t>
      </w:r>
      <w:r>
        <w:rPr>
          <w:color w:val="auto"/>
          <w:highlight w:val="none"/>
          <w:u w:val="single"/>
        </w:rPr>
        <w:tab/>
      </w:r>
      <w:r>
        <w:rPr>
          <w:rFonts w:ascii="Times New Roman" w:eastAsia="Times New Roman"/>
          <w:color w:val="auto"/>
          <w:highlight w:val="none"/>
          <w:u w:val="single"/>
        </w:rPr>
        <w:t>(</w:t>
      </w:r>
      <w:r>
        <w:rPr>
          <w:color w:val="auto"/>
          <w:highlight w:val="none"/>
          <w:u w:val="single"/>
        </w:rPr>
        <w:t>签字）</w:t>
      </w:r>
      <w:r>
        <w:rPr>
          <w:color w:val="auto"/>
          <w:highlight w:val="none"/>
        </w:rPr>
        <w:t>性别：年龄：</w:t>
      </w:r>
      <w:r>
        <w:rPr>
          <w:color w:val="auto"/>
          <w:highlight w:val="none"/>
          <w:u w:val="single"/>
        </w:rPr>
        <w:tab/>
      </w:r>
      <w:r>
        <w:rPr>
          <w:color w:val="auto"/>
          <w:spacing w:val="-1"/>
          <w:highlight w:val="none"/>
        </w:rPr>
        <w:t>职</w:t>
      </w:r>
      <w:r>
        <w:rPr>
          <w:color w:val="auto"/>
          <w:highlight w:val="none"/>
        </w:rPr>
        <w:t>务：</w:t>
      </w:r>
      <w:r>
        <w:rPr>
          <w:rFonts w:ascii="Times New Roman" w:eastAsia="Times New Roman"/>
          <w:color w:val="auto"/>
          <w:highlight w:val="none"/>
          <w:u w:val="single"/>
        </w:rPr>
        <w:tab/>
      </w:r>
      <w:r>
        <w:rPr>
          <w:color w:val="auto"/>
          <w:highlight w:val="none"/>
        </w:rPr>
        <w:t>系</w:t>
      </w:r>
      <w:r>
        <w:rPr>
          <w:color w:val="auto"/>
          <w:highlight w:val="none"/>
          <w:u w:val="single"/>
        </w:rPr>
        <w:tab/>
      </w:r>
      <w:r>
        <w:rPr>
          <w:color w:val="auto"/>
          <w:highlight w:val="none"/>
          <w:u w:val="single"/>
        </w:rPr>
        <w:tab/>
      </w:r>
      <w:r>
        <w:rPr>
          <w:rFonts w:ascii="Times New Roman" w:eastAsia="Times New Roman"/>
          <w:color w:val="auto"/>
          <w:highlight w:val="none"/>
        </w:rPr>
        <w:t>(</w:t>
      </w:r>
      <w:r>
        <w:rPr>
          <w:color w:val="auto"/>
          <w:highlight w:val="none"/>
        </w:rPr>
        <w:t>供应商名称</w:t>
      </w:r>
      <w:r>
        <w:rPr>
          <w:rFonts w:ascii="Times New Roman" w:eastAsia="Times New Roman"/>
          <w:color w:val="auto"/>
          <w:highlight w:val="none"/>
        </w:rPr>
        <w:t>)</w:t>
      </w:r>
      <w:r>
        <w:rPr>
          <w:color w:val="auto"/>
          <w:highlight w:val="none"/>
        </w:rPr>
        <w:t>的法定代表人。</w:t>
      </w:r>
    </w:p>
    <w:p>
      <w:pPr>
        <w:pStyle w:val="10"/>
        <w:spacing w:before="2" w:line="686" w:lineRule="auto"/>
        <w:ind w:left="700" w:right="5665"/>
        <w:rPr>
          <w:color w:val="auto"/>
          <w:highlight w:val="none"/>
        </w:rPr>
      </w:pPr>
      <w:r>
        <w:rPr>
          <w:color w:val="auto"/>
          <w:highlight w:val="none"/>
        </w:rPr>
        <w:t>附：法定代表人身份证正反面复印件特此证明。</w:t>
      </w:r>
    </w:p>
    <w:p>
      <w:pPr>
        <w:pStyle w:val="2"/>
        <w:spacing w:before="3"/>
        <w:rPr>
          <w:color w:val="auto"/>
          <w:sz w:val="34"/>
          <w:highlight w:val="none"/>
        </w:rPr>
      </w:pPr>
    </w:p>
    <w:p>
      <w:pPr>
        <w:pStyle w:val="10"/>
        <w:tabs>
          <w:tab w:val="left" w:pos="6339"/>
        </w:tabs>
        <w:ind w:left="3340"/>
        <w:rPr>
          <w:rFonts w:ascii="Times New Roman" w:eastAsia="Times New Roman"/>
          <w:color w:val="auto"/>
          <w:highlight w:val="none"/>
        </w:rPr>
      </w:pPr>
      <w:r>
        <w:rPr>
          <w:color w:val="auto"/>
          <w:highlight w:val="none"/>
        </w:rPr>
        <w:t>供应商：</w:t>
      </w:r>
      <w:r>
        <w:rPr>
          <w:color w:val="auto"/>
          <w:highlight w:val="none"/>
          <w:u w:val="single"/>
        </w:rPr>
        <w:tab/>
      </w:r>
      <w:r>
        <w:rPr>
          <w:rFonts w:ascii="Times New Roman" w:eastAsia="Times New Roman"/>
          <w:color w:val="auto"/>
          <w:highlight w:val="none"/>
        </w:rPr>
        <w:t>(</w:t>
      </w:r>
      <w:r>
        <w:rPr>
          <w:color w:val="auto"/>
          <w:highlight w:val="none"/>
        </w:rPr>
        <w:t>盖单位章</w:t>
      </w:r>
      <w:r>
        <w:rPr>
          <w:rFonts w:ascii="Times New Roman" w:eastAsia="Times New Roman"/>
          <w:color w:val="auto"/>
          <w:highlight w:val="none"/>
        </w:rPr>
        <w:t>)</w:t>
      </w:r>
    </w:p>
    <w:p>
      <w:pPr>
        <w:pStyle w:val="10"/>
        <w:tabs>
          <w:tab w:val="left" w:pos="5139"/>
          <w:tab w:val="left" w:pos="6099"/>
          <w:tab w:val="left" w:pos="6999"/>
        </w:tabs>
        <w:spacing w:before="135"/>
        <w:ind w:left="4060"/>
        <w:rPr>
          <w:color w:val="auto"/>
          <w:highlight w:val="none"/>
        </w:rPr>
      </w:pPr>
      <w:r>
        <w:rPr>
          <w:rFonts w:ascii="Times New Roman" w:eastAsia="Times New Roman"/>
          <w:color w:val="auto"/>
          <w:highlight w:val="none"/>
          <w:u w:val="single"/>
        </w:rPr>
        <w:tab/>
      </w:r>
      <w:r>
        <w:rPr>
          <w:color w:val="auto"/>
          <w:highlight w:val="none"/>
        </w:rPr>
        <w:t>年</w:t>
      </w:r>
      <w:r>
        <w:rPr>
          <w:color w:val="auto"/>
          <w:highlight w:val="none"/>
          <w:u w:val="single"/>
        </w:rPr>
        <w:tab/>
      </w:r>
      <w:r>
        <w:rPr>
          <w:color w:val="auto"/>
          <w:highlight w:val="none"/>
        </w:rPr>
        <w:t>月</w:t>
      </w:r>
      <w:r>
        <w:rPr>
          <w:color w:val="auto"/>
          <w:highlight w:val="none"/>
          <w:u w:val="single"/>
        </w:rPr>
        <w:tab/>
      </w:r>
      <w:r>
        <w:rPr>
          <w:color w:val="auto"/>
          <w:highlight w:val="none"/>
        </w:rPr>
        <w:t>日</w:t>
      </w:r>
    </w:p>
    <w:p>
      <w:pPr>
        <w:rPr>
          <w:color w:val="auto"/>
          <w:highlight w:val="none"/>
        </w:rPr>
        <w:sectPr>
          <w:footerReference r:id="rId9" w:type="default"/>
          <w:pgSz w:w="11910" w:h="16840"/>
          <w:pgMar w:top="1580" w:right="840" w:bottom="1180" w:left="860" w:header="0" w:footer="998" w:gutter="0"/>
          <w:pgNumType w:start="30"/>
          <w:cols w:space="720" w:num="1"/>
        </w:sectPr>
      </w:pPr>
    </w:p>
    <w:p>
      <w:pPr>
        <w:pStyle w:val="8"/>
        <w:spacing w:before="55"/>
        <w:ind w:left="4136" w:firstLine="0"/>
        <w:jc w:val="both"/>
        <w:rPr>
          <w:color w:val="auto"/>
          <w:highlight w:val="none"/>
        </w:rPr>
      </w:pPr>
      <w:r>
        <w:rPr>
          <w:rFonts w:ascii="Times New Roman" w:eastAsia="Times New Roman"/>
          <w:color w:val="auto"/>
          <w:highlight w:val="none"/>
        </w:rPr>
        <w:t>2-2</w:t>
      </w:r>
      <w:r>
        <w:rPr>
          <w:color w:val="auto"/>
          <w:spacing w:val="-2"/>
          <w:highlight w:val="none"/>
        </w:rPr>
        <w:t>授权委托书</w:t>
      </w:r>
    </w:p>
    <w:p>
      <w:pPr>
        <w:spacing w:before="9"/>
        <w:rPr>
          <w:color w:val="auto"/>
          <w:sz w:val="43"/>
          <w:highlight w:val="none"/>
        </w:rPr>
      </w:pPr>
    </w:p>
    <w:p>
      <w:pPr>
        <w:pStyle w:val="10"/>
        <w:tabs>
          <w:tab w:val="left" w:pos="2768"/>
          <w:tab w:val="left" w:pos="3025"/>
          <w:tab w:val="left" w:pos="4875"/>
          <w:tab w:val="left" w:pos="9642"/>
        </w:tabs>
        <w:spacing w:line="343" w:lineRule="auto"/>
        <w:ind w:right="237" w:firstLine="480"/>
        <w:jc w:val="both"/>
        <w:rPr>
          <w:color w:val="auto"/>
          <w:highlight w:val="none"/>
        </w:rPr>
      </w:pPr>
      <w:r>
        <w:rPr>
          <w:color w:val="auto"/>
          <w:highlight w:val="none"/>
        </w:rPr>
        <w:t>本人</w:t>
      </w:r>
      <w:r>
        <w:rPr>
          <w:color w:val="auto"/>
          <w:highlight w:val="none"/>
          <w:u w:val="single"/>
        </w:rPr>
        <w:tab/>
      </w:r>
      <w:r>
        <w:rPr>
          <w:rFonts w:ascii="Times New Roman" w:eastAsia="Times New Roman"/>
          <w:color w:val="auto"/>
          <w:highlight w:val="none"/>
        </w:rPr>
        <w:t>(</w:t>
      </w:r>
      <w:r>
        <w:rPr>
          <w:color w:val="auto"/>
          <w:highlight w:val="none"/>
        </w:rPr>
        <w:t>姓名</w:t>
      </w:r>
      <w:r>
        <w:rPr>
          <w:rFonts w:ascii="Times New Roman" w:eastAsia="Times New Roman"/>
          <w:color w:val="auto"/>
          <w:highlight w:val="none"/>
        </w:rPr>
        <w:t>)</w:t>
      </w:r>
      <w:r>
        <w:rPr>
          <w:color w:val="auto"/>
          <w:highlight w:val="none"/>
        </w:rPr>
        <w:t>系</w:t>
      </w:r>
      <w:r>
        <w:rPr>
          <w:color w:val="auto"/>
          <w:highlight w:val="none"/>
          <w:u w:val="single"/>
        </w:rPr>
        <w:tab/>
      </w:r>
      <w:r>
        <w:rPr>
          <w:rFonts w:ascii="Times New Roman" w:eastAsia="Times New Roman"/>
          <w:color w:val="auto"/>
          <w:highlight w:val="none"/>
        </w:rPr>
        <w:t>(</w:t>
      </w:r>
      <w:r>
        <w:rPr>
          <w:color w:val="auto"/>
          <w:highlight w:val="none"/>
        </w:rPr>
        <w:t>供应商名称</w:t>
      </w:r>
      <w:r>
        <w:rPr>
          <w:rFonts w:ascii="Times New Roman" w:eastAsia="Times New Roman"/>
          <w:color w:val="auto"/>
          <w:highlight w:val="none"/>
        </w:rPr>
        <w:t>)</w:t>
      </w:r>
      <w:r>
        <w:rPr>
          <w:color w:val="auto"/>
          <w:highlight w:val="none"/>
        </w:rPr>
        <w:t>的法定代表人，现委托</w:t>
      </w:r>
      <w:r>
        <w:rPr>
          <w:color w:val="auto"/>
          <w:highlight w:val="none"/>
          <w:u w:val="single"/>
        </w:rPr>
        <w:tab/>
      </w:r>
      <w:r>
        <w:rPr>
          <w:rFonts w:ascii="Times New Roman" w:eastAsia="Times New Roman"/>
          <w:color w:val="auto"/>
          <w:highlight w:val="none"/>
        </w:rPr>
        <w:t>(</w:t>
      </w:r>
      <w:r>
        <w:rPr>
          <w:color w:val="auto"/>
          <w:spacing w:val="-14"/>
          <w:highlight w:val="none"/>
        </w:rPr>
        <w:t>姓</w:t>
      </w:r>
      <w:r>
        <w:rPr>
          <w:color w:val="auto"/>
          <w:highlight w:val="none"/>
        </w:rPr>
        <w:t>名</w:t>
      </w:r>
      <w:r>
        <w:rPr>
          <w:rFonts w:ascii="Times New Roman" w:eastAsia="Times New Roman"/>
          <w:color w:val="auto"/>
          <w:spacing w:val="4"/>
          <w:highlight w:val="none"/>
        </w:rPr>
        <w:t>)</w:t>
      </w:r>
      <w:r>
        <w:rPr>
          <w:color w:val="auto"/>
          <w:highlight w:val="none"/>
        </w:rPr>
        <w:t>为我方代理人。代理人根据授权，以我方名义签署、澄清、说明、补正、递交、撤回、修改</w:t>
      </w:r>
      <w:r>
        <w:rPr>
          <w:color w:val="auto"/>
          <w:highlight w:val="none"/>
          <w:u w:val="single"/>
        </w:rPr>
        <w:tab/>
      </w:r>
      <w:r>
        <w:rPr>
          <w:color w:val="auto"/>
          <w:highlight w:val="none"/>
          <w:u w:val="single"/>
        </w:rPr>
        <w:tab/>
      </w:r>
      <w:r>
        <w:rPr>
          <w:rFonts w:ascii="Times New Roman" w:eastAsia="Times New Roman"/>
          <w:color w:val="auto"/>
          <w:highlight w:val="none"/>
        </w:rPr>
        <w:t>(</w:t>
      </w:r>
      <w:r>
        <w:rPr>
          <w:color w:val="auto"/>
          <w:highlight w:val="none"/>
        </w:rPr>
        <w:t>项目名称</w:t>
      </w:r>
      <w:r>
        <w:rPr>
          <w:rFonts w:ascii="Times New Roman" w:eastAsia="Times New Roman"/>
          <w:color w:val="auto"/>
          <w:highlight w:val="none"/>
        </w:rPr>
        <w:t>)</w:t>
      </w:r>
      <w:r>
        <w:rPr>
          <w:color w:val="auto"/>
          <w:highlight w:val="none"/>
        </w:rPr>
        <w:t>响应文件、签订合同和处理有关事宜，其法律后果由我方承担。</w:t>
      </w:r>
    </w:p>
    <w:p>
      <w:pPr>
        <w:pStyle w:val="10"/>
        <w:spacing w:before="3" w:line="343" w:lineRule="auto"/>
        <w:ind w:left="700" w:right="4225"/>
        <w:rPr>
          <w:color w:val="auto"/>
          <w:highlight w:val="none"/>
        </w:rPr>
      </w:pPr>
      <w:r>
        <w:rPr>
          <w:color w:val="auto"/>
          <w:highlight w:val="none"/>
        </w:rPr>
        <w:t>委托期限：</w:t>
      </w:r>
      <w:r>
        <w:rPr>
          <w:color w:val="auto"/>
          <w:highlight w:val="none"/>
          <w:u w:val="single"/>
        </w:rPr>
        <w:t>自授权委托之日起至签订合同之日止</w:t>
      </w:r>
      <w:r>
        <w:rPr>
          <w:color w:val="auto"/>
          <w:highlight w:val="none"/>
        </w:rPr>
        <w:t>。代理人无转委托权。</w:t>
      </w:r>
    </w:p>
    <w:p>
      <w:pPr>
        <w:pStyle w:val="10"/>
        <w:spacing w:line="306" w:lineRule="exact"/>
        <w:ind w:left="700"/>
        <w:rPr>
          <w:color w:val="auto"/>
          <w:highlight w:val="none"/>
        </w:rPr>
      </w:pPr>
      <w:r>
        <w:rPr>
          <w:color w:val="auto"/>
          <w:highlight w:val="none"/>
        </w:rPr>
        <w:t>附：法定代表人身份证明、委托代理人的身份证正反面复印件</w:t>
      </w:r>
    </w:p>
    <w:p>
      <w:pPr>
        <w:pStyle w:val="2"/>
        <w:rPr>
          <w:color w:val="auto"/>
          <w:sz w:val="24"/>
          <w:highlight w:val="none"/>
        </w:rPr>
      </w:pPr>
    </w:p>
    <w:p>
      <w:pPr>
        <w:pStyle w:val="2"/>
        <w:rPr>
          <w:color w:val="auto"/>
          <w:sz w:val="24"/>
          <w:highlight w:val="none"/>
        </w:rPr>
      </w:pPr>
    </w:p>
    <w:p>
      <w:pPr>
        <w:pStyle w:val="2"/>
        <w:rPr>
          <w:color w:val="auto"/>
          <w:sz w:val="31"/>
          <w:highlight w:val="none"/>
        </w:rPr>
      </w:pPr>
    </w:p>
    <w:p>
      <w:pPr>
        <w:pStyle w:val="10"/>
        <w:tabs>
          <w:tab w:val="left" w:pos="8845"/>
          <w:tab w:val="left" w:pos="9325"/>
          <w:tab w:val="left" w:pos="9891"/>
        </w:tabs>
        <w:spacing w:line="686" w:lineRule="auto"/>
        <w:ind w:left="4165" w:right="178"/>
        <w:jc w:val="both"/>
        <w:rPr>
          <w:rFonts w:ascii="Times New Roman" w:eastAsia="Times New Roman"/>
          <w:color w:val="auto"/>
          <w:highlight w:val="none"/>
        </w:rPr>
      </w:pPr>
      <w:r>
        <w:rPr>
          <w:color w:val="auto"/>
          <w:highlight w:val="none"/>
        </w:rPr>
        <w:t>供应商：</w:t>
      </w:r>
      <w:r>
        <w:rPr>
          <w:color w:val="auto"/>
          <w:highlight w:val="none"/>
          <w:u w:val="single"/>
        </w:rPr>
        <w:tab/>
      </w:r>
      <w:r>
        <w:rPr>
          <w:rFonts w:ascii="Times New Roman" w:eastAsia="Times New Roman"/>
          <w:color w:val="auto"/>
          <w:highlight w:val="none"/>
        </w:rPr>
        <w:t>(</w:t>
      </w:r>
      <w:r>
        <w:rPr>
          <w:color w:val="auto"/>
          <w:highlight w:val="none"/>
        </w:rPr>
        <w:t>盖单位章</w:t>
      </w:r>
      <w:r>
        <w:rPr>
          <w:rFonts w:ascii="Times New Roman" w:eastAsia="Times New Roman"/>
          <w:color w:val="auto"/>
          <w:highlight w:val="none"/>
        </w:rPr>
        <w:t xml:space="preserve">) </w:t>
      </w:r>
      <w:r>
        <w:rPr>
          <w:color w:val="auto"/>
          <w:highlight w:val="none"/>
        </w:rPr>
        <w:t>法定代表人：</w:t>
      </w:r>
      <w:r>
        <w:rPr>
          <w:color w:val="auto"/>
          <w:highlight w:val="none"/>
          <w:u w:val="single"/>
        </w:rPr>
        <w:tab/>
      </w:r>
      <w:r>
        <w:rPr>
          <w:color w:val="auto"/>
          <w:highlight w:val="none"/>
          <w:u w:val="single"/>
        </w:rPr>
        <w:tab/>
      </w:r>
      <w:r>
        <w:rPr>
          <w:rFonts w:ascii="Times New Roman" w:eastAsia="Times New Roman"/>
          <w:color w:val="auto"/>
          <w:highlight w:val="none"/>
        </w:rPr>
        <w:t>(</w:t>
      </w:r>
      <w:r>
        <w:rPr>
          <w:color w:val="auto"/>
          <w:highlight w:val="none"/>
        </w:rPr>
        <w:t>签名</w:t>
      </w:r>
      <w:r>
        <w:rPr>
          <w:rFonts w:ascii="Times New Roman" w:eastAsia="Times New Roman"/>
          <w:color w:val="auto"/>
          <w:highlight w:val="none"/>
        </w:rPr>
        <w:t xml:space="preserve">) </w:t>
      </w:r>
      <w:r>
        <w:rPr>
          <w:color w:val="auto"/>
          <w:highlight w:val="none"/>
        </w:rPr>
        <w:t>身份证号码：</w:t>
      </w:r>
      <w:r>
        <w:rPr>
          <w:rFonts w:ascii="Times New Roman" w:eastAsia="Times New Roman"/>
          <w:color w:val="auto"/>
          <w:highlight w:val="none"/>
          <w:u w:val="single"/>
        </w:rPr>
        <w:tab/>
      </w:r>
      <w:r>
        <w:rPr>
          <w:rFonts w:ascii="Times New Roman" w:eastAsia="Times New Roman"/>
          <w:color w:val="auto"/>
          <w:highlight w:val="none"/>
          <w:u w:val="single"/>
        </w:rPr>
        <w:tab/>
      </w:r>
      <w:r>
        <w:rPr>
          <w:rFonts w:ascii="Times New Roman" w:eastAsia="Times New Roman"/>
          <w:color w:val="auto"/>
          <w:highlight w:val="none"/>
          <w:u w:val="single"/>
        </w:rPr>
        <w:tab/>
      </w:r>
    </w:p>
    <w:p>
      <w:pPr>
        <w:pStyle w:val="10"/>
        <w:tabs>
          <w:tab w:val="left" w:pos="9325"/>
          <w:tab w:val="left" w:pos="10025"/>
        </w:tabs>
        <w:spacing w:before="2" w:line="686" w:lineRule="auto"/>
        <w:ind w:left="4300" w:right="178" w:hanging="135"/>
        <w:rPr>
          <w:rFonts w:ascii="Times New Roman" w:eastAsia="Times New Roman"/>
          <w:color w:val="auto"/>
          <w:highlight w:val="none"/>
        </w:rPr>
      </w:pPr>
      <w:r>
        <w:rPr>
          <w:color w:val="auto"/>
          <w:highlight w:val="none"/>
        </w:rPr>
        <w:t>委托代理人：</w:t>
      </w:r>
      <w:r>
        <w:rPr>
          <w:color w:val="auto"/>
          <w:highlight w:val="none"/>
          <w:u w:val="single"/>
        </w:rPr>
        <w:tab/>
      </w:r>
      <w:r>
        <w:rPr>
          <w:rFonts w:ascii="Times New Roman" w:eastAsia="Times New Roman"/>
          <w:color w:val="auto"/>
          <w:highlight w:val="none"/>
        </w:rPr>
        <w:t>(</w:t>
      </w:r>
      <w:r>
        <w:rPr>
          <w:color w:val="auto"/>
          <w:highlight w:val="none"/>
        </w:rPr>
        <w:t>签名</w:t>
      </w:r>
      <w:r>
        <w:rPr>
          <w:rFonts w:ascii="Times New Roman" w:eastAsia="Times New Roman"/>
          <w:color w:val="auto"/>
          <w:highlight w:val="none"/>
        </w:rPr>
        <w:t xml:space="preserve">) </w:t>
      </w:r>
      <w:r>
        <w:rPr>
          <w:color w:val="auto"/>
          <w:highlight w:val="none"/>
        </w:rPr>
        <w:t>身份证号码：</w:t>
      </w:r>
      <w:r>
        <w:rPr>
          <w:rFonts w:ascii="Times New Roman" w:eastAsia="Times New Roman"/>
          <w:color w:val="auto"/>
          <w:highlight w:val="none"/>
          <w:u w:val="single"/>
        </w:rPr>
        <w:tab/>
      </w:r>
      <w:r>
        <w:rPr>
          <w:rFonts w:ascii="Times New Roman" w:eastAsia="Times New Roman"/>
          <w:color w:val="auto"/>
          <w:highlight w:val="none"/>
          <w:u w:val="single"/>
        </w:rPr>
        <w:tab/>
      </w:r>
    </w:p>
    <w:p>
      <w:pPr>
        <w:pStyle w:val="2"/>
        <w:rPr>
          <w:rFonts w:ascii="Times New Roman"/>
          <w:color w:val="auto"/>
          <w:sz w:val="20"/>
          <w:highlight w:val="none"/>
        </w:rPr>
      </w:pPr>
    </w:p>
    <w:p>
      <w:pPr>
        <w:pStyle w:val="10"/>
        <w:tabs>
          <w:tab w:val="left" w:pos="840"/>
          <w:tab w:val="left" w:pos="1800"/>
          <w:tab w:val="left" w:pos="2520"/>
        </w:tabs>
        <w:spacing w:before="212"/>
        <w:ind w:left="0" w:right="237"/>
        <w:jc w:val="right"/>
        <w:rPr>
          <w:color w:val="auto"/>
          <w:highlight w:val="none"/>
        </w:rPr>
      </w:pPr>
      <w:r>
        <w:rPr>
          <w:rFonts w:ascii="Times New Roman" w:eastAsia="Times New Roman"/>
          <w:color w:val="auto"/>
          <w:highlight w:val="none"/>
          <w:u w:val="single"/>
        </w:rPr>
        <w:tab/>
      </w:r>
      <w:r>
        <w:rPr>
          <w:color w:val="auto"/>
          <w:highlight w:val="none"/>
        </w:rPr>
        <w:t>年</w:t>
      </w:r>
      <w:r>
        <w:rPr>
          <w:color w:val="auto"/>
          <w:highlight w:val="none"/>
          <w:u w:val="single"/>
        </w:rPr>
        <w:tab/>
      </w:r>
      <w:r>
        <w:rPr>
          <w:color w:val="auto"/>
          <w:highlight w:val="none"/>
        </w:rPr>
        <w:t>月</w:t>
      </w:r>
      <w:r>
        <w:rPr>
          <w:color w:val="auto"/>
          <w:highlight w:val="none"/>
          <w:u w:val="single"/>
        </w:rPr>
        <w:tab/>
      </w:r>
      <w:r>
        <w:rPr>
          <w:color w:val="auto"/>
          <w:highlight w:val="none"/>
        </w:rPr>
        <w:t>日</w:t>
      </w:r>
    </w:p>
    <w:p>
      <w:pPr>
        <w:jc w:val="right"/>
        <w:rPr>
          <w:color w:val="auto"/>
          <w:highlight w:val="none"/>
        </w:rPr>
        <w:sectPr>
          <w:pgSz w:w="11910" w:h="16840"/>
          <w:pgMar w:top="1440" w:right="840" w:bottom="1180" w:left="860" w:header="0" w:footer="998" w:gutter="0"/>
          <w:cols w:space="720" w:num="1"/>
        </w:sectPr>
      </w:pPr>
    </w:p>
    <w:p>
      <w:pPr>
        <w:pStyle w:val="8"/>
        <w:spacing w:before="35"/>
        <w:ind w:left="272" w:right="289" w:firstLine="0"/>
        <w:jc w:val="center"/>
        <w:rPr>
          <w:color w:val="auto"/>
          <w:highlight w:val="none"/>
        </w:rPr>
      </w:pPr>
      <w:r>
        <w:rPr>
          <w:color w:val="auto"/>
          <w:highlight w:val="none"/>
        </w:rPr>
        <w:t>三、已标价的报价清单</w:t>
      </w:r>
    </w:p>
    <w:p>
      <w:pPr>
        <w:rPr>
          <w:color w:val="auto"/>
          <w:sz w:val="28"/>
          <w:highlight w:val="none"/>
        </w:rPr>
      </w:pPr>
    </w:p>
    <w:p>
      <w:pPr>
        <w:spacing w:before="11"/>
        <w:rPr>
          <w:color w:val="auto"/>
          <w:sz w:val="28"/>
          <w:highlight w:val="none"/>
        </w:rPr>
      </w:pPr>
    </w:p>
    <w:p>
      <w:pPr>
        <w:pStyle w:val="7"/>
        <w:tabs>
          <w:tab w:val="left" w:pos="770"/>
        </w:tabs>
        <w:rPr>
          <w:color w:val="auto"/>
          <w:highlight w:val="none"/>
        </w:rPr>
      </w:pPr>
      <w:r>
        <w:rPr>
          <w:color w:val="auto"/>
          <w:highlight w:val="none"/>
        </w:rPr>
        <w:t>表</w:t>
      </w:r>
      <w:r>
        <w:rPr>
          <w:rFonts w:ascii="Times New Roman" w:eastAsia="Times New Roman"/>
          <w:color w:val="auto"/>
          <w:highlight w:val="none"/>
        </w:rPr>
        <w:t>1</w:t>
      </w:r>
      <w:r>
        <w:rPr>
          <w:rFonts w:ascii="Times New Roman" w:eastAsia="Times New Roman"/>
          <w:color w:val="auto"/>
          <w:highlight w:val="none"/>
        </w:rPr>
        <w:tab/>
      </w:r>
      <w:r>
        <w:rPr>
          <w:color w:val="auto"/>
          <w:highlight w:val="none"/>
        </w:rPr>
        <w:t>报价汇总表</w:t>
      </w:r>
    </w:p>
    <w:p>
      <w:pPr>
        <w:pStyle w:val="2"/>
        <w:spacing w:before="9"/>
        <w:rPr>
          <w:b/>
          <w:color w:val="auto"/>
          <w:sz w:val="19"/>
          <w:highlight w:val="none"/>
        </w:rPr>
      </w:pPr>
    </w:p>
    <w:tbl>
      <w:tblPr>
        <w:tblStyle w:val="1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8"/>
        <w:gridCol w:w="4802"/>
        <w:gridCol w:w="2250"/>
        <w:gridCol w:w="16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268" w:type="dxa"/>
          </w:tcPr>
          <w:p>
            <w:pPr>
              <w:pStyle w:val="22"/>
              <w:rPr>
                <w:rFonts w:ascii="宋体"/>
                <w:b/>
                <w:color w:val="auto"/>
                <w:sz w:val="16"/>
                <w:highlight w:val="none"/>
              </w:rPr>
            </w:pPr>
          </w:p>
          <w:p>
            <w:pPr>
              <w:pStyle w:val="22"/>
              <w:ind w:left="403" w:right="395"/>
              <w:jc w:val="center"/>
              <w:rPr>
                <w:rFonts w:ascii="宋体" w:eastAsia="宋体"/>
                <w:color w:val="auto"/>
                <w:sz w:val="21"/>
                <w:highlight w:val="none"/>
              </w:rPr>
            </w:pPr>
            <w:r>
              <w:rPr>
                <w:rFonts w:hint="eastAsia" w:ascii="宋体" w:eastAsia="宋体"/>
                <w:color w:val="auto"/>
                <w:sz w:val="21"/>
                <w:highlight w:val="none"/>
              </w:rPr>
              <w:t>序号</w:t>
            </w:r>
          </w:p>
        </w:tc>
        <w:tc>
          <w:tcPr>
            <w:tcW w:w="4802" w:type="dxa"/>
          </w:tcPr>
          <w:p>
            <w:pPr>
              <w:pStyle w:val="22"/>
              <w:rPr>
                <w:rFonts w:ascii="宋体"/>
                <w:b/>
                <w:color w:val="auto"/>
                <w:sz w:val="16"/>
                <w:highlight w:val="none"/>
              </w:rPr>
            </w:pPr>
          </w:p>
          <w:p>
            <w:pPr>
              <w:pStyle w:val="22"/>
              <w:ind w:left="1118" w:right="1112"/>
              <w:jc w:val="center"/>
              <w:rPr>
                <w:rFonts w:ascii="宋体" w:eastAsia="宋体"/>
                <w:color w:val="auto"/>
                <w:sz w:val="21"/>
                <w:highlight w:val="none"/>
              </w:rPr>
            </w:pPr>
            <w:r>
              <w:rPr>
                <w:rFonts w:hint="eastAsia" w:ascii="宋体" w:eastAsia="宋体"/>
                <w:color w:val="auto"/>
                <w:sz w:val="21"/>
                <w:highlight w:val="none"/>
              </w:rPr>
              <w:t>项目</w:t>
            </w:r>
          </w:p>
        </w:tc>
        <w:tc>
          <w:tcPr>
            <w:tcW w:w="2250" w:type="dxa"/>
          </w:tcPr>
          <w:p>
            <w:pPr>
              <w:pStyle w:val="22"/>
              <w:rPr>
                <w:rFonts w:ascii="宋体"/>
                <w:b/>
                <w:color w:val="auto"/>
                <w:sz w:val="16"/>
                <w:highlight w:val="none"/>
              </w:rPr>
            </w:pPr>
          </w:p>
          <w:p>
            <w:pPr>
              <w:pStyle w:val="22"/>
              <w:ind w:left="599"/>
              <w:rPr>
                <w:rFonts w:ascii="宋体" w:eastAsia="宋体"/>
                <w:color w:val="auto"/>
                <w:sz w:val="21"/>
                <w:highlight w:val="none"/>
              </w:rPr>
            </w:pPr>
            <w:r>
              <w:rPr>
                <w:rFonts w:hint="eastAsia" w:ascii="宋体" w:eastAsia="宋体"/>
                <w:color w:val="auto"/>
                <w:sz w:val="21"/>
                <w:highlight w:val="none"/>
              </w:rPr>
              <w:t>价格（元）</w:t>
            </w:r>
          </w:p>
        </w:tc>
        <w:tc>
          <w:tcPr>
            <w:tcW w:w="1642" w:type="dxa"/>
          </w:tcPr>
          <w:p>
            <w:pPr>
              <w:pStyle w:val="22"/>
              <w:rPr>
                <w:rFonts w:ascii="宋体"/>
                <w:b/>
                <w:color w:val="auto"/>
                <w:sz w:val="16"/>
                <w:highlight w:val="none"/>
              </w:rPr>
            </w:pPr>
          </w:p>
          <w:p>
            <w:pPr>
              <w:pStyle w:val="22"/>
              <w:ind w:left="589" w:right="583"/>
              <w:jc w:val="center"/>
              <w:rPr>
                <w:rFonts w:ascii="宋体" w:eastAsia="宋体"/>
                <w:color w:val="auto"/>
                <w:sz w:val="21"/>
                <w:highlight w:val="none"/>
              </w:rPr>
            </w:pPr>
            <w:r>
              <w:rPr>
                <w:rFonts w:hint="eastAsia" w:ascii="宋体" w:eastAsia="宋体"/>
                <w:color w:val="auto"/>
                <w:sz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268" w:type="dxa"/>
          </w:tcPr>
          <w:p>
            <w:pPr>
              <w:pStyle w:val="22"/>
              <w:rPr>
                <w:rFonts w:ascii="宋体"/>
                <w:b/>
                <w:color w:val="auto"/>
                <w:sz w:val="17"/>
                <w:highlight w:val="none"/>
              </w:rPr>
            </w:pPr>
          </w:p>
          <w:p>
            <w:pPr>
              <w:pStyle w:val="22"/>
              <w:ind w:left="7"/>
              <w:jc w:val="center"/>
              <w:rPr>
                <w:rFonts w:ascii="Times New Roman"/>
                <w:color w:val="auto"/>
                <w:sz w:val="21"/>
                <w:highlight w:val="none"/>
              </w:rPr>
            </w:pPr>
            <w:r>
              <w:rPr>
                <w:rFonts w:ascii="Times New Roman"/>
                <w:color w:val="auto"/>
                <w:w w:val="99"/>
                <w:sz w:val="21"/>
                <w:highlight w:val="none"/>
              </w:rPr>
              <w:t>1</w:t>
            </w:r>
          </w:p>
        </w:tc>
        <w:tc>
          <w:tcPr>
            <w:tcW w:w="4802" w:type="dxa"/>
          </w:tcPr>
          <w:p>
            <w:pPr>
              <w:pStyle w:val="22"/>
              <w:spacing w:before="11"/>
              <w:rPr>
                <w:rFonts w:ascii="宋体"/>
                <w:b/>
                <w:color w:val="auto"/>
                <w:sz w:val="15"/>
                <w:highlight w:val="none"/>
              </w:rPr>
            </w:pPr>
          </w:p>
          <w:p>
            <w:pPr>
              <w:pStyle w:val="22"/>
              <w:spacing w:before="1"/>
              <w:ind w:left="1120" w:right="1112"/>
              <w:jc w:val="center"/>
              <w:rPr>
                <w:rFonts w:ascii="宋体" w:eastAsia="宋体"/>
                <w:color w:val="auto"/>
                <w:sz w:val="21"/>
                <w:highlight w:val="none"/>
              </w:rPr>
            </w:pPr>
            <w:r>
              <w:rPr>
                <w:rFonts w:hint="eastAsia" w:ascii="宋体" w:eastAsia="宋体"/>
                <w:color w:val="auto"/>
                <w:sz w:val="21"/>
                <w:highlight w:val="none"/>
              </w:rPr>
              <w:t>工地试验室仪器设备</w:t>
            </w:r>
          </w:p>
        </w:tc>
        <w:tc>
          <w:tcPr>
            <w:tcW w:w="2250" w:type="dxa"/>
          </w:tcPr>
          <w:p>
            <w:pPr>
              <w:pStyle w:val="22"/>
              <w:rPr>
                <w:rFonts w:ascii="Times New Roman"/>
                <w:color w:val="auto"/>
                <w:sz w:val="20"/>
                <w:highlight w:val="none"/>
              </w:rPr>
            </w:pPr>
          </w:p>
        </w:tc>
        <w:tc>
          <w:tcPr>
            <w:tcW w:w="1642" w:type="dxa"/>
          </w:tcPr>
          <w:p>
            <w:pPr>
              <w:pStyle w:val="22"/>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2" w:hRule="atLeast"/>
        </w:trPr>
        <w:tc>
          <w:tcPr>
            <w:tcW w:w="1268" w:type="dxa"/>
          </w:tcPr>
          <w:p>
            <w:pPr>
              <w:pStyle w:val="22"/>
              <w:spacing w:before="10"/>
              <w:rPr>
                <w:rFonts w:ascii="宋体"/>
                <w:b/>
                <w:color w:val="auto"/>
                <w:sz w:val="25"/>
                <w:highlight w:val="none"/>
              </w:rPr>
            </w:pPr>
          </w:p>
          <w:p>
            <w:pPr>
              <w:pStyle w:val="22"/>
              <w:ind w:left="7"/>
              <w:jc w:val="center"/>
              <w:rPr>
                <w:rFonts w:ascii="Times New Roman"/>
                <w:color w:val="auto"/>
                <w:sz w:val="21"/>
                <w:highlight w:val="none"/>
              </w:rPr>
            </w:pPr>
            <w:r>
              <w:rPr>
                <w:rFonts w:hint="eastAsia" w:ascii="Times New Roman"/>
                <w:color w:val="auto"/>
                <w:w w:val="99"/>
                <w:sz w:val="21"/>
                <w:highlight w:val="none"/>
                <w:lang w:val="en-US"/>
              </w:rPr>
              <w:t>2</w:t>
            </w:r>
          </w:p>
        </w:tc>
        <w:tc>
          <w:tcPr>
            <w:tcW w:w="4802" w:type="dxa"/>
          </w:tcPr>
          <w:p>
            <w:pPr>
              <w:pStyle w:val="22"/>
              <w:spacing w:before="9"/>
              <w:rPr>
                <w:rFonts w:ascii="宋体"/>
                <w:b/>
                <w:color w:val="auto"/>
                <w:sz w:val="24"/>
                <w:highlight w:val="none"/>
              </w:rPr>
            </w:pPr>
          </w:p>
          <w:p>
            <w:pPr>
              <w:pStyle w:val="22"/>
              <w:ind w:left="1118" w:right="1112"/>
              <w:jc w:val="center"/>
              <w:rPr>
                <w:rFonts w:ascii="宋体" w:eastAsia="宋体"/>
                <w:color w:val="auto"/>
                <w:sz w:val="21"/>
                <w:highlight w:val="none"/>
              </w:rPr>
            </w:pPr>
            <w:r>
              <w:rPr>
                <w:rFonts w:hint="eastAsia" w:ascii="宋体" w:eastAsia="宋体"/>
                <w:color w:val="auto"/>
                <w:sz w:val="21"/>
                <w:highlight w:val="none"/>
              </w:rPr>
              <w:t>合计</w:t>
            </w:r>
          </w:p>
        </w:tc>
        <w:tc>
          <w:tcPr>
            <w:tcW w:w="2250" w:type="dxa"/>
          </w:tcPr>
          <w:p>
            <w:pPr>
              <w:pStyle w:val="22"/>
              <w:spacing w:before="98"/>
              <w:ind w:left="107"/>
              <w:rPr>
                <w:rFonts w:ascii="宋体" w:eastAsia="宋体"/>
                <w:color w:val="auto"/>
                <w:sz w:val="21"/>
                <w:highlight w:val="none"/>
              </w:rPr>
            </w:pPr>
            <w:r>
              <w:rPr>
                <w:rFonts w:hint="eastAsia" w:ascii="宋体" w:eastAsia="宋体"/>
                <w:color w:val="auto"/>
                <w:w w:val="95"/>
                <w:sz w:val="21"/>
                <w:highlight w:val="none"/>
              </w:rPr>
              <w:t>小写：</w:t>
            </w:r>
          </w:p>
          <w:p>
            <w:pPr>
              <w:pStyle w:val="22"/>
              <w:spacing w:before="144"/>
              <w:ind w:left="107"/>
              <w:rPr>
                <w:rFonts w:ascii="宋体" w:eastAsia="宋体"/>
                <w:color w:val="auto"/>
                <w:sz w:val="21"/>
                <w:highlight w:val="none"/>
              </w:rPr>
            </w:pPr>
            <w:r>
              <w:rPr>
                <w:rFonts w:hint="eastAsia" w:ascii="宋体" w:eastAsia="宋体"/>
                <w:color w:val="auto"/>
                <w:w w:val="95"/>
                <w:sz w:val="21"/>
                <w:highlight w:val="none"/>
              </w:rPr>
              <w:t>大写：</w:t>
            </w:r>
          </w:p>
        </w:tc>
        <w:tc>
          <w:tcPr>
            <w:tcW w:w="1642" w:type="dxa"/>
          </w:tcPr>
          <w:p>
            <w:pPr>
              <w:pStyle w:val="22"/>
              <w:rPr>
                <w:rFonts w:ascii="Times New Roman"/>
                <w:color w:val="auto"/>
                <w:sz w:val="20"/>
                <w:highlight w:val="none"/>
              </w:rPr>
            </w:pPr>
          </w:p>
        </w:tc>
      </w:tr>
    </w:tbl>
    <w:p>
      <w:pPr>
        <w:pStyle w:val="2"/>
        <w:spacing w:before="4"/>
        <w:rPr>
          <w:b/>
          <w:color w:val="auto"/>
          <w:sz w:val="44"/>
          <w:highlight w:val="none"/>
        </w:rPr>
      </w:pPr>
    </w:p>
    <w:p>
      <w:pPr>
        <w:pStyle w:val="2"/>
        <w:ind w:left="220"/>
        <w:rPr>
          <w:rFonts w:ascii="黑体" w:eastAsia="黑体"/>
          <w:color w:val="auto"/>
          <w:highlight w:val="none"/>
        </w:rPr>
      </w:pPr>
      <w:r>
        <w:rPr>
          <w:rFonts w:hint="eastAsia" w:ascii="黑体" w:eastAsia="黑体"/>
          <w:color w:val="auto"/>
          <w:highlight w:val="none"/>
        </w:rPr>
        <w:t>注：</w:t>
      </w:r>
    </w:p>
    <w:p>
      <w:pPr>
        <w:spacing w:before="7"/>
        <w:rPr>
          <w:color w:val="auto"/>
          <w:sz w:val="15"/>
          <w:highlight w:val="none"/>
        </w:rPr>
      </w:pPr>
    </w:p>
    <w:p>
      <w:pPr>
        <w:pStyle w:val="2"/>
        <w:spacing w:line="360" w:lineRule="auto"/>
        <w:ind w:left="641"/>
        <w:rPr>
          <w:rFonts w:ascii="黑体" w:eastAsia="黑体"/>
          <w:color w:val="auto"/>
          <w:highlight w:val="none"/>
        </w:rPr>
      </w:pPr>
      <w:r>
        <w:rPr>
          <w:rFonts w:hint="eastAsia" w:ascii="黑体" w:eastAsia="黑体"/>
          <w:color w:val="auto"/>
          <w:highlight w:val="none"/>
        </w:rPr>
        <w:t>1、供应商的各项报价含设备、安装、调试、运输、税费等一切费用，采购人不另支付；结算时根据实   际供货据实结算，需开具能抵扣 13%的专用发票。</w:t>
      </w:r>
    </w:p>
    <w:p>
      <w:pPr>
        <w:pStyle w:val="2"/>
        <w:spacing w:line="360" w:lineRule="auto"/>
        <w:ind w:left="641"/>
        <w:rPr>
          <w:rFonts w:ascii="黑体" w:eastAsia="黑体"/>
          <w:color w:val="auto"/>
          <w:highlight w:val="none"/>
        </w:rPr>
      </w:pPr>
      <w:r>
        <w:rPr>
          <w:rFonts w:hint="eastAsia" w:ascii="黑体" w:eastAsia="黑体"/>
          <w:color w:val="auto"/>
          <w:highlight w:val="none"/>
        </w:rPr>
        <w:t>2、汇总表合计与报价函中报价一致。</w:t>
      </w:r>
    </w:p>
    <w:p>
      <w:pPr>
        <w:pStyle w:val="2"/>
        <w:spacing w:line="360" w:lineRule="auto"/>
        <w:ind w:left="641"/>
        <w:rPr>
          <w:rFonts w:ascii="黑体" w:eastAsia="黑体"/>
          <w:color w:val="auto"/>
          <w:highlight w:val="none"/>
        </w:rPr>
      </w:pPr>
      <w:r>
        <w:rPr>
          <w:rFonts w:hint="eastAsia" w:ascii="黑体" w:eastAsia="黑体"/>
          <w:color w:val="auto"/>
          <w:highlight w:val="none"/>
        </w:rPr>
        <w:t>3、供应商拟投入的设备不得低于清单中“技术参数及说明”要求，并在报价清单中填写拟投入设备的厂家及型号规格。</w:t>
      </w:r>
    </w:p>
    <w:p>
      <w:pPr>
        <w:pStyle w:val="2"/>
        <w:spacing w:line="360" w:lineRule="auto"/>
        <w:ind w:left="641"/>
        <w:rPr>
          <w:rFonts w:ascii="黑体" w:eastAsia="黑体"/>
          <w:color w:val="auto"/>
          <w:highlight w:val="none"/>
        </w:rPr>
        <w:sectPr>
          <w:pgSz w:w="11910" w:h="16840"/>
          <w:pgMar w:top="1460" w:right="840" w:bottom="1180" w:left="860" w:header="0" w:footer="998" w:gutter="0"/>
          <w:cols w:space="720" w:num="1"/>
        </w:sectPr>
      </w:pPr>
    </w:p>
    <w:p>
      <w:pPr>
        <w:rPr>
          <w:color w:val="auto"/>
          <w:sz w:val="20"/>
          <w:highlight w:val="none"/>
        </w:rPr>
      </w:pPr>
    </w:p>
    <w:p>
      <w:pPr>
        <w:pStyle w:val="6"/>
        <w:rPr>
          <w:color w:val="auto"/>
          <w:highlight w:val="none"/>
        </w:rPr>
      </w:pPr>
      <w:r>
        <w:rPr>
          <w:color w:val="auto"/>
          <w:spacing w:val="-39"/>
          <w:sz w:val="28"/>
          <w:szCs w:val="28"/>
          <w:highlight w:val="none"/>
        </w:rPr>
        <w:t xml:space="preserve">表 </w:t>
      </w:r>
      <w:r>
        <w:rPr>
          <w:rFonts w:ascii="Times New Roman" w:eastAsia="Times New Roman"/>
          <w:color w:val="auto"/>
          <w:sz w:val="28"/>
          <w:szCs w:val="28"/>
          <w:highlight w:val="none"/>
        </w:rPr>
        <w:t>2</w:t>
      </w:r>
      <w:r>
        <w:rPr>
          <w:color w:val="auto"/>
          <w:sz w:val="28"/>
          <w:szCs w:val="28"/>
          <w:highlight w:val="none"/>
        </w:rPr>
        <w:t>安徽省高速公路试验检测科研中心有限公司工地试验室</w:t>
      </w:r>
      <w:r>
        <w:rPr>
          <w:rFonts w:hint="eastAsia"/>
          <w:color w:val="auto"/>
          <w:sz w:val="28"/>
          <w:szCs w:val="28"/>
          <w:highlight w:val="none"/>
          <w:lang w:val="en-US"/>
        </w:rPr>
        <w:t>五河至蒙城高速公路中心试验室路基仪器设备</w:t>
      </w:r>
      <w:r>
        <w:rPr>
          <w:color w:val="auto"/>
          <w:sz w:val="28"/>
          <w:szCs w:val="28"/>
          <w:highlight w:val="none"/>
        </w:rPr>
        <w:t>报价清单</w:t>
      </w:r>
    </w:p>
    <w:p>
      <w:pPr>
        <w:pStyle w:val="2"/>
        <w:spacing w:before="4"/>
        <w:rPr>
          <w:b/>
          <w:color w:val="auto"/>
          <w:sz w:val="9"/>
          <w:highlight w:val="none"/>
        </w:rPr>
      </w:pPr>
    </w:p>
    <w:tbl>
      <w:tblPr>
        <w:tblStyle w:val="17"/>
        <w:tblW w:w="0" w:type="auto"/>
        <w:tblInd w:w="0" w:type="dxa"/>
        <w:tblLayout w:type="fixed"/>
        <w:tblCellMar>
          <w:top w:w="0" w:type="dxa"/>
          <w:left w:w="108" w:type="dxa"/>
          <w:bottom w:w="0" w:type="dxa"/>
          <w:right w:w="108" w:type="dxa"/>
        </w:tblCellMar>
      </w:tblPr>
      <w:tblGrid>
        <w:gridCol w:w="632"/>
        <w:gridCol w:w="720"/>
        <w:gridCol w:w="1250"/>
        <w:gridCol w:w="1074"/>
        <w:gridCol w:w="764"/>
        <w:gridCol w:w="618"/>
        <w:gridCol w:w="927"/>
        <w:gridCol w:w="897"/>
        <w:gridCol w:w="3778"/>
        <w:gridCol w:w="1310"/>
        <w:gridCol w:w="1432"/>
        <w:gridCol w:w="1494"/>
      </w:tblGrid>
      <w:tr>
        <w:tblPrEx>
          <w:tblCellMar>
            <w:top w:w="0" w:type="dxa"/>
            <w:left w:w="108" w:type="dxa"/>
            <w:bottom w:w="0" w:type="dxa"/>
            <w:right w:w="108" w:type="dxa"/>
          </w:tblCellMar>
        </w:tblPrEx>
        <w:trPr>
          <w:trHeight w:val="402" w:hRule="atLeast"/>
          <w:tblHeader/>
        </w:trPr>
        <w:tc>
          <w:tcPr>
            <w:tcW w:w="632"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仿宋" w:hAnsi="仿宋" w:eastAsia="仿宋" w:cs="仿宋"/>
                <w:b/>
                <w:bCs/>
                <w:color w:val="auto"/>
                <w:sz w:val="16"/>
                <w:szCs w:val="16"/>
                <w:highlight w:val="none"/>
              </w:rPr>
            </w:pPr>
            <w:r>
              <w:rPr>
                <w:rFonts w:hint="eastAsia" w:ascii="仿宋" w:hAnsi="仿宋" w:eastAsia="仿宋" w:cs="仿宋"/>
                <w:b/>
                <w:bCs/>
                <w:color w:val="auto"/>
                <w:sz w:val="16"/>
                <w:szCs w:val="16"/>
                <w:highlight w:val="none"/>
                <w:lang w:val="en-US"/>
              </w:rPr>
              <w:t>序号</w:t>
            </w:r>
          </w:p>
        </w:tc>
        <w:tc>
          <w:tcPr>
            <w:tcW w:w="720"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仿宋" w:hAnsi="仿宋" w:eastAsia="仿宋" w:cs="仿宋"/>
                <w:b/>
                <w:bCs/>
                <w:color w:val="auto"/>
                <w:sz w:val="16"/>
                <w:szCs w:val="16"/>
                <w:highlight w:val="none"/>
              </w:rPr>
            </w:pPr>
            <w:r>
              <w:rPr>
                <w:rFonts w:hint="eastAsia" w:ascii="仿宋" w:hAnsi="仿宋" w:eastAsia="仿宋" w:cs="仿宋"/>
                <w:b/>
                <w:bCs/>
                <w:color w:val="auto"/>
                <w:sz w:val="16"/>
                <w:szCs w:val="16"/>
                <w:highlight w:val="none"/>
                <w:lang w:val="en-US"/>
              </w:rPr>
              <w:t>功能室</w:t>
            </w:r>
          </w:p>
        </w:tc>
        <w:tc>
          <w:tcPr>
            <w:tcW w:w="1250"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仿宋" w:hAnsi="仿宋" w:eastAsia="仿宋" w:cs="仿宋"/>
                <w:b/>
                <w:bCs/>
                <w:color w:val="auto"/>
                <w:sz w:val="16"/>
                <w:szCs w:val="16"/>
                <w:highlight w:val="none"/>
              </w:rPr>
            </w:pPr>
            <w:r>
              <w:rPr>
                <w:rFonts w:hint="eastAsia" w:ascii="仿宋" w:hAnsi="仿宋" w:eastAsia="仿宋" w:cs="仿宋"/>
                <w:b/>
                <w:bCs/>
                <w:color w:val="auto"/>
                <w:sz w:val="16"/>
                <w:szCs w:val="16"/>
                <w:highlight w:val="none"/>
                <w:lang w:val="en-US"/>
              </w:rPr>
              <w:t>仪器设备名称</w:t>
            </w:r>
          </w:p>
        </w:tc>
        <w:tc>
          <w:tcPr>
            <w:tcW w:w="1074"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仿宋" w:hAnsi="仿宋" w:eastAsia="仿宋" w:cs="仿宋"/>
                <w:b/>
                <w:bCs/>
                <w:color w:val="auto"/>
                <w:sz w:val="16"/>
                <w:szCs w:val="16"/>
                <w:highlight w:val="none"/>
              </w:rPr>
            </w:pPr>
            <w:r>
              <w:rPr>
                <w:rFonts w:hint="eastAsia" w:ascii="仿宋" w:hAnsi="仿宋" w:eastAsia="仿宋" w:cs="仿宋"/>
                <w:b/>
                <w:bCs/>
                <w:color w:val="auto"/>
                <w:sz w:val="16"/>
                <w:szCs w:val="16"/>
                <w:highlight w:val="none"/>
                <w:lang w:val="en-US"/>
              </w:rPr>
              <w:t>型号规格</w:t>
            </w:r>
          </w:p>
        </w:tc>
        <w:tc>
          <w:tcPr>
            <w:tcW w:w="764"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仿宋" w:hAnsi="仿宋" w:eastAsia="仿宋" w:cs="仿宋"/>
                <w:b/>
                <w:bCs/>
                <w:color w:val="auto"/>
                <w:sz w:val="16"/>
                <w:szCs w:val="16"/>
                <w:highlight w:val="none"/>
              </w:rPr>
            </w:pPr>
            <w:r>
              <w:rPr>
                <w:rFonts w:hint="eastAsia" w:ascii="仿宋" w:hAnsi="仿宋" w:eastAsia="仿宋" w:cs="仿宋"/>
                <w:b/>
                <w:bCs/>
                <w:color w:val="auto"/>
                <w:sz w:val="16"/>
                <w:szCs w:val="16"/>
                <w:highlight w:val="none"/>
                <w:lang w:val="en-US"/>
              </w:rPr>
              <w:t>单位</w:t>
            </w:r>
          </w:p>
        </w:tc>
        <w:tc>
          <w:tcPr>
            <w:tcW w:w="618"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仿宋" w:hAnsi="仿宋" w:eastAsia="仿宋" w:cs="仿宋"/>
                <w:b/>
                <w:bCs/>
                <w:color w:val="auto"/>
                <w:sz w:val="16"/>
                <w:szCs w:val="16"/>
                <w:highlight w:val="none"/>
              </w:rPr>
            </w:pPr>
            <w:r>
              <w:rPr>
                <w:rFonts w:hint="eastAsia" w:ascii="仿宋" w:hAnsi="仿宋" w:eastAsia="仿宋" w:cs="仿宋"/>
                <w:b/>
                <w:bCs/>
                <w:color w:val="auto"/>
                <w:sz w:val="16"/>
                <w:szCs w:val="16"/>
                <w:highlight w:val="none"/>
                <w:lang w:val="en-US"/>
              </w:rPr>
              <w:t>数量</w:t>
            </w:r>
          </w:p>
        </w:tc>
        <w:tc>
          <w:tcPr>
            <w:tcW w:w="927" w:type="dxa"/>
            <w:tcBorders>
              <w:top w:val="single" w:color="000000" w:sz="4" w:space="0"/>
              <w:left w:val="single" w:color="000000" w:sz="4" w:space="0"/>
              <w:bottom w:val="nil"/>
              <w:right w:val="single" w:color="000000" w:sz="4" w:space="0"/>
            </w:tcBorders>
            <w:shd w:val="clear" w:color="auto" w:fill="BEBEBE" w:themeFill="background1" w:themeFillShade="BF"/>
            <w:vAlign w:val="center"/>
          </w:tcPr>
          <w:p>
            <w:pPr>
              <w:widowControl/>
              <w:jc w:val="center"/>
              <w:textAlignment w:val="center"/>
              <w:rPr>
                <w:rFonts w:ascii="仿宋" w:hAnsi="仿宋" w:eastAsia="仿宋" w:cs="仿宋"/>
                <w:b/>
                <w:bCs/>
                <w:color w:val="auto"/>
                <w:sz w:val="16"/>
                <w:szCs w:val="16"/>
                <w:highlight w:val="none"/>
              </w:rPr>
            </w:pPr>
            <w:r>
              <w:rPr>
                <w:rFonts w:hint="eastAsia" w:ascii="仿宋" w:hAnsi="仿宋" w:eastAsia="仿宋" w:cs="仿宋"/>
                <w:b/>
                <w:bCs/>
                <w:color w:val="auto"/>
                <w:sz w:val="16"/>
                <w:szCs w:val="16"/>
                <w:highlight w:val="none"/>
                <w:lang w:val="en-US"/>
              </w:rPr>
              <w:t>厂家</w:t>
            </w:r>
          </w:p>
        </w:tc>
        <w:tc>
          <w:tcPr>
            <w:tcW w:w="897"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仿宋" w:hAnsi="仿宋" w:eastAsia="仿宋" w:cs="仿宋"/>
                <w:b/>
                <w:bCs/>
                <w:color w:val="auto"/>
                <w:sz w:val="16"/>
                <w:szCs w:val="16"/>
                <w:highlight w:val="none"/>
              </w:rPr>
            </w:pPr>
            <w:r>
              <w:rPr>
                <w:rFonts w:hint="eastAsia" w:ascii="仿宋" w:hAnsi="仿宋" w:eastAsia="仿宋" w:cs="仿宋"/>
                <w:b/>
                <w:bCs/>
                <w:color w:val="auto"/>
                <w:sz w:val="16"/>
                <w:szCs w:val="16"/>
                <w:highlight w:val="none"/>
                <w:lang w:val="en-US"/>
              </w:rPr>
              <w:t>用途</w:t>
            </w:r>
          </w:p>
        </w:tc>
        <w:tc>
          <w:tcPr>
            <w:tcW w:w="3778"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仿宋" w:hAnsi="仿宋" w:eastAsia="仿宋" w:cs="仿宋"/>
                <w:b/>
                <w:bCs/>
                <w:color w:val="auto"/>
                <w:sz w:val="16"/>
                <w:szCs w:val="16"/>
                <w:highlight w:val="none"/>
              </w:rPr>
            </w:pPr>
            <w:r>
              <w:rPr>
                <w:rFonts w:hint="eastAsia" w:ascii="仿宋" w:hAnsi="仿宋" w:eastAsia="仿宋" w:cs="仿宋"/>
                <w:b/>
                <w:bCs/>
                <w:color w:val="auto"/>
                <w:sz w:val="16"/>
                <w:szCs w:val="16"/>
                <w:highlight w:val="none"/>
                <w:lang w:val="en-US"/>
              </w:rPr>
              <w:t>技术参数</w:t>
            </w:r>
          </w:p>
        </w:tc>
        <w:tc>
          <w:tcPr>
            <w:tcW w:w="1310"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仿宋" w:hAnsi="仿宋" w:eastAsia="仿宋" w:cs="仿宋"/>
                <w:b/>
                <w:bCs/>
                <w:color w:val="auto"/>
                <w:sz w:val="16"/>
                <w:szCs w:val="16"/>
                <w:highlight w:val="none"/>
              </w:rPr>
            </w:pPr>
            <w:r>
              <w:rPr>
                <w:rFonts w:hint="eastAsia" w:ascii="仿宋" w:hAnsi="仿宋" w:eastAsia="仿宋" w:cs="仿宋"/>
                <w:b/>
                <w:bCs/>
                <w:color w:val="auto"/>
                <w:sz w:val="16"/>
                <w:szCs w:val="16"/>
                <w:highlight w:val="none"/>
                <w:lang w:val="en-US"/>
              </w:rPr>
              <w:t>综合单价(元）</w:t>
            </w:r>
          </w:p>
        </w:tc>
        <w:tc>
          <w:tcPr>
            <w:tcW w:w="1432"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仿宋" w:hAnsi="仿宋" w:eastAsia="仿宋" w:cs="仿宋"/>
                <w:b/>
                <w:bCs/>
                <w:color w:val="auto"/>
                <w:sz w:val="16"/>
                <w:szCs w:val="16"/>
                <w:highlight w:val="none"/>
              </w:rPr>
            </w:pPr>
            <w:r>
              <w:rPr>
                <w:rFonts w:hint="eastAsia" w:ascii="仿宋" w:hAnsi="仿宋" w:eastAsia="仿宋" w:cs="仿宋"/>
                <w:b/>
                <w:bCs/>
                <w:color w:val="auto"/>
                <w:sz w:val="16"/>
                <w:szCs w:val="16"/>
                <w:highlight w:val="none"/>
                <w:lang w:val="en-US"/>
              </w:rPr>
              <w:t>综合总价(元）</w:t>
            </w:r>
          </w:p>
        </w:tc>
        <w:tc>
          <w:tcPr>
            <w:tcW w:w="1494"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仿宋" w:hAnsi="仿宋" w:eastAsia="仿宋" w:cs="仿宋"/>
                <w:b/>
                <w:bCs/>
                <w:color w:val="auto"/>
                <w:sz w:val="16"/>
                <w:szCs w:val="16"/>
                <w:highlight w:val="none"/>
              </w:rPr>
            </w:pPr>
            <w:r>
              <w:rPr>
                <w:rFonts w:hint="eastAsia" w:ascii="仿宋" w:hAnsi="仿宋" w:eastAsia="仿宋" w:cs="仿宋"/>
                <w:b/>
                <w:bCs/>
                <w:color w:val="auto"/>
                <w:sz w:val="16"/>
                <w:szCs w:val="16"/>
                <w:highlight w:val="none"/>
                <w:lang w:val="en-US"/>
              </w:rPr>
              <w:t>备注</w:t>
            </w:r>
          </w:p>
        </w:tc>
      </w:tr>
      <w:tr>
        <w:tblPrEx>
          <w:tblCellMar>
            <w:top w:w="0" w:type="dxa"/>
            <w:left w:w="108" w:type="dxa"/>
            <w:bottom w:w="0" w:type="dxa"/>
            <w:right w:w="108" w:type="dxa"/>
          </w:tblCellMar>
        </w:tblPrEx>
        <w:trPr>
          <w:trHeight w:val="189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一、水泥、砼试验仪器</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标准养护室温湿自控仪</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套</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89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水泥试验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 xml:space="preserve">1.电源电压：AC380V         </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 xml:space="preserve">2.最大电流：20A     </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3.恒温精度：±0.5℃</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 xml:space="preserve">4.恒定湿度：≥95%RH       </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5.恒湿精度：±2%RH</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6.适用面积：40m²</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7.喷雾方式：自动喷雾、等离子雾化</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8.恒定温度20℃±1℃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自动喷淋自动温湿度控制雾化加湿（满足 40m2控制要求）</w:t>
            </w:r>
          </w:p>
        </w:tc>
      </w:tr>
      <w:tr>
        <w:tblPrEx>
          <w:tblCellMar>
            <w:top w:w="0" w:type="dxa"/>
            <w:left w:w="108" w:type="dxa"/>
            <w:bottom w:w="0" w:type="dxa"/>
            <w:right w:w="108" w:type="dxa"/>
          </w:tblCellMar>
        </w:tblPrEx>
        <w:trPr>
          <w:trHeight w:val="16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2</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恒温恒湿养护箱</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89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水泥试验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1.控湿温度：RH90％以上</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2.控制温度：20℃±1℃</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3.电源电压：220V 50HZ</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4.加热功率：500W</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5.制冷功率：145W</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6.增湿功率：45W</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7.增湿量：400毫升/小时</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8.增湿器容积：5.5L</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0"/>
                <w:szCs w:val="20"/>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0"/>
                <w:szCs w:val="20"/>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273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3</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水泥胶砂搅拌机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89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水泥试验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1.搅拌叶转数速度挡</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低  速</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自转 140±2r/min 公转  62±2 r/min</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高  速</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 xml:space="preserve">自转  285±3r/min公转  125±3r/min  </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2.搅拌叶在搅拌锅内的运动轨迹同ISO679—1989（E）</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3.搅拌叶宽度135mm。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4.防护门：自动开合防护门。</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5.搅拌锅容积5L，壁厚3mm。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6.搅拌叶与搅拌锅之间的工作间隙为3±1mm。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7.电机：伺服电机功率0.75KW</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126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4</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砂浆搅拌机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89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水泥试验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1.最大出料容量：15L</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2.搅拌叶转速：45n/min</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3.搅拌叶与搅拌筒工作间隙：2.5±0.5mm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4.满足JG/T 3033-1996 《试验用砂浆搅拌机》要求</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等线" w:cs="Times New Roman"/>
                <w:color w:val="auto"/>
                <w:sz w:val="16"/>
                <w:szCs w:val="16"/>
                <w:highlight w:val="none"/>
                <w:lang w:val="en-US"/>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等线" w:cs="Times New Roman"/>
                <w:color w:val="auto"/>
                <w:sz w:val="16"/>
                <w:szCs w:val="16"/>
                <w:highlight w:val="none"/>
                <w:lang w:val="en-US"/>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126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5</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水泥净浆搅拌机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89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水泥试验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1.电源电压:220V 50HZ</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 xml:space="preserve">2.输入功率:2000W                                             </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3.控制范围:RT+5℃ ～100℃</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4.温度分辨率:±0.1℃</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5.温度波动度 :±0.2℃</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6.工作环境温度：5℃ ～40℃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0"/>
                <w:szCs w:val="20"/>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0"/>
                <w:szCs w:val="20"/>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196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6</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水泥胶砂振实台</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89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水泥试验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1、振动部分总重量13.75± O．0.25kg。</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2、落距： 15mm± 0．3mm 。</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3、振动频率： 60次/60秒± 2秒。</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4、隔音盖锁固方式：采用后备箱式锁扣锁紧。</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5、电动机转数：60转/分。</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6、电动机功率：70W。</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7、电源电压：—220V。</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0"/>
                <w:szCs w:val="20"/>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0"/>
                <w:szCs w:val="20"/>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lang w:val="en-US"/>
              </w:rPr>
              <w:t>振幅为（</w:t>
            </w:r>
            <w:r>
              <w:rPr>
                <w:rFonts w:ascii="Times New Roman" w:hAnsi="Times New Roman" w:eastAsia="宋体" w:cs="Times New Roman"/>
                <w:color w:val="auto"/>
                <w:sz w:val="16"/>
                <w:szCs w:val="16"/>
                <w:highlight w:val="none"/>
                <w:lang w:val="en-US"/>
              </w:rPr>
              <w:t>15.0</w:t>
            </w:r>
            <w:r>
              <w:rPr>
                <w:rFonts w:hint="eastAsia" w:ascii="宋体" w:hAnsi="宋体" w:eastAsia="宋体" w:cs="宋体"/>
                <w:color w:val="auto"/>
                <w:sz w:val="16"/>
                <w:szCs w:val="16"/>
                <w:highlight w:val="none"/>
                <w:lang w:val="en-US"/>
              </w:rPr>
              <w:t>±</w:t>
            </w:r>
            <w:r>
              <w:rPr>
                <w:rFonts w:ascii="Times New Roman" w:hAnsi="Times New Roman" w:eastAsia="宋体" w:cs="Times New Roman"/>
                <w:color w:val="auto"/>
                <w:sz w:val="16"/>
                <w:szCs w:val="16"/>
                <w:highlight w:val="none"/>
                <w:lang w:val="en-US"/>
              </w:rPr>
              <w:t>0.3</w:t>
            </w:r>
            <w:r>
              <w:rPr>
                <w:rFonts w:hint="eastAsia" w:ascii="宋体" w:hAnsi="宋体" w:eastAsia="宋体" w:cs="宋体"/>
                <w:color w:val="auto"/>
                <w:sz w:val="16"/>
                <w:szCs w:val="16"/>
                <w:highlight w:val="none"/>
                <w:lang w:val="en-US"/>
              </w:rPr>
              <w:t>）</w:t>
            </w:r>
            <w:r>
              <w:rPr>
                <w:rFonts w:ascii="Times New Roman" w:hAnsi="Times New Roman" w:eastAsia="宋体" w:cs="Times New Roman"/>
                <w:color w:val="auto"/>
                <w:sz w:val="16"/>
                <w:szCs w:val="16"/>
                <w:highlight w:val="none"/>
                <w:lang w:val="en-US"/>
              </w:rPr>
              <w:t>mm,</w:t>
            </w:r>
            <w:r>
              <w:rPr>
                <w:rFonts w:hint="eastAsia" w:ascii="宋体" w:hAnsi="宋体" w:eastAsia="宋体" w:cs="宋体"/>
                <w:color w:val="auto"/>
                <w:sz w:val="16"/>
                <w:szCs w:val="16"/>
                <w:highlight w:val="none"/>
                <w:lang w:val="en-US"/>
              </w:rPr>
              <w:t>振动</w:t>
            </w:r>
            <w:r>
              <w:rPr>
                <w:rFonts w:ascii="Times New Roman" w:hAnsi="Times New Roman" w:eastAsia="宋体" w:cs="Times New Roman"/>
                <w:color w:val="auto"/>
                <w:sz w:val="16"/>
                <w:szCs w:val="16"/>
                <w:highlight w:val="none"/>
                <w:lang w:val="en-US"/>
              </w:rPr>
              <w:t>60</w:t>
            </w:r>
            <w:r>
              <w:rPr>
                <w:rFonts w:hint="eastAsia" w:ascii="宋体" w:hAnsi="宋体" w:eastAsia="宋体" w:cs="宋体"/>
                <w:color w:val="auto"/>
                <w:sz w:val="16"/>
                <w:szCs w:val="16"/>
                <w:highlight w:val="none"/>
                <w:lang w:val="en-US"/>
              </w:rPr>
              <w:t>次的时间为（</w:t>
            </w:r>
            <w:r>
              <w:rPr>
                <w:rFonts w:ascii="Times New Roman" w:hAnsi="Times New Roman" w:eastAsia="宋体" w:cs="Times New Roman"/>
                <w:color w:val="auto"/>
                <w:sz w:val="16"/>
                <w:szCs w:val="16"/>
                <w:highlight w:val="none"/>
                <w:lang w:val="en-US"/>
              </w:rPr>
              <w:t>60</w:t>
            </w:r>
            <w:r>
              <w:rPr>
                <w:rFonts w:hint="eastAsia" w:ascii="宋体" w:hAnsi="宋体" w:eastAsia="宋体" w:cs="宋体"/>
                <w:color w:val="auto"/>
                <w:sz w:val="16"/>
                <w:szCs w:val="16"/>
                <w:highlight w:val="none"/>
                <w:lang w:val="en-US"/>
              </w:rPr>
              <w:t>±</w:t>
            </w:r>
            <w:r>
              <w:rPr>
                <w:rFonts w:ascii="Times New Roman" w:hAnsi="Times New Roman" w:eastAsia="宋体" w:cs="Times New Roman"/>
                <w:color w:val="auto"/>
                <w:sz w:val="16"/>
                <w:szCs w:val="16"/>
                <w:highlight w:val="none"/>
                <w:lang w:val="en-US"/>
              </w:rPr>
              <w:t>2</w:t>
            </w:r>
            <w:r>
              <w:rPr>
                <w:rFonts w:hint="eastAsia" w:ascii="宋体" w:hAnsi="宋体" w:eastAsia="宋体" w:cs="宋体"/>
                <w:color w:val="auto"/>
                <w:sz w:val="16"/>
                <w:szCs w:val="16"/>
                <w:highlight w:val="none"/>
                <w:lang w:val="en-US"/>
              </w:rPr>
              <w:t>）</w:t>
            </w:r>
            <w:r>
              <w:rPr>
                <w:rFonts w:ascii="Times New Roman" w:hAnsi="Times New Roman" w:eastAsia="宋体" w:cs="Times New Roman"/>
                <w:color w:val="auto"/>
                <w:sz w:val="16"/>
                <w:szCs w:val="16"/>
                <w:highlight w:val="none"/>
                <w:lang w:val="en-US"/>
              </w:rPr>
              <w:t>s</w:t>
            </w:r>
          </w:p>
        </w:tc>
      </w:tr>
      <w:tr>
        <w:tblPrEx>
          <w:tblCellMar>
            <w:top w:w="0" w:type="dxa"/>
            <w:left w:w="108" w:type="dxa"/>
            <w:bottom w:w="0" w:type="dxa"/>
            <w:right w:w="108" w:type="dxa"/>
          </w:tblCellMar>
        </w:tblPrEx>
        <w:trPr>
          <w:trHeight w:val="84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7</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砼振动台</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89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水泥试验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 xml:space="preserve">1.振动台面尺寸50×50（L×Wcm）             </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 xml:space="preserve">2.台体尺寸:垂直50×20×50 /水平50×25×50                     </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3.振动方向 垂直+水平（X+Y+Z轴）</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0"/>
                <w:szCs w:val="20"/>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0"/>
                <w:szCs w:val="20"/>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189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8</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回弹仪</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4</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89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现场检测试验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1.指针长度：20.0±0.2(mm)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2.指针摩擦力：0.65±0.15(N)</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3.弹击杆端部球面半径：25±1.0(mm)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4.弹击拉簧刚度：785.0±40.0(N/m)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5.弹击锤脱钩位置：刻度线“100”刻线处</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6.弹击拉簧工作长度：61.5.0±0.3(mm)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7.弹击锤冲击长度 ：75±0.3</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0"/>
                <w:szCs w:val="20"/>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147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9</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水泥沸煮箱</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89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水泥试验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1.有效容积：410×240×310mm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2.试验容量：雷氏法25组 试饼法30—40只</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3.加热时间：30±5min</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4.恒温时间：180±5min</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5.加热功率：4000W</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6.恒温功率：1000W</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147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10</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电动水泥胶砂流动测定仪</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89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水泥试验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1.振动部份总重量 4.35Kg±0.15Kg</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2.振动部份落差 10mm±0.2mm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3.振动频率 1Hz</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4.振动次数 25次</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5.圆盘桌面直径 ∮300±1 mm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6.净重（含附件）：20Kg</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7.符合GB/T2419-2004要求</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86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11</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雷式夹膨胀值测定仪</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897" w:type="dxa"/>
            <w:tcBorders>
              <w:top w:val="single" w:color="000000" w:sz="4" w:space="0"/>
              <w:left w:val="nil"/>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水泥试验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1.测定范围：±25mm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2.精度：0.5mm（含砝码）</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126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12</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水泥细度负压筛析仪</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89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水泥试验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1.工作负压：-4000-6000pa；</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2.喷气嘴转速：（30±2）rpm；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3.筛析时间：120s；</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4.筛析测试细度：0.080mm；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5.电源：AC220V；</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6.整机功率：900w；</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87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13</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水泥稠度、凝结时间测定仪</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套</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89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水泥试验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1.滑动部分重量：300±1g</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2.滑动部分最大行程：70mm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3.稠度试杆直径：</w:t>
            </w:r>
            <w:r>
              <w:rPr>
                <w:rStyle w:val="23"/>
                <w:rFonts w:eastAsia="仿宋"/>
                <w:color w:val="auto"/>
                <w:highlight w:val="none"/>
                <w:lang w:val="en-US"/>
              </w:rPr>
              <w:t>φ</w:t>
            </w:r>
            <w:r>
              <w:rPr>
                <w:rFonts w:hint="eastAsia" w:ascii="仿宋" w:hAnsi="仿宋" w:eastAsia="仿宋" w:cs="仿宋"/>
                <w:color w:val="auto"/>
                <w:sz w:val="16"/>
                <w:szCs w:val="16"/>
                <w:highlight w:val="none"/>
                <w:lang w:val="en-US"/>
              </w:rPr>
              <w:t>10±0.05mm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4.试针直径：</w:t>
            </w:r>
            <w:r>
              <w:rPr>
                <w:rStyle w:val="23"/>
                <w:rFonts w:eastAsia="仿宋"/>
                <w:color w:val="auto"/>
                <w:highlight w:val="none"/>
                <w:lang w:val="en-US"/>
              </w:rPr>
              <w:t>φ</w:t>
            </w:r>
            <w:r>
              <w:rPr>
                <w:rFonts w:hint="eastAsia" w:ascii="仿宋" w:hAnsi="仿宋" w:eastAsia="仿宋" w:cs="仿宋"/>
                <w:color w:val="auto"/>
                <w:sz w:val="16"/>
                <w:szCs w:val="16"/>
                <w:highlight w:val="none"/>
                <w:lang w:val="en-US"/>
              </w:rPr>
              <w:t>1.13±0.05mm</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r>
      <w:tr>
        <w:tblPrEx>
          <w:tblCellMar>
            <w:top w:w="0" w:type="dxa"/>
            <w:left w:w="108" w:type="dxa"/>
            <w:bottom w:w="0" w:type="dxa"/>
            <w:right w:w="108" w:type="dxa"/>
          </w:tblCellMar>
        </w:tblPrEx>
        <w:trPr>
          <w:trHeight w:val="76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14</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高速制浆机、量水器</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套</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w:t>
            </w:r>
          </w:p>
        </w:tc>
        <w:tc>
          <w:tcPr>
            <w:tcW w:w="89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水泥试验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auto"/>
                <w:sz w:val="16"/>
                <w:szCs w:val="16"/>
                <w:highlight w:val="none"/>
                <w:lang w:val="en-US"/>
              </w:rPr>
            </w:pPr>
            <w:r>
              <w:rPr>
                <w:rFonts w:hint="eastAsia" w:ascii="仿宋" w:hAnsi="仿宋" w:eastAsia="仿宋" w:cs="仿宋"/>
                <w:color w:val="auto"/>
                <w:sz w:val="16"/>
                <w:szCs w:val="16"/>
                <w:highlight w:val="none"/>
                <w:lang w:val="en-US"/>
              </w:rPr>
              <w:t>高速制浆机：</w:t>
            </w:r>
          </w:p>
          <w:p>
            <w:pPr>
              <w:widowControl/>
              <w:textAlignment w:val="center"/>
              <w:rPr>
                <w:rFonts w:ascii="仿宋" w:hAnsi="仿宋" w:eastAsia="仿宋" w:cs="仿宋"/>
                <w:color w:val="auto"/>
                <w:sz w:val="16"/>
                <w:szCs w:val="16"/>
                <w:highlight w:val="none"/>
                <w:lang w:val="en-US"/>
              </w:rPr>
            </w:pPr>
            <w:r>
              <w:rPr>
                <w:rFonts w:hint="eastAsia" w:ascii="仿宋" w:hAnsi="仿宋" w:eastAsia="仿宋" w:cs="仿宋"/>
                <w:color w:val="auto"/>
                <w:sz w:val="16"/>
                <w:szCs w:val="16"/>
                <w:highlight w:val="none"/>
                <w:lang w:val="en-US"/>
              </w:rPr>
              <w:t>1.搅拌鼓形状:双锥型</w:t>
            </w:r>
          </w:p>
          <w:p>
            <w:pPr>
              <w:widowControl/>
              <w:textAlignment w:val="center"/>
              <w:rPr>
                <w:rFonts w:ascii="仿宋" w:hAnsi="仿宋" w:eastAsia="仿宋" w:cs="仿宋"/>
                <w:color w:val="auto"/>
                <w:sz w:val="16"/>
                <w:szCs w:val="16"/>
                <w:highlight w:val="none"/>
                <w:lang w:val="en-US"/>
              </w:rPr>
            </w:pPr>
            <w:r>
              <w:rPr>
                <w:rFonts w:hint="eastAsia" w:ascii="仿宋" w:hAnsi="仿宋" w:eastAsia="仿宋" w:cs="仿宋"/>
                <w:color w:val="auto"/>
                <w:sz w:val="16"/>
                <w:szCs w:val="16"/>
                <w:highlight w:val="none"/>
                <w:lang w:val="en-US"/>
              </w:rPr>
              <w:t>2.转速范围:1000（r/min）可无级调节</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3.搅拌方式：强制式搅拌</w:t>
            </w:r>
          </w:p>
          <w:p>
            <w:pPr>
              <w:widowControl/>
              <w:textAlignment w:val="center"/>
              <w:rPr>
                <w:rFonts w:ascii="仿宋" w:hAnsi="仿宋" w:eastAsia="仿宋" w:cs="仿宋"/>
                <w:color w:val="auto"/>
                <w:sz w:val="16"/>
                <w:szCs w:val="16"/>
                <w:highlight w:val="none"/>
                <w:lang w:val="en-US"/>
              </w:rPr>
            </w:pPr>
            <w:r>
              <w:rPr>
                <w:rFonts w:hint="eastAsia" w:ascii="仿宋" w:hAnsi="仿宋" w:eastAsia="仿宋" w:cs="仿宋"/>
                <w:color w:val="auto"/>
                <w:sz w:val="16"/>
                <w:szCs w:val="16"/>
                <w:highlight w:val="none"/>
                <w:lang w:val="en-US"/>
              </w:rPr>
              <w:t>4.料桶容量：5（L）</w:t>
            </w:r>
          </w:p>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量水器：170、225mL各一个</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lang w:val="en-US"/>
              </w:rPr>
            </w:pPr>
          </w:p>
        </w:tc>
      </w:tr>
      <w:tr>
        <w:tblPrEx>
          <w:tblCellMar>
            <w:top w:w="0" w:type="dxa"/>
            <w:left w:w="108" w:type="dxa"/>
            <w:bottom w:w="0" w:type="dxa"/>
            <w:right w:w="108" w:type="dxa"/>
          </w:tblCellMar>
        </w:tblPrEx>
        <w:trPr>
          <w:trHeight w:val="210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15</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砼维勃稠度仪</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89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水泥混凝土试验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1.坍落度筒</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顶部内径：100±2mm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底部内径：200±2mm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高：300±2mm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2.震动台频率：50±3Hz</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3.震动台空载振幅（含容器）：0.5±0.05mm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4.压重：2750±50g</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5.电机功率：0.25Kw</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6.电压：380V</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231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16</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砂浆稠度仪</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89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水泥混凝土试验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 测量范围：</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沉入深度：0—14.5厘米</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沉入体积：0—229.3厘米3</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2.最小刻度值（沉入深度）：1毫米</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3.锥体几何参数：</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圆锥角：30°</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高 度：145毫米</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锥底直径：75毫米</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4.锥体与刻度尺合重：300±2克</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5.外形尺寸：350×300×800毫米</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6.重量：≈9公斤</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1mm</w:t>
            </w:r>
          </w:p>
        </w:tc>
      </w:tr>
      <w:tr>
        <w:tblPrEx>
          <w:tblCellMar>
            <w:top w:w="0" w:type="dxa"/>
            <w:left w:w="108" w:type="dxa"/>
            <w:bottom w:w="0" w:type="dxa"/>
            <w:right w:w="108" w:type="dxa"/>
          </w:tblCellMar>
        </w:tblPrEx>
        <w:trPr>
          <w:trHeight w:val="105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17</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震击式标准振筛机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89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水泥混凝土试验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1.筛子直径： 300mm 200mm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2.震幅； 8mm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3.振击次数： 147次／分</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4.筛摇动次数：221次／分</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5.回转半径： 12．5mm</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Ф300mm</w:t>
            </w:r>
          </w:p>
        </w:tc>
      </w:tr>
      <w:tr>
        <w:tblPrEx>
          <w:tblCellMar>
            <w:top w:w="0" w:type="dxa"/>
            <w:left w:w="108" w:type="dxa"/>
            <w:bottom w:w="0" w:type="dxa"/>
            <w:right w:w="108" w:type="dxa"/>
          </w:tblCellMar>
        </w:tblPrEx>
        <w:trPr>
          <w:trHeight w:val="126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18</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砼强制式搅拌机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89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水泥混凝土试验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1.进料容量：48L</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2.出料容量： 60型：60-65L</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3.搅拌时间：≤45S</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4.搅拌轴转速：48转/分</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5.电机功率：1.5/3kw</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6.电源电压：380V</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0"/>
                <w:szCs w:val="20"/>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0"/>
                <w:szCs w:val="20"/>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hint="eastAsia"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106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19</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砼贯入阻力仪</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89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水泥混凝土试验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1.千分表量程：0～1mm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2.上、下环中心距：150mm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3.试件尺寸：</w:t>
            </w:r>
            <w:r>
              <w:rPr>
                <w:rStyle w:val="23"/>
                <w:rFonts w:eastAsia="仿宋"/>
                <w:color w:val="auto"/>
                <w:highlight w:val="none"/>
                <w:lang w:val="en-US"/>
              </w:rPr>
              <w:t>Φ</w:t>
            </w:r>
            <w:r>
              <w:rPr>
                <w:rFonts w:hint="eastAsia" w:ascii="仿宋" w:hAnsi="仿宋" w:eastAsia="仿宋" w:cs="仿宋"/>
                <w:color w:val="auto"/>
                <w:sz w:val="16"/>
                <w:szCs w:val="16"/>
                <w:highlight w:val="none"/>
                <w:lang w:val="en-US"/>
              </w:rPr>
              <w:t>150×300mm；150×150×300mm；100×100×300mm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4.净重：5kg</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63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20</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砼含气量测定仪</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89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水泥混凝土试验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1.量钵容积：7L</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2.含气量量程：≤10%</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3.使用粗骨料的最大粒径：≤40mm</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252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21</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rPr>
              <w:t>砼保护层测定仪</w:t>
            </w:r>
            <w:r>
              <w:rPr>
                <w:rFonts w:hint="eastAsia" w:ascii="仿宋" w:hAnsi="仿宋" w:eastAsia="仿宋" w:cs="仿宋"/>
                <w:color w:val="auto"/>
                <w:sz w:val="16"/>
                <w:szCs w:val="16"/>
                <w:highlight w:val="none"/>
                <w:lang w:val="en-US" w:eastAsia="zh-CN"/>
              </w:rPr>
              <w:t>（含标准块）</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val="en-US" w:eastAsia="zh-CN"/>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89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水泥混凝土试验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1、测量范围：小探头（A）5--7mm；大探头（B）40--1</w:t>
            </w:r>
            <w:r>
              <w:rPr>
                <w:rFonts w:hint="eastAsia" w:ascii="仿宋" w:hAnsi="仿宋" w:eastAsia="仿宋" w:cs="仿宋"/>
                <w:color w:val="auto"/>
                <w:sz w:val="16"/>
                <w:szCs w:val="16"/>
                <w:highlight w:val="none"/>
                <w:lang w:val="en-US" w:eastAsia="zh-CN"/>
              </w:rPr>
              <w:t>2</w:t>
            </w:r>
            <w:r>
              <w:rPr>
                <w:rFonts w:hint="eastAsia" w:ascii="仿宋" w:hAnsi="仿宋" w:eastAsia="仿宋" w:cs="仿宋"/>
                <w:color w:val="auto"/>
                <w:sz w:val="16"/>
                <w:szCs w:val="16"/>
                <w:highlight w:val="none"/>
                <w:lang w:val="en-US"/>
              </w:rPr>
              <w:t>0mm；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2、精度：40mm以内±＜</w:t>
            </w:r>
            <w:r>
              <w:rPr>
                <w:rFonts w:hint="eastAsia" w:ascii="仿宋" w:hAnsi="仿宋" w:eastAsia="仿宋" w:cs="仿宋"/>
                <w:color w:val="auto"/>
                <w:sz w:val="16"/>
                <w:szCs w:val="16"/>
                <w:highlight w:val="none"/>
                <w:lang w:val="en-US" w:eastAsia="zh-CN"/>
              </w:rPr>
              <w:t>1</w:t>
            </w:r>
            <w:r>
              <w:rPr>
                <w:rFonts w:hint="eastAsia" w:ascii="仿宋" w:hAnsi="仿宋" w:eastAsia="仿宋" w:cs="仿宋"/>
                <w:color w:val="auto"/>
                <w:sz w:val="16"/>
                <w:szCs w:val="16"/>
                <w:highlight w:val="none"/>
                <w:lang w:val="en-US"/>
              </w:rPr>
              <w:t>mm；70mm以内±＜</w:t>
            </w:r>
            <w:r>
              <w:rPr>
                <w:rFonts w:hint="eastAsia" w:ascii="仿宋" w:hAnsi="仿宋" w:eastAsia="仿宋" w:cs="仿宋"/>
                <w:color w:val="auto"/>
                <w:sz w:val="16"/>
                <w:szCs w:val="16"/>
                <w:highlight w:val="none"/>
                <w:lang w:val="en-US" w:eastAsia="zh-CN"/>
              </w:rPr>
              <w:t>2</w:t>
            </w:r>
            <w:r>
              <w:rPr>
                <w:rFonts w:hint="eastAsia" w:ascii="仿宋" w:hAnsi="仿宋" w:eastAsia="仿宋" w:cs="仿宋"/>
                <w:color w:val="auto"/>
                <w:sz w:val="16"/>
                <w:szCs w:val="16"/>
                <w:highlight w:val="none"/>
                <w:lang w:val="en-US"/>
              </w:rPr>
              <w:t>mm；</w:t>
            </w:r>
            <w:r>
              <w:rPr>
                <w:rFonts w:hint="eastAsia" w:ascii="仿宋" w:hAnsi="仿宋" w:eastAsia="仿宋" w:cs="仿宋"/>
                <w:color w:val="auto"/>
                <w:sz w:val="16"/>
                <w:szCs w:val="16"/>
                <w:highlight w:val="none"/>
                <w:lang w:val="en-US" w:eastAsia="zh-CN"/>
              </w:rPr>
              <w:t>12</w:t>
            </w:r>
            <w:r>
              <w:rPr>
                <w:rFonts w:hint="eastAsia" w:ascii="仿宋" w:hAnsi="仿宋" w:eastAsia="仿宋" w:cs="仿宋"/>
                <w:color w:val="auto"/>
                <w:sz w:val="16"/>
                <w:szCs w:val="16"/>
                <w:highlight w:val="none"/>
                <w:lang w:val="en-US"/>
              </w:rPr>
              <w:t>0mm以内±＜</w:t>
            </w:r>
            <w:r>
              <w:rPr>
                <w:rFonts w:hint="eastAsia" w:ascii="仿宋" w:hAnsi="仿宋" w:eastAsia="仿宋" w:cs="仿宋"/>
                <w:color w:val="auto"/>
                <w:sz w:val="16"/>
                <w:szCs w:val="16"/>
                <w:highlight w:val="none"/>
                <w:lang w:val="en-US" w:eastAsia="zh-CN"/>
              </w:rPr>
              <w:t>2</w:t>
            </w:r>
            <w:r>
              <w:rPr>
                <w:rFonts w:hint="eastAsia" w:ascii="仿宋" w:hAnsi="仿宋" w:eastAsia="仿宋" w:cs="仿宋"/>
                <w:color w:val="auto"/>
                <w:sz w:val="16"/>
                <w:szCs w:val="16"/>
                <w:highlight w:val="none"/>
                <w:lang w:val="en-US"/>
              </w:rPr>
              <w:t>mm；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3、分辨率：间距为测距的1／2（如保护层厚度30mm，分辨率60mm边距）；</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4、功耗：小于150mA；</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5、工作环境温度：0--35°C；</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6、储存温度：-25°C--50°C干燥通风；</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eastAsia="zh-CN"/>
              </w:rPr>
              <w:t>7</w:t>
            </w:r>
            <w:r>
              <w:rPr>
                <w:rFonts w:hint="eastAsia" w:ascii="仿宋" w:hAnsi="仿宋" w:eastAsia="仿宋" w:cs="仿宋"/>
                <w:color w:val="auto"/>
                <w:sz w:val="16"/>
                <w:szCs w:val="16"/>
                <w:highlight w:val="none"/>
                <w:lang w:val="en-US"/>
              </w:rPr>
              <w:t>、传感器引线长度：1m；</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0"/>
                <w:szCs w:val="20"/>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0"/>
                <w:szCs w:val="20"/>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63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22</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砼抗折试模</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组</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7</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89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水泥混凝土试验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规格尺寸：150*150*550mm（一组3个）</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lang w:val="en-US"/>
              </w:rPr>
            </w:pPr>
            <w:r>
              <w:rPr>
                <w:rFonts w:hint="eastAsia" w:ascii="Times New Roman" w:hAnsi="Times New Roman" w:eastAsia="等线" w:cs="Times New Roman"/>
                <w:color w:val="auto"/>
                <w:sz w:val="16"/>
                <w:szCs w:val="16"/>
                <w:highlight w:val="none"/>
                <w:lang w:val="en-US"/>
              </w:rPr>
              <w:t>按一组报价</w:t>
            </w:r>
          </w:p>
        </w:tc>
      </w:tr>
      <w:tr>
        <w:tblPrEx>
          <w:tblCellMar>
            <w:top w:w="0" w:type="dxa"/>
            <w:left w:w="108" w:type="dxa"/>
            <w:bottom w:w="0" w:type="dxa"/>
            <w:right w:w="108" w:type="dxa"/>
          </w:tblCellMar>
        </w:tblPrEx>
        <w:trPr>
          <w:trHeight w:val="63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23</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砼轴心抗压强度试模</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组</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7</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89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水泥混凝土试验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规格尺寸：150*150*300mm（一组3个）</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hint="eastAsia" w:ascii="Times New Roman" w:hAnsi="Times New Roman" w:eastAsia="等线" w:cs="Times New Roman"/>
                <w:color w:val="auto"/>
                <w:sz w:val="16"/>
                <w:szCs w:val="16"/>
                <w:highlight w:val="none"/>
                <w:lang w:val="en-US"/>
              </w:rPr>
              <w:t>按一组报价</w:t>
            </w:r>
          </w:p>
        </w:tc>
      </w:tr>
      <w:tr>
        <w:tblPrEx>
          <w:tblCellMar>
            <w:top w:w="0" w:type="dxa"/>
            <w:left w:w="108" w:type="dxa"/>
            <w:bottom w:w="0" w:type="dxa"/>
            <w:right w:w="108" w:type="dxa"/>
          </w:tblCellMar>
        </w:tblPrEx>
        <w:trPr>
          <w:trHeight w:val="63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24</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砼抗压试模</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组</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21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89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水泥混凝土试验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规格尺寸：150*150*150mm加厚绿色（一组3个）</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hint="eastAsia" w:ascii="Times New Roman" w:hAnsi="Times New Roman" w:eastAsia="等线" w:cs="Times New Roman"/>
                <w:color w:val="auto"/>
                <w:sz w:val="16"/>
                <w:szCs w:val="16"/>
                <w:highlight w:val="none"/>
                <w:lang w:val="en-US"/>
              </w:rPr>
              <w:t>按一组报价</w:t>
            </w:r>
          </w:p>
        </w:tc>
      </w:tr>
      <w:tr>
        <w:tblPrEx>
          <w:tblCellMar>
            <w:top w:w="0" w:type="dxa"/>
            <w:left w:w="108" w:type="dxa"/>
            <w:bottom w:w="0" w:type="dxa"/>
            <w:right w:w="108" w:type="dxa"/>
          </w:tblCellMar>
        </w:tblPrEx>
        <w:trPr>
          <w:trHeight w:val="63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25</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砂浆试模</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组</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7</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89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水泥混凝土试验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规格尺寸：70.7*70.7*70.7mm（一组3个）</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hint="eastAsia" w:ascii="Times New Roman" w:hAnsi="Times New Roman" w:eastAsia="等线" w:cs="Times New Roman"/>
                <w:color w:val="auto"/>
                <w:sz w:val="16"/>
                <w:szCs w:val="16"/>
                <w:highlight w:val="none"/>
                <w:lang w:val="en-US"/>
              </w:rPr>
              <w:t>按一组报价</w:t>
            </w:r>
          </w:p>
        </w:tc>
      </w:tr>
      <w:tr>
        <w:tblPrEx>
          <w:tblCellMar>
            <w:top w:w="0" w:type="dxa"/>
            <w:left w:w="108" w:type="dxa"/>
            <w:bottom w:w="0" w:type="dxa"/>
            <w:right w:w="108" w:type="dxa"/>
          </w:tblCellMar>
        </w:tblPrEx>
        <w:trPr>
          <w:trHeight w:val="45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26</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水泥胶砂试模</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套</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3</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89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水泥混凝土试验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规格尺寸：40*40*160mm（铁铸）</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每个试模配套透明盖子（新规范）</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hint="eastAsia" w:ascii="Times New Roman" w:hAnsi="Times New Roman" w:eastAsia="等线" w:cs="Times New Roman"/>
                <w:color w:val="auto"/>
                <w:sz w:val="16"/>
                <w:szCs w:val="16"/>
                <w:highlight w:val="none"/>
                <w:lang w:val="en-US"/>
              </w:rPr>
              <w:t>按一套报价</w:t>
            </w:r>
          </w:p>
        </w:tc>
      </w:tr>
      <w:tr>
        <w:tblPrEx>
          <w:tblCellMar>
            <w:top w:w="0" w:type="dxa"/>
            <w:left w:w="108" w:type="dxa"/>
            <w:bottom w:w="0" w:type="dxa"/>
            <w:right w:w="108" w:type="dxa"/>
          </w:tblCellMar>
        </w:tblPrEx>
        <w:trPr>
          <w:trHeight w:val="63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27</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水泥混凝土抗渗试模</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组</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89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水泥混凝土试验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规格尺寸：175*185*150mm加厚绿色（一组6个）</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hint="eastAsia" w:ascii="Times New Roman" w:hAnsi="Times New Roman" w:eastAsia="等线" w:cs="Times New Roman"/>
                <w:color w:val="auto"/>
                <w:sz w:val="16"/>
                <w:szCs w:val="16"/>
                <w:highlight w:val="none"/>
                <w:lang w:val="en-US"/>
              </w:rPr>
              <w:t>按一组报价</w:t>
            </w:r>
            <w:r>
              <w:rPr>
                <w:rFonts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42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28</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坍落度筒</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4</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w:t>
            </w:r>
          </w:p>
        </w:tc>
        <w:tc>
          <w:tcPr>
            <w:tcW w:w="89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水泥混凝土试验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1.上口100mm、下口200mm、高300mm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2.壁厚：1.2mm；含捣棒</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63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29</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泥浆比重计</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3</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89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水泥混凝土试验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1.测量范围:0.96～3g/cm3；</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2.测量精度:0.01g/cm3；</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3.泥浆杯容量:140cm3；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85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30</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泥浆粘度计</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3</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89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水泥混凝土试验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1.流出管孔径:</w:t>
            </w:r>
            <w:r>
              <w:rPr>
                <w:rStyle w:val="23"/>
                <w:rFonts w:eastAsia="仿宋"/>
                <w:color w:val="auto"/>
                <w:highlight w:val="none"/>
                <w:lang w:val="en-US"/>
              </w:rPr>
              <w:t>φ</w:t>
            </w:r>
            <w:r>
              <w:rPr>
                <w:rFonts w:hint="eastAsia" w:ascii="仿宋" w:hAnsi="仿宋" w:eastAsia="仿宋" w:cs="仿宋"/>
                <w:color w:val="auto"/>
                <w:sz w:val="16"/>
                <w:szCs w:val="16"/>
                <w:highlight w:val="none"/>
                <w:lang w:val="en-US"/>
              </w:rPr>
              <w:t>5mm长100mm；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2.水的粘度:15±0.5S；</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3.夹层量杯:一端容量500ml,另一端容量200ml</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42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31</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含砂量计</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89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水泥混凝土试验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1.测管上刻度：15%以下，每小格为0.5%，15%～30%间每小格为1%。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126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32</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游标卡尺（0~200mm 0~300mm）</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各1台</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89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水泥混凝土试验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（0-200mm）数显</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测量范围：0-200mm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2.测量精度：0.02mm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（0-300）mm数显</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1.测量范围：0-300mm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2.测量精度：0.02mm</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33</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百分表、千分表</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各4个</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89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水泥混凝土试验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宋体" w:hAnsi="宋体" w:eastAsia="宋体" w:cs="宋体"/>
                <w:color w:val="auto"/>
                <w:sz w:val="16"/>
                <w:szCs w:val="16"/>
                <w:highlight w:val="none"/>
                <w:lang w:val="en-US"/>
              </w:rPr>
              <w:t>满足《</w:t>
            </w:r>
            <w:r>
              <w:rPr>
                <w:rFonts w:ascii="Times New Roman" w:hAnsi="Times New Roman" w:eastAsia="仿宋" w:cs="Times New Roman"/>
                <w:color w:val="auto"/>
                <w:sz w:val="16"/>
                <w:szCs w:val="16"/>
                <w:highlight w:val="none"/>
                <w:lang w:val="en-US"/>
              </w:rPr>
              <w:t xml:space="preserve">JJG 379 </w:t>
            </w:r>
            <w:r>
              <w:rPr>
                <w:rFonts w:hint="eastAsia" w:ascii="宋体" w:hAnsi="宋体" w:eastAsia="宋体" w:cs="宋体"/>
                <w:color w:val="auto"/>
                <w:sz w:val="16"/>
                <w:szCs w:val="16"/>
                <w:highlight w:val="none"/>
                <w:lang w:val="en-US"/>
              </w:rPr>
              <w:t>大量程百分表》中相关要求</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Ⅰ</w:t>
            </w:r>
            <w:r>
              <w:rPr>
                <w:rFonts w:hint="eastAsia" w:ascii="宋体" w:hAnsi="宋体" w:eastAsia="宋体" w:cs="宋体"/>
                <w:color w:val="auto"/>
                <w:sz w:val="16"/>
                <w:szCs w:val="16"/>
                <w:highlight w:val="none"/>
                <w:lang w:val="en-US"/>
              </w:rPr>
              <w:t>级精度</w:t>
            </w:r>
          </w:p>
        </w:tc>
      </w:tr>
      <w:tr>
        <w:tblPrEx>
          <w:tblCellMar>
            <w:top w:w="0" w:type="dxa"/>
            <w:left w:w="108" w:type="dxa"/>
            <w:bottom w:w="0" w:type="dxa"/>
            <w:right w:w="108" w:type="dxa"/>
          </w:tblCellMar>
        </w:tblPrEx>
        <w:trPr>
          <w:trHeight w:val="42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34</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磅秤（电子台秤）</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89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水泥混凝土试验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满足《JJG 1036 电子天平》中相关要求</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42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35</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电子天平</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89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水泥混凝土试验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宋体" w:hAnsi="宋体" w:eastAsia="宋体" w:cs="宋体"/>
                <w:color w:val="auto"/>
                <w:sz w:val="16"/>
                <w:szCs w:val="16"/>
                <w:highlight w:val="none"/>
                <w:lang w:val="en-US"/>
              </w:rPr>
              <w:t>满足《</w:t>
            </w:r>
            <w:r>
              <w:rPr>
                <w:rFonts w:ascii="Times New Roman" w:hAnsi="Times New Roman" w:eastAsia="仿宋" w:cs="Times New Roman"/>
                <w:color w:val="auto"/>
                <w:sz w:val="16"/>
                <w:szCs w:val="16"/>
                <w:highlight w:val="none"/>
                <w:lang w:val="en-US"/>
              </w:rPr>
              <w:t xml:space="preserve">JJG 1036 </w:t>
            </w:r>
            <w:r>
              <w:rPr>
                <w:rFonts w:hint="eastAsia" w:ascii="宋体" w:hAnsi="宋体" w:eastAsia="宋体" w:cs="宋体"/>
                <w:color w:val="auto"/>
                <w:sz w:val="16"/>
                <w:szCs w:val="16"/>
                <w:highlight w:val="none"/>
                <w:lang w:val="en-US"/>
              </w:rPr>
              <w:t>电子天平》中相关要求</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42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36</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电子计重秤</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89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水泥混凝土试验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宋体" w:hAnsi="宋体" w:eastAsia="宋体" w:cs="宋体"/>
                <w:color w:val="auto"/>
                <w:sz w:val="16"/>
                <w:szCs w:val="16"/>
                <w:highlight w:val="none"/>
                <w:lang w:val="en-US"/>
              </w:rPr>
              <w:t>满足《</w:t>
            </w:r>
            <w:r>
              <w:rPr>
                <w:rFonts w:ascii="Times New Roman" w:hAnsi="Times New Roman" w:eastAsia="仿宋" w:cs="Times New Roman"/>
                <w:color w:val="auto"/>
                <w:sz w:val="16"/>
                <w:szCs w:val="16"/>
                <w:highlight w:val="none"/>
                <w:lang w:val="en-US"/>
              </w:rPr>
              <w:t xml:space="preserve">JJG 1036 </w:t>
            </w:r>
            <w:r>
              <w:rPr>
                <w:rFonts w:hint="eastAsia" w:ascii="宋体" w:hAnsi="宋体" w:eastAsia="宋体" w:cs="宋体"/>
                <w:color w:val="auto"/>
                <w:sz w:val="16"/>
                <w:szCs w:val="16"/>
                <w:highlight w:val="none"/>
                <w:lang w:val="en-US"/>
              </w:rPr>
              <w:t>电子天平》中相关要求</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42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37</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倒锥+支架</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套</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89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lang w:val="en-US"/>
              </w:rPr>
              <w:t>1725mL±5mL</w:t>
            </w:r>
          </w:p>
        </w:tc>
      </w:tr>
      <w:tr>
        <w:tblPrEx>
          <w:tblCellMar>
            <w:top w:w="0" w:type="dxa"/>
            <w:left w:w="108" w:type="dxa"/>
            <w:bottom w:w="0" w:type="dxa"/>
            <w:right w:w="108" w:type="dxa"/>
          </w:tblCellMar>
        </w:tblPrEx>
        <w:trPr>
          <w:trHeight w:val="42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38</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秒表</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89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水泥混凝土试验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满足《JJG 237 秒表》中相关要求</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lang w:val="en-US"/>
              </w:rPr>
              <w:t>数显</w:t>
            </w:r>
          </w:p>
        </w:tc>
      </w:tr>
      <w:tr>
        <w:tblPrEx>
          <w:tblCellMar>
            <w:top w:w="0" w:type="dxa"/>
            <w:left w:w="108" w:type="dxa"/>
            <w:bottom w:w="0" w:type="dxa"/>
            <w:right w:w="108" w:type="dxa"/>
          </w:tblCellMar>
        </w:tblPrEx>
        <w:trPr>
          <w:trHeight w:val="63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39</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压浆剂抗压塑料三联试模</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组</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6</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89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水泥试验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宋体" w:hAnsi="宋体" w:eastAsia="宋体" w:cs="宋体"/>
                <w:color w:val="auto"/>
                <w:sz w:val="16"/>
                <w:szCs w:val="16"/>
                <w:highlight w:val="none"/>
                <w:lang w:val="en-US"/>
              </w:rPr>
              <w:t>规格尺寸：</w:t>
            </w:r>
            <w:r>
              <w:rPr>
                <w:rFonts w:ascii="Times New Roman" w:hAnsi="Times New Roman" w:eastAsia="仿宋" w:cs="Times New Roman"/>
                <w:color w:val="auto"/>
                <w:sz w:val="16"/>
                <w:szCs w:val="16"/>
                <w:highlight w:val="none"/>
                <w:lang w:val="en-US"/>
              </w:rPr>
              <w:t>40*40*160mm</w:t>
            </w:r>
            <w:r>
              <w:rPr>
                <w:rFonts w:hint="eastAsia" w:ascii="宋体" w:hAnsi="宋体" w:eastAsia="宋体" w:cs="宋体"/>
                <w:color w:val="auto"/>
                <w:sz w:val="16"/>
                <w:szCs w:val="16"/>
                <w:highlight w:val="none"/>
                <w:lang w:val="en-US"/>
              </w:rPr>
              <w:t>（一组</w:t>
            </w:r>
            <w:r>
              <w:rPr>
                <w:rFonts w:ascii="Times New Roman" w:hAnsi="Times New Roman" w:eastAsia="仿宋" w:cs="Times New Roman"/>
                <w:color w:val="auto"/>
                <w:sz w:val="16"/>
                <w:szCs w:val="16"/>
                <w:highlight w:val="none"/>
                <w:lang w:val="en-US"/>
              </w:rPr>
              <w:t>2</w:t>
            </w:r>
            <w:r>
              <w:rPr>
                <w:rFonts w:hint="eastAsia" w:ascii="宋体" w:hAnsi="宋体" w:eastAsia="宋体" w:cs="宋体"/>
                <w:color w:val="auto"/>
                <w:sz w:val="16"/>
                <w:szCs w:val="16"/>
                <w:highlight w:val="none"/>
                <w:lang w:val="en-US"/>
              </w:rPr>
              <w:t>个）</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42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40</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水泥标准筛</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89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水泥试验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宋体" w:hAnsi="宋体" w:eastAsia="宋体" w:cs="宋体"/>
                <w:color w:val="auto"/>
                <w:sz w:val="16"/>
                <w:szCs w:val="16"/>
                <w:highlight w:val="none"/>
                <w:lang w:val="en-US"/>
              </w:rPr>
              <w:t>筛孔孔径：</w:t>
            </w:r>
            <w:r>
              <w:rPr>
                <w:rFonts w:ascii="Times New Roman" w:hAnsi="Times New Roman" w:eastAsia="仿宋" w:cs="Times New Roman"/>
                <w:color w:val="auto"/>
                <w:sz w:val="16"/>
                <w:szCs w:val="16"/>
                <w:highlight w:val="none"/>
                <w:lang w:val="en-US"/>
              </w:rPr>
              <w:t>0.9mm</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126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41</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全自动表面积测定仪</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89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水泥试验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1.电源电压：220V±10%</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2.计时范围：0.1秒＜T＜500秒</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3.计时精度：＜0.2秒</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4.测量精度：≤1%</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5.温度范围：8-34℃</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6.配套试筒等全套试验辅材。</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84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42</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容积升</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套</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89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集料试验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1、桶壁厚不小于3mm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2、材质：金属</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hint="eastAsia" w:ascii="仿宋" w:hAnsi="仿宋" w:eastAsia="仿宋" w:cs="仿宋"/>
                <w:color w:val="auto"/>
                <w:sz w:val="16"/>
                <w:szCs w:val="16"/>
                <w:highlight w:val="none"/>
                <w:lang w:val="en-US"/>
              </w:rPr>
              <w:t>1、3、5、10、15、20、30L</w:t>
            </w:r>
          </w:p>
        </w:tc>
      </w:tr>
      <w:tr>
        <w:tblPrEx>
          <w:tblCellMar>
            <w:top w:w="0" w:type="dxa"/>
            <w:left w:w="108" w:type="dxa"/>
            <w:bottom w:w="0" w:type="dxa"/>
            <w:right w:w="108" w:type="dxa"/>
          </w:tblCellMar>
        </w:tblPrEx>
        <w:trPr>
          <w:trHeight w:val="45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43</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水平尺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支</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p>
        </w:tc>
        <w:tc>
          <w:tcPr>
            <w:tcW w:w="89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现场检测试验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宋体" w:hAnsi="宋体" w:eastAsia="宋体" w:cs="宋体"/>
                <w:color w:val="auto"/>
                <w:sz w:val="16"/>
                <w:szCs w:val="16"/>
                <w:highlight w:val="none"/>
                <w:lang w:val="en-US"/>
              </w:rPr>
              <w:t>测量范围：</w:t>
            </w:r>
            <w:r>
              <w:rPr>
                <w:rFonts w:ascii="Times New Roman" w:hAnsi="Times New Roman" w:eastAsia="仿宋" w:cs="Times New Roman"/>
                <w:color w:val="auto"/>
                <w:sz w:val="16"/>
                <w:szCs w:val="16"/>
                <w:highlight w:val="none"/>
                <w:lang w:val="en-US"/>
              </w:rPr>
              <w:t>±5/1000mm</w:t>
            </w:r>
            <w:r>
              <w:rPr>
                <w:rFonts w:hint="eastAsia" w:ascii="宋体" w:hAnsi="宋体" w:eastAsia="宋体" w:cs="宋体"/>
                <w:color w:val="auto"/>
                <w:sz w:val="16"/>
                <w:szCs w:val="16"/>
                <w:highlight w:val="none"/>
                <w:lang w:val="en-US"/>
              </w:rPr>
              <w:t>，精度误差：</w:t>
            </w:r>
            <w:r>
              <w:rPr>
                <w:rFonts w:ascii="Times New Roman" w:hAnsi="Times New Roman" w:eastAsia="仿宋" w:cs="Times New Roman"/>
                <w:color w:val="auto"/>
                <w:sz w:val="16"/>
                <w:szCs w:val="16"/>
                <w:highlight w:val="none"/>
                <w:lang w:val="en-US"/>
              </w:rPr>
              <w:t>±0.5mm</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hint="eastAsia" w:ascii="仿宋" w:hAnsi="仿宋" w:eastAsia="仿宋" w:cs="仿宋"/>
                <w:color w:val="auto"/>
                <w:sz w:val="16"/>
                <w:szCs w:val="16"/>
                <w:highlight w:val="none"/>
                <w:lang w:val="en-US"/>
              </w:rPr>
              <w:t>1m</w:t>
            </w:r>
          </w:p>
        </w:tc>
      </w:tr>
      <w:tr>
        <w:tblPrEx>
          <w:tblCellMar>
            <w:top w:w="0" w:type="dxa"/>
            <w:left w:w="108" w:type="dxa"/>
            <w:bottom w:w="0" w:type="dxa"/>
            <w:right w:w="108" w:type="dxa"/>
          </w:tblCellMar>
        </w:tblPrEx>
        <w:trPr>
          <w:trHeight w:val="42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44</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李氏比重瓶</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val="en-US" w:eastAsia="zh-CN"/>
              </w:rPr>
              <w:t>6</w:t>
            </w:r>
          </w:p>
        </w:tc>
        <w:tc>
          <w:tcPr>
            <w:tcW w:w="92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p>
        </w:tc>
        <w:tc>
          <w:tcPr>
            <w:tcW w:w="89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水泥试验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宋体" w:hAnsi="宋体" w:eastAsia="宋体" w:cs="宋体"/>
                <w:color w:val="auto"/>
                <w:sz w:val="16"/>
                <w:szCs w:val="16"/>
                <w:highlight w:val="none"/>
                <w:lang w:val="en-US"/>
              </w:rPr>
              <w:t>满足《</w:t>
            </w:r>
            <w:r>
              <w:rPr>
                <w:rFonts w:ascii="Times New Roman" w:hAnsi="Times New Roman" w:eastAsia="仿宋" w:cs="Times New Roman"/>
                <w:color w:val="auto"/>
                <w:sz w:val="16"/>
                <w:szCs w:val="16"/>
                <w:highlight w:val="none"/>
                <w:lang w:val="en-US"/>
              </w:rPr>
              <w:t xml:space="preserve">JJG 196 </w:t>
            </w:r>
            <w:r>
              <w:rPr>
                <w:rFonts w:hint="eastAsia" w:ascii="宋体" w:hAnsi="宋体" w:eastAsia="宋体" w:cs="宋体"/>
                <w:color w:val="auto"/>
                <w:sz w:val="16"/>
                <w:szCs w:val="16"/>
                <w:highlight w:val="none"/>
                <w:lang w:val="en-US"/>
              </w:rPr>
              <w:t>常用玻璃量器》中相关要求</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84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45</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温湿度计</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15</w:t>
            </w:r>
          </w:p>
        </w:tc>
        <w:tc>
          <w:tcPr>
            <w:tcW w:w="92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p>
        </w:tc>
        <w:tc>
          <w:tcPr>
            <w:tcW w:w="89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1.温度测量范围：-30-50℃</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2.湿度测量范围：0%-100%RH</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3.温度测量精度：0.1℃</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4.湿度测量精度：1%RH</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lang w:val="en-US"/>
              </w:rPr>
              <w:t>0-50℃、0-100%</w:t>
            </w:r>
          </w:p>
        </w:tc>
      </w:tr>
      <w:tr>
        <w:tblPrEx>
          <w:tblCellMar>
            <w:top w:w="0" w:type="dxa"/>
            <w:left w:w="108" w:type="dxa"/>
            <w:bottom w:w="0" w:type="dxa"/>
            <w:right w:w="108" w:type="dxa"/>
          </w:tblCellMar>
        </w:tblPrEx>
        <w:trPr>
          <w:trHeight w:val="42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46</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外径千分尺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p>
        </w:tc>
        <w:tc>
          <w:tcPr>
            <w:tcW w:w="89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现场检测试验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1.测量范围：50-75（mm）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2.分辨率：0.01（mm）</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42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47</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刀口角尺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p>
        </w:tc>
        <w:tc>
          <w:tcPr>
            <w:tcW w:w="89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现场检测试验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满足《JJG 7 直角尺》中相关要求</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42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48</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间隙尺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套</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p>
        </w:tc>
        <w:tc>
          <w:tcPr>
            <w:tcW w:w="89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水泥试验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hint="eastAsia" w:ascii="仿宋" w:hAnsi="仿宋" w:eastAsia="仿宋" w:cs="仿宋"/>
                <w:color w:val="auto"/>
                <w:sz w:val="16"/>
                <w:szCs w:val="16"/>
                <w:highlight w:val="none"/>
                <w:lang w:val="en-US"/>
              </w:rPr>
              <w:t>1-3、2-4</w:t>
            </w:r>
          </w:p>
        </w:tc>
      </w:tr>
      <w:tr>
        <w:tblPrEx>
          <w:tblCellMar>
            <w:top w:w="0" w:type="dxa"/>
            <w:left w:w="108" w:type="dxa"/>
            <w:bottom w:w="0" w:type="dxa"/>
            <w:right w:w="108" w:type="dxa"/>
          </w:tblCellMar>
        </w:tblPrEx>
        <w:trPr>
          <w:trHeight w:val="42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49</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万能角度尺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p>
        </w:tc>
        <w:tc>
          <w:tcPr>
            <w:tcW w:w="89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现场检测试验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1.外角测量范围：0°-320°</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2.内角测量范围：40°-130°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hint="eastAsia" w:ascii="仿宋" w:hAnsi="仿宋" w:eastAsia="仿宋" w:cs="仿宋"/>
                <w:color w:val="auto"/>
                <w:sz w:val="16"/>
                <w:szCs w:val="16"/>
                <w:highlight w:val="none"/>
                <w:lang w:val="en-US"/>
              </w:rPr>
              <w:t>0-320度</w:t>
            </w:r>
          </w:p>
        </w:tc>
      </w:tr>
      <w:tr>
        <w:tblPrEx>
          <w:tblCellMar>
            <w:top w:w="0" w:type="dxa"/>
            <w:left w:w="108" w:type="dxa"/>
            <w:bottom w:w="0" w:type="dxa"/>
            <w:right w:w="108" w:type="dxa"/>
          </w:tblCellMar>
        </w:tblPrEx>
        <w:trPr>
          <w:trHeight w:val="42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50</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片状塞尺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p>
        </w:tc>
        <w:tc>
          <w:tcPr>
            <w:tcW w:w="89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现场检测试验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满足《 JJG 62 塞尺》中相关要求</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hint="eastAsia" w:ascii="仿宋" w:hAnsi="仿宋" w:eastAsia="仿宋" w:cs="仿宋"/>
                <w:color w:val="auto"/>
                <w:sz w:val="16"/>
                <w:szCs w:val="16"/>
                <w:highlight w:val="none"/>
                <w:lang w:val="en-US"/>
              </w:rPr>
              <w:t>0.02-1.00mm</w:t>
            </w:r>
          </w:p>
        </w:tc>
      </w:tr>
      <w:tr>
        <w:tblPrEx>
          <w:tblCellMar>
            <w:top w:w="0" w:type="dxa"/>
            <w:left w:w="108" w:type="dxa"/>
            <w:bottom w:w="0" w:type="dxa"/>
            <w:right w:w="108" w:type="dxa"/>
          </w:tblCellMar>
        </w:tblPrEx>
        <w:trPr>
          <w:trHeight w:val="63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51</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水泥混凝土拌合物扩展度仪</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p>
        </w:tc>
        <w:tc>
          <w:tcPr>
            <w:tcW w:w="89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水泥混凝土试验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52</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钢直尺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各1个</w:t>
            </w:r>
          </w:p>
        </w:tc>
        <w:tc>
          <w:tcPr>
            <w:tcW w:w="92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p>
        </w:tc>
        <w:tc>
          <w:tcPr>
            <w:tcW w:w="89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现场检测试验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宋体" w:hAnsi="宋体" w:eastAsia="宋体" w:cs="宋体"/>
                <w:color w:val="auto"/>
                <w:sz w:val="16"/>
                <w:szCs w:val="16"/>
                <w:highlight w:val="none"/>
                <w:lang w:val="en-US"/>
              </w:rPr>
              <w:t>满足《</w:t>
            </w:r>
            <w:r>
              <w:rPr>
                <w:rFonts w:ascii="Times New Roman" w:hAnsi="Times New Roman" w:eastAsia="仿宋" w:cs="Times New Roman"/>
                <w:color w:val="auto"/>
                <w:sz w:val="16"/>
                <w:szCs w:val="16"/>
                <w:highlight w:val="none"/>
                <w:lang w:val="en-US"/>
              </w:rPr>
              <w:t xml:space="preserve">JJG 1-1999 </w:t>
            </w:r>
            <w:r>
              <w:rPr>
                <w:rFonts w:hint="eastAsia" w:ascii="宋体" w:hAnsi="宋体" w:eastAsia="宋体" w:cs="宋体"/>
                <w:color w:val="auto"/>
                <w:sz w:val="16"/>
                <w:szCs w:val="16"/>
                <w:highlight w:val="none"/>
                <w:lang w:val="en-US"/>
              </w:rPr>
              <w:t>钢直尺》中相关要求</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hint="eastAsia" w:ascii="仿宋" w:hAnsi="仿宋" w:eastAsia="仿宋" w:cs="仿宋"/>
                <w:color w:val="auto"/>
                <w:sz w:val="16"/>
                <w:szCs w:val="16"/>
                <w:highlight w:val="none"/>
                <w:lang w:val="en-US"/>
              </w:rPr>
              <w:t>30、60、100cm</w:t>
            </w:r>
          </w:p>
        </w:tc>
      </w:tr>
      <w:tr>
        <w:tblPrEx>
          <w:tblCellMar>
            <w:top w:w="0" w:type="dxa"/>
            <w:left w:w="108" w:type="dxa"/>
            <w:bottom w:w="0" w:type="dxa"/>
            <w:right w:w="108" w:type="dxa"/>
          </w:tblCellMar>
        </w:tblPrEx>
        <w:trPr>
          <w:trHeight w:val="42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53</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5m钢卷尺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4</w:t>
            </w:r>
          </w:p>
        </w:tc>
        <w:tc>
          <w:tcPr>
            <w:tcW w:w="92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p>
        </w:tc>
        <w:tc>
          <w:tcPr>
            <w:tcW w:w="89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现场检测试验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宋体" w:hAnsi="宋体" w:eastAsia="宋体" w:cs="宋体"/>
                <w:color w:val="auto"/>
                <w:sz w:val="16"/>
                <w:szCs w:val="16"/>
                <w:highlight w:val="none"/>
                <w:lang w:val="en-US"/>
              </w:rPr>
              <w:t>满足《</w:t>
            </w:r>
            <w:r>
              <w:rPr>
                <w:rFonts w:ascii="Times New Roman" w:hAnsi="Times New Roman" w:eastAsia="仿宋" w:cs="Times New Roman"/>
                <w:color w:val="auto"/>
                <w:sz w:val="16"/>
                <w:szCs w:val="16"/>
                <w:highlight w:val="none"/>
                <w:lang w:val="en-US"/>
              </w:rPr>
              <w:t xml:space="preserve">JJG 4 </w:t>
            </w:r>
            <w:r>
              <w:rPr>
                <w:rFonts w:hint="eastAsia" w:ascii="宋体" w:hAnsi="宋体" w:eastAsia="宋体" w:cs="宋体"/>
                <w:color w:val="auto"/>
                <w:sz w:val="16"/>
                <w:szCs w:val="16"/>
                <w:highlight w:val="none"/>
                <w:lang w:val="en-US"/>
              </w:rPr>
              <w:t>钢卷尺》中相关要求</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hint="eastAsia" w:ascii="仿宋" w:hAnsi="仿宋" w:eastAsia="仿宋" w:cs="仿宋"/>
                <w:color w:val="auto"/>
                <w:sz w:val="16"/>
                <w:szCs w:val="16"/>
                <w:highlight w:val="none"/>
                <w:lang w:val="en-US"/>
              </w:rPr>
              <w:t>精度1mm</w:t>
            </w:r>
          </w:p>
        </w:tc>
      </w:tr>
      <w:tr>
        <w:tblPrEx>
          <w:tblCellMar>
            <w:top w:w="0" w:type="dxa"/>
            <w:left w:w="108" w:type="dxa"/>
            <w:bottom w:w="0" w:type="dxa"/>
            <w:right w:w="108" w:type="dxa"/>
          </w:tblCellMar>
        </w:tblPrEx>
        <w:trPr>
          <w:trHeight w:val="84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54</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二、土工及软基处理仪器设备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无侧限抗压试模</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lang w:val="en-US"/>
              </w:rPr>
            </w:pPr>
            <w:r>
              <w:rPr>
                <w:rFonts w:hint="eastAsia" w:ascii="仿宋" w:hAnsi="仿宋" w:eastAsia="仿宋" w:cs="仿宋"/>
                <w:color w:val="auto"/>
                <w:sz w:val="20"/>
                <w:szCs w:val="20"/>
                <w:highlight w:val="none"/>
                <w:lang w:val="en-US"/>
              </w:rPr>
              <w:t>26</w:t>
            </w:r>
          </w:p>
        </w:tc>
        <w:tc>
          <w:tcPr>
            <w:tcW w:w="92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土工及软基试验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宋体" w:hAnsi="宋体" w:eastAsia="宋体" w:cs="宋体"/>
                <w:color w:val="auto"/>
                <w:sz w:val="16"/>
                <w:szCs w:val="16"/>
                <w:highlight w:val="none"/>
                <w:lang w:val="en-US"/>
              </w:rPr>
              <w:t>规格尺寸：</w:t>
            </w:r>
            <w:r>
              <w:rPr>
                <w:rFonts w:ascii="Times New Roman" w:hAnsi="Times New Roman" w:eastAsia="仿宋" w:cs="Times New Roman"/>
                <w:color w:val="auto"/>
                <w:sz w:val="16"/>
                <w:szCs w:val="16"/>
                <w:highlight w:val="none"/>
                <w:lang w:val="en-US"/>
              </w:rPr>
              <w:t>150*150mm</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0"/>
                <w:szCs w:val="20"/>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0"/>
                <w:szCs w:val="20"/>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Ф150×150×150mm</w:t>
            </w:r>
          </w:p>
        </w:tc>
      </w:tr>
      <w:tr>
        <w:tblPrEx>
          <w:tblCellMar>
            <w:top w:w="0" w:type="dxa"/>
            <w:left w:w="108" w:type="dxa"/>
            <w:bottom w:w="0" w:type="dxa"/>
            <w:right w:w="108" w:type="dxa"/>
          </w:tblCellMar>
        </w:tblPrEx>
        <w:trPr>
          <w:trHeight w:val="84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55</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无侧限抗压试模</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lang w:val="en-US"/>
              </w:rPr>
            </w:pPr>
            <w:r>
              <w:rPr>
                <w:rFonts w:hint="eastAsia" w:ascii="仿宋" w:hAnsi="仿宋" w:eastAsia="仿宋" w:cs="仿宋"/>
                <w:color w:val="auto"/>
                <w:sz w:val="20"/>
                <w:szCs w:val="20"/>
                <w:highlight w:val="none"/>
                <w:lang w:val="en-US"/>
              </w:rPr>
              <w:t>18</w:t>
            </w:r>
          </w:p>
        </w:tc>
        <w:tc>
          <w:tcPr>
            <w:tcW w:w="92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土工及软基试验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宋体" w:hAnsi="宋体" w:eastAsia="宋体" w:cs="宋体"/>
                <w:color w:val="auto"/>
                <w:sz w:val="16"/>
                <w:szCs w:val="16"/>
                <w:highlight w:val="none"/>
                <w:lang w:val="en-US"/>
              </w:rPr>
              <w:t>规格尺寸：</w:t>
            </w:r>
            <w:r>
              <w:rPr>
                <w:rFonts w:ascii="Times New Roman" w:hAnsi="Times New Roman" w:eastAsia="仿宋" w:cs="Times New Roman"/>
                <w:color w:val="auto"/>
                <w:sz w:val="16"/>
                <w:szCs w:val="16"/>
                <w:highlight w:val="none"/>
                <w:lang w:val="en-US"/>
              </w:rPr>
              <w:t>100*100mm</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0"/>
                <w:szCs w:val="20"/>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0"/>
                <w:szCs w:val="20"/>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Ф100×100×100mm</w:t>
            </w:r>
          </w:p>
        </w:tc>
      </w:tr>
      <w:tr>
        <w:tblPrEx>
          <w:tblCellMar>
            <w:top w:w="0" w:type="dxa"/>
            <w:left w:w="108" w:type="dxa"/>
            <w:bottom w:w="0" w:type="dxa"/>
            <w:right w:w="108" w:type="dxa"/>
          </w:tblCellMar>
        </w:tblPrEx>
        <w:trPr>
          <w:trHeight w:val="67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56</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无侧限抗压试模</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lang w:val="en-US"/>
              </w:rPr>
            </w:pPr>
            <w:r>
              <w:rPr>
                <w:rFonts w:hint="eastAsia" w:ascii="仿宋" w:hAnsi="仿宋" w:eastAsia="仿宋" w:cs="仿宋"/>
                <w:color w:val="auto"/>
                <w:sz w:val="20"/>
                <w:szCs w:val="20"/>
                <w:highlight w:val="none"/>
                <w:lang w:val="en-US"/>
              </w:rPr>
              <w:t>13</w:t>
            </w:r>
          </w:p>
        </w:tc>
        <w:tc>
          <w:tcPr>
            <w:tcW w:w="92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土工及软基试验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宋体" w:hAnsi="宋体" w:eastAsia="宋体" w:cs="宋体"/>
                <w:color w:val="auto"/>
                <w:sz w:val="16"/>
                <w:szCs w:val="16"/>
                <w:highlight w:val="none"/>
                <w:lang w:val="en-US"/>
              </w:rPr>
              <w:t>规格尺寸：</w:t>
            </w:r>
            <w:r>
              <w:rPr>
                <w:rFonts w:ascii="Times New Roman" w:hAnsi="Times New Roman" w:eastAsia="仿宋" w:cs="Times New Roman"/>
                <w:color w:val="auto"/>
                <w:sz w:val="16"/>
                <w:szCs w:val="16"/>
                <w:highlight w:val="none"/>
                <w:lang w:val="en-US"/>
              </w:rPr>
              <w:t>50*50mm</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0"/>
                <w:szCs w:val="20"/>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0"/>
                <w:szCs w:val="20"/>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Ф50×50×50mm</w:t>
            </w:r>
          </w:p>
        </w:tc>
      </w:tr>
      <w:tr>
        <w:tblPrEx>
          <w:tblCellMar>
            <w:top w:w="0" w:type="dxa"/>
            <w:left w:w="108" w:type="dxa"/>
            <w:bottom w:w="0" w:type="dxa"/>
            <w:right w:w="108" w:type="dxa"/>
          </w:tblCellMar>
        </w:tblPrEx>
        <w:trPr>
          <w:trHeight w:val="171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57</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多功能自动脱模机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土工及软基试验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1.最大力：200KN</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2.上升速度：170mm/min</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3.下降速度：200mm/min</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4.最大移动距离：250mm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5.电机功率：380v750v</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6.油泵额定压力：6.6MPa</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7.油泵公称排量：2.5ml/r</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 xml:space="preserve">8.油泵额定转速：1500r/min  </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 xml:space="preserve">9.可调节快慢挡  </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0"/>
                <w:szCs w:val="20"/>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0"/>
                <w:szCs w:val="20"/>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42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58</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lang w:val="en-US"/>
              </w:rPr>
            </w:pPr>
            <w:r>
              <w:rPr>
                <w:rFonts w:hint="eastAsia" w:ascii="仿宋" w:hAnsi="仿宋" w:eastAsia="仿宋" w:cs="仿宋"/>
                <w:color w:val="auto"/>
                <w:sz w:val="16"/>
                <w:szCs w:val="16"/>
                <w:highlight w:val="none"/>
                <w:lang w:val="en-US"/>
              </w:rPr>
              <w:t>微波炉、加湿器</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土工及软基试验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textAlignment w:val="center"/>
              <w:rPr>
                <w:rFonts w:ascii="仿宋" w:hAnsi="仿宋" w:eastAsia="仿宋" w:cs="仿宋"/>
                <w:color w:val="auto"/>
                <w:sz w:val="16"/>
                <w:szCs w:val="16"/>
                <w:highlight w:val="none"/>
                <w:lang w:val="en-US"/>
              </w:rPr>
            </w:pPr>
            <w:r>
              <w:rPr>
                <w:rFonts w:hint="eastAsia" w:ascii="仿宋" w:hAnsi="仿宋" w:eastAsia="仿宋" w:cs="仿宋"/>
                <w:color w:val="auto"/>
                <w:sz w:val="16"/>
                <w:szCs w:val="16"/>
                <w:highlight w:val="none"/>
                <w:lang w:val="en-US" w:eastAsia="zh-CN"/>
              </w:rPr>
              <w:t>1.</w:t>
            </w:r>
            <w:r>
              <w:rPr>
                <w:rFonts w:hint="eastAsia" w:ascii="仿宋" w:hAnsi="仿宋" w:eastAsia="仿宋" w:cs="仿宋"/>
                <w:color w:val="auto"/>
                <w:sz w:val="16"/>
                <w:szCs w:val="16"/>
                <w:highlight w:val="none"/>
                <w:lang w:val="en-US"/>
              </w:rPr>
              <w:t>微波炉功率：600W(含)-900W(含)</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2.微波炉底盘类型：平板式</w:t>
            </w:r>
          </w:p>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3.加湿器：水箱容量6.1-10升；适用面积41-60平米</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189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59</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光电式液塑限联合测定仪</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土工及软基试验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1.量程 ：22mm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2.分辨力：0.1mm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3.测量非线性误差：优于2%</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4.接触指示灵敏度：大于10M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5.锤重 ：100克/76克（±0.1克）</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6.锤角 ：30°±0.2°</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7.测量时间：5S</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8.电源：220V±10% 50HZ</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9.连续工作时间： 8小时</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126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60</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电动击实仪</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土工及软基试验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1.击实锤重：重型：4.5kg 轻型：2.5kg</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2.落锤高度：重型：450mm 轻型：300mm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3.锤击次数：30次／分</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4.电机功率：三相550W</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0"/>
                <w:szCs w:val="20"/>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0"/>
                <w:szCs w:val="20"/>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61</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电子天平</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土工及软基试验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满足《JJG 1036 电子天平》中相关要求</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等线" w:cs="Times New Roman"/>
                <w:color w:val="auto"/>
                <w:sz w:val="16"/>
                <w:szCs w:val="16"/>
                <w:highlight w:val="none"/>
              </w:rPr>
            </w:pPr>
            <w:r>
              <w:rPr>
                <w:rFonts w:hint="eastAsia" w:ascii="仿宋" w:hAnsi="仿宋" w:eastAsia="仿宋" w:cs="仿宋"/>
                <w:color w:val="auto"/>
                <w:sz w:val="16"/>
                <w:szCs w:val="16"/>
                <w:highlight w:val="none"/>
                <w:lang w:val="en-US"/>
              </w:rPr>
              <w:t>5000/0.01g</w:t>
            </w:r>
          </w:p>
        </w:tc>
      </w:tr>
      <w:tr>
        <w:tblPrEx>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62</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电子天平</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土工及软基试验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满足《JJG 1036 电子天平》中相关要求</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等线" w:cs="Times New Roman"/>
                <w:color w:val="auto"/>
                <w:sz w:val="16"/>
                <w:szCs w:val="16"/>
                <w:highlight w:val="none"/>
              </w:rPr>
            </w:pPr>
            <w:r>
              <w:rPr>
                <w:rFonts w:hint="eastAsia" w:ascii="仿宋" w:hAnsi="仿宋" w:eastAsia="仿宋" w:cs="仿宋"/>
                <w:color w:val="auto"/>
                <w:sz w:val="16"/>
                <w:szCs w:val="16"/>
                <w:highlight w:val="none"/>
                <w:lang w:val="en-US"/>
              </w:rPr>
              <w:t>2000/0.01g</w:t>
            </w:r>
          </w:p>
        </w:tc>
      </w:tr>
      <w:tr>
        <w:tblPrEx>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63</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电子天平</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3</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土工及软基试验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满足《JJG 1036 电子天平》中相关要求</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等线" w:cs="Times New Roman"/>
                <w:color w:val="auto"/>
                <w:sz w:val="16"/>
                <w:szCs w:val="16"/>
                <w:highlight w:val="none"/>
              </w:rPr>
            </w:pPr>
            <w:r>
              <w:rPr>
                <w:rFonts w:hint="eastAsia" w:ascii="仿宋" w:hAnsi="仿宋" w:eastAsia="仿宋" w:cs="仿宋"/>
                <w:color w:val="auto"/>
                <w:sz w:val="16"/>
                <w:szCs w:val="16"/>
                <w:highlight w:val="none"/>
                <w:lang w:val="en-US"/>
              </w:rPr>
              <w:t>15kg/1g</w:t>
            </w:r>
          </w:p>
        </w:tc>
      </w:tr>
      <w:tr>
        <w:tblPrEx>
          <w:tblCellMar>
            <w:top w:w="0" w:type="dxa"/>
            <w:left w:w="108" w:type="dxa"/>
            <w:bottom w:w="0" w:type="dxa"/>
            <w:right w:w="108" w:type="dxa"/>
          </w:tblCellMar>
        </w:tblPrEx>
        <w:trPr>
          <w:trHeight w:val="84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64</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灌砂筒</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套</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土工及软基试验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1.金属圆筒（用铁皮制作）上部为储砂筒，筒底中心有一直径15mm的圆孔</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2.内径为150mm，总高360mm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3.内径为200mm，总高520mm</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Ф150mm</w:t>
            </w:r>
          </w:p>
        </w:tc>
      </w:tr>
      <w:tr>
        <w:tblPrEx>
          <w:tblCellMar>
            <w:top w:w="0" w:type="dxa"/>
            <w:left w:w="108" w:type="dxa"/>
            <w:bottom w:w="0" w:type="dxa"/>
            <w:right w:w="108" w:type="dxa"/>
          </w:tblCellMar>
        </w:tblPrEx>
        <w:trPr>
          <w:trHeight w:val="106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65</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室内 CBR 测试仪、膨胀仪配件</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土工及软基试验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1.电源电压：220V～125W</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2.最大荷载：30KN</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上升速度：1mm/min</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3.惯入杆直径：50mm×100mm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4.试件尺寸：</w:t>
            </w:r>
            <w:r>
              <w:rPr>
                <w:rStyle w:val="23"/>
                <w:rFonts w:eastAsia="仿宋"/>
                <w:color w:val="auto"/>
                <w:highlight w:val="none"/>
                <w:lang w:val="en-US"/>
              </w:rPr>
              <w:t>Ф</w:t>
            </w:r>
            <w:r>
              <w:rPr>
                <w:rFonts w:hint="eastAsia" w:ascii="仿宋" w:hAnsi="仿宋" w:eastAsia="仿宋" w:cs="仿宋"/>
                <w:color w:val="auto"/>
                <w:sz w:val="16"/>
                <w:szCs w:val="16"/>
                <w:highlight w:val="none"/>
                <w:lang w:val="en-US"/>
              </w:rPr>
              <w:t>152mm×170mm</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0"/>
                <w:szCs w:val="20"/>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0"/>
                <w:szCs w:val="20"/>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42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66</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膨胀仪及试模</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套</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18</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土工及软基试验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67</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水浴锅</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土工及软基试验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63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68</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环刀</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土工及软基试验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规格尺寸：70*52mm带底和盖；容积：200cm2</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70取土手柄一个；</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63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69</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lang w:val="en-US"/>
              </w:rPr>
            </w:pPr>
            <w:r>
              <w:rPr>
                <w:rFonts w:hint="eastAsia" w:ascii="仿宋" w:hAnsi="仿宋" w:eastAsia="仿宋" w:cs="仿宋"/>
                <w:color w:val="auto"/>
                <w:sz w:val="16"/>
                <w:szCs w:val="16"/>
                <w:highlight w:val="none"/>
                <w:lang w:val="en-US"/>
              </w:rPr>
              <w:t>土样盒（大号）、铁板盒</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各1个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土工及软基试验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lang w:val="en-US"/>
              </w:rPr>
            </w:pPr>
            <w:r>
              <w:rPr>
                <w:rFonts w:hint="eastAsia" w:ascii="仿宋" w:hAnsi="仿宋" w:eastAsia="仿宋" w:cs="仿宋"/>
                <w:color w:val="auto"/>
                <w:sz w:val="16"/>
                <w:szCs w:val="16"/>
                <w:highlight w:val="none"/>
                <w:lang w:val="en-US"/>
              </w:rPr>
              <w:t>1.土样盒：直径*高度=65*40mm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2.土样盒：盒盖和盒身均带钢印（编号：1-100）3.铁板盒：不锈钢材质、容积1000ml</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lang w:val="en-US"/>
              </w:rPr>
            </w:pPr>
            <w:r>
              <w:rPr>
                <w:rFonts w:hint="eastAsia" w:ascii="仿宋" w:hAnsi="仿宋" w:eastAsia="仿宋" w:cs="仿宋"/>
                <w:color w:val="auto"/>
                <w:sz w:val="16"/>
                <w:szCs w:val="16"/>
                <w:highlight w:val="none"/>
                <w:lang w:val="en-US"/>
              </w:rPr>
              <w:t>土样盒100个，铁板盒100个</w:t>
            </w:r>
          </w:p>
        </w:tc>
      </w:tr>
      <w:tr>
        <w:tblPrEx>
          <w:tblCellMar>
            <w:top w:w="0" w:type="dxa"/>
            <w:left w:w="108" w:type="dxa"/>
            <w:bottom w:w="0" w:type="dxa"/>
            <w:right w:w="108" w:type="dxa"/>
          </w:tblCellMar>
        </w:tblPrEx>
        <w:trPr>
          <w:trHeight w:val="637"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70</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lang w:val="en-US"/>
              </w:rPr>
            </w:pPr>
            <w:r>
              <w:rPr>
                <w:rFonts w:hint="eastAsia" w:ascii="仿宋" w:hAnsi="仿宋" w:eastAsia="仿宋" w:cs="仿宋"/>
                <w:color w:val="auto"/>
                <w:sz w:val="16"/>
                <w:szCs w:val="16"/>
                <w:highlight w:val="none"/>
                <w:lang w:val="en-US"/>
              </w:rPr>
              <w:t>触探仪、开土工具</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套</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1套</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土工及软基试验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6"/>
              </w:numPr>
              <w:textAlignment w:val="center"/>
              <w:rPr>
                <w:rFonts w:ascii="仿宋" w:hAnsi="仿宋" w:eastAsia="仿宋" w:cs="仿宋"/>
                <w:color w:val="auto"/>
                <w:sz w:val="16"/>
                <w:szCs w:val="16"/>
                <w:highlight w:val="none"/>
                <w:lang w:val="en-US"/>
              </w:rPr>
            </w:pPr>
            <w:r>
              <w:rPr>
                <w:rFonts w:hint="eastAsia" w:ascii="仿宋" w:hAnsi="仿宋" w:eastAsia="仿宋" w:cs="仿宋"/>
                <w:color w:val="auto"/>
                <w:sz w:val="16"/>
                <w:szCs w:val="16"/>
                <w:highlight w:val="none"/>
                <w:lang w:val="en-US"/>
              </w:rPr>
              <w:t>轻型触探仪：锤重10kg+10g；落高50cm；最大贯入深度2700mm；贯入锤锤度：60度；贯入锤最大直径40mm；锥杆直径：25mm</w:t>
            </w:r>
          </w:p>
          <w:p>
            <w:pPr>
              <w:widowControl/>
              <w:numPr>
                <w:ilvl w:val="0"/>
                <w:numId w:val="16"/>
              </w:numPr>
              <w:textAlignment w:val="center"/>
              <w:rPr>
                <w:rFonts w:ascii="仿宋" w:hAnsi="仿宋" w:eastAsia="仿宋" w:cs="仿宋"/>
                <w:color w:val="auto"/>
                <w:sz w:val="16"/>
                <w:szCs w:val="16"/>
                <w:highlight w:val="none"/>
                <w:lang w:val="en-US"/>
              </w:rPr>
            </w:pPr>
            <w:r>
              <w:rPr>
                <w:rFonts w:hint="eastAsia" w:ascii="仿宋" w:hAnsi="仿宋" w:eastAsia="仿宋" w:cs="仿宋"/>
                <w:color w:val="auto"/>
                <w:sz w:val="16"/>
                <w:szCs w:val="16"/>
                <w:highlight w:val="none"/>
                <w:lang w:val="en-US"/>
              </w:rPr>
              <w:t>重型触探仪：锤重63.5kg+0.5kg；落高76±2cm；最大贯入深度2700mm；贯入锤锤度：60度；贯入锤最大直径74mm；锥杆直径：42mm</w:t>
            </w:r>
          </w:p>
          <w:p>
            <w:pPr>
              <w:widowControl/>
              <w:numPr>
                <w:ilvl w:val="0"/>
                <w:numId w:val="16"/>
              </w:numPr>
              <w:textAlignment w:val="center"/>
              <w:rPr>
                <w:rFonts w:ascii="仿宋" w:hAnsi="仿宋" w:eastAsia="仿宋" w:cs="仿宋"/>
                <w:color w:val="auto"/>
                <w:sz w:val="16"/>
                <w:szCs w:val="16"/>
                <w:highlight w:val="none"/>
                <w:lang w:val="en-US"/>
              </w:rPr>
            </w:pPr>
            <w:r>
              <w:rPr>
                <w:rFonts w:hint="eastAsia" w:ascii="仿宋" w:hAnsi="仿宋" w:eastAsia="仿宋" w:cs="仿宋"/>
                <w:color w:val="auto"/>
                <w:sz w:val="16"/>
                <w:szCs w:val="16"/>
                <w:highlight w:val="none"/>
                <w:lang w:val="en-US" w:eastAsia="zh-CN"/>
              </w:rPr>
              <w:t>开土工具一套2个</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231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71</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路面材料强度试验仪（感应力环）</w:t>
            </w:r>
            <w:bookmarkStart w:id="6" w:name="百分表支架"/>
            <w:bookmarkEnd w:id="6"/>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土工及软基试验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7"/>
              </w:numPr>
              <w:textAlignment w:val="center"/>
              <w:rPr>
                <w:rFonts w:hint="eastAsia" w:ascii="仿宋" w:hAnsi="仿宋" w:eastAsia="仿宋" w:cs="仿宋"/>
                <w:color w:val="auto"/>
                <w:sz w:val="16"/>
                <w:szCs w:val="16"/>
                <w:highlight w:val="none"/>
                <w:lang w:val="en-US"/>
              </w:rPr>
            </w:pPr>
            <w:r>
              <w:rPr>
                <w:rFonts w:hint="eastAsia" w:ascii="仿宋" w:hAnsi="仿宋" w:eastAsia="仿宋" w:cs="仿宋"/>
                <w:color w:val="auto"/>
                <w:sz w:val="16"/>
                <w:szCs w:val="16"/>
                <w:highlight w:val="none"/>
                <w:lang w:val="en-US"/>
              </w:rPr>
              <w:t>最大额定载荷：200kN</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2.丝杆大移动距离：200mm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3.机动速度: 快速50mm/min</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 xml:space="preserve">            慢速1m/min</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4.手动速度： 0.2mm/摇把每圈</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5.电机规格： 550w 380v 1400p/min</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6.重量： 120KG</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7.电源电压： 380V</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8.功率：800W</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9.环境温度：≤35℃</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10.控制方式：数显控制器</w:t>
            </w:r>
          </w:p>
          <w:p>
            <w:pPr>
              <w:widowControl/>
              <w:numPr>
                <w:ilvl w:val="0"/>
                <w:numId w:val="0"/>
              </w:numPr>
              <w:textAlignment w:val="center"/>
              <w:rPr>
                <w:rFonts w:hint="default"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11.含装表支架</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84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72</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土样粉碎机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土工及软基试验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1、入料粒度：超细磨机</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2、出料粒度：3-20mm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最大物料硬度：6-7度</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3：适用物料：岩石/有机质土</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126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73</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新标准筛</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套</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土工及软基试验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1、新标准方孔石子筛10.075mm-53mm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2、新标准土壤筛：0.075mm-60mm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3、1.7㎜标准筛</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4、水泥标准筛：0.9㎜、0.45mm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5、含筛子展示架1200*600*450mm不锈钢架</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hint="eastAsia" w:ascii="仿宋" w:hAnsi="仿宋" w:eastAsia="仿宋" w:cs="仿宋"/>
                <w:color w:val="auto"/>
                <w:sz w:val="16"/>
                <w:szCs w:val="16"/>
                <w:highlight w:val="none"/>
                <w:lang w:val="en-US"/>
              </w:rPr>
              <w:t>砂、石、土壤、水泥（圆孔、方孔）</w:t>
            </w:r>
          </w:p>
        </w:tc>
      </w:tr>
      <w:tr>
        <w:tblPrEx>
          <w:tblCellMar>
            <w:top w:w="0" w:type="dxa"/>
            <w:left w:w="108" w:type="dxa"/>
            <w:bottom w:w="0" w:type="dxa"/>
            <w:right w:w="108" w:type="dxa"/>
          </w:tblCellMar>
        </w:tblPrEx>
        <w:trPr>
          <w:trHeight w:val="126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74</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自由膨胀率测定设备</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套</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4</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土工及软基试验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1、无颈漏斗2、量土杯3、搅拌器4、量表:量程5mm、精度0.001mm的千分表5、水槽:160x160×130mm6、试样规格:圆柱体中50~60mm，高度约等于直径正方体边长为50~60mm，两端面应平行且磨平7、外形尺寸: 500×500×150mm</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147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75</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烘箱</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土工及软基试验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1.显示方式：数显</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2.工作室尺寸（mm）：500*600*750</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3.输入功率：4.5KW</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4.电源电压：220V 50HZ</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5.定时范围：1-9999min</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6.控温范围：常温+10℃~300℃</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7.控温精度：±1℃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42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76</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干燥器</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1、材质：玻璃</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2、尺寸：400mm</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63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77</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三、化学分析试验仪器设备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天平 200/0.001g</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化学分析试验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满足《JJG 1036 电子天平》中相关要求</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hint="eastAsia" w:ascii="Times New Roman" w:hAnsi="Times New Roman" w:eastAsia="等线" w:cs="Times New Roman"/>
                <w:color w:val="auto"/>
                <w:sz w:val="16"/>
                <w:szCs w:val="16"/>
                <w:highlight w:val="none"/>
                <w:lang w:val="en-US"/>
              </w:rPr>
              <w:t>含天平减震台</w:t>
            </w:r>
          </w:p>
        </w:tc>
      </w:tr>
      <w:tr>
        <w:tblPrEx>
          <w:tblCellMar>
            <w:top w:w="0" w:type="dxa"/>
            <w:left w:w="108" w:type="dxa"/>
            <w:bottom w:w="0" w:type="dxa"/>
            <w:right w:w="108" w:type="dxa"/>
          </w:tblCellMar>
        </w:tblPrEx>
        <w:trPr>
          <w:trHeight w:val="63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78</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天平 200/0.0001g</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化学分析试验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满足《JJG 1036 电子天平》中相关要求</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hint="eastAsia" w:ascii="Times New Roman" w:hAnsi="Times New Roman" w:eastAsia="等线" w:cs="Times New Roman"/>
                <w:color w:val="auto"/>
                <w:sz w:val="16"/>
                <w:szCs w:val="16"/>
                <w:highlight w:val="none"/>
                <w:lang w:val="en-US"/>
              </w:rPr>
              <w:t>含天平减震台</w:t>
            </w:r>
          </w:p>
        </w:tc>
      </w:tr>
      <w:tr>
        <w:tblPrEx>
          <w:tblCellMar>
            <w:top w:w="0" w:type="dxa"/>
            <w:left w:w="108" w:type="dxa"/>
            <w:bottom w:w="0" w:type="dxa"/>
            <w:right w:w="108" w:type="dxa"/>
          </w:tblCellMar>
        </w:tblPrEx>
        <w:trPr>
          <w:trHeight w:val="126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79</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PH 计</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化学分析试验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1.环境温度：5～35℃</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2.相对湿度：≤80％</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3.测量范围：0～14PH；0±1999mv</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 xml:space="preserve">4.测量精度：±0.02PH；0.1％mv </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5.稳 定 性：≤0.01PH／3h</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6.温度补偿：0～60℃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63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80</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四联电炉（单个）</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化学分析试验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1.规格：四联2KW</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2.电压：220V</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3.功率：2000W*4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84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81</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高温炉</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化学分析试验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1.电压：220V</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2.功率：4KW</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3.温度1000℃</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4.加热室尺寸：300*200*120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lang w:val="en-US"/>
              </w:rPr>
              <w:t>配石棉网</w:t>
            </w:r>
          </w:p>
        </w:tc>
      </w:tr>
      <w:tr>
        <w:tblPrEx>
          <w:tblCellMar>
            <w:top w:w="0" w:type="dxa"/>
            <w:left w:w="108" w:type="dxa"/>
            <w:bottom w:w="0" w:type="dxa"/>
            <w:right w:w="108" w:type="dxa"/>
          </w:tblCellMar>
        </w:tblPrEx>
        <w:trPr>
          <w:trHeight w:val="126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82</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不锈钢电热恒温水箱</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化学分析试验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1、工作室尺寸600*380*150（mm）不锈钢内</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2、温度范围常温-100（℃）</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3、温度波动度0.5（℃）</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4、温度均匀度99（%）</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5、控温方式PID控温,</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460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83</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化学器皿</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套</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化学分析试验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满足《JJG 196 常用玻璃量器》中相关要求</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lang w:val="en-US"/>
              </w:rPr>
              <w:t>烧杯</w:t>
            </w:r>
            <w:r>
              <w:rPr>
                <w:rFonts w:ascii="Times New Roman" w:hAnsi="Times New Roman" w:eastAsia="宋体" w:cs="Times New Roman"/>
                <w:color w:val="auto"/>
                <w:sz w:val="16"/>
                <w:szCs w:val="16"/>
                <w:highlight w:val="none"/>
                <w:lang w:val="en-US"/>
              </w:rPr>
              <w:t>50ml</w:t>
            </w:r>
            <w:r>
              <w:rPr>
                <w:rFonts w:hint="eastAsia" w:ascii="宋体" w:hAnsi="宋体" w:eastAsia="宋体" w:cs="宋体"/>
                <w:color w:val="auto"/>
                <w:sz w:val="16"/>
                <w:szCs w:val="16"/>
                <w:highlight w:val="none"/>
                <w:lang w:val="en-US"/>
              </w:rPr>
              <w:t>、</w:t>
            </w:r>
            <w:r>
              <w:rPr>
                <w:rFonts w:ascii="Times New Roman" w:hAnsi="Times New Roman" w:eastAsia="宋体" w:cs="Times New Roman"/>
                <w:color w:val="auto"/>
                <w:sz w:val="16"/>
                <w:szCs w:val="16"/>
                <w:highlight w:val="none"/>
                <w:lang w:val="en-US"/>
              </w:rPr>
              <w:t>250ml</w:t>
            </w:r>
            <w:r>
              <w:rPr>
                <w:rFonts w:hint="eastAsia" w:ascii="宋体" w:hAnsi="宋体" w:eastAsia="宋体" w:cs="宋体"/>
                <w:color w:val="auto"/>
                <w:sz w:val="16"/>
                <w:szCs w:val="16"/>
                <w:highlight w:val="none"/>
                <w:lang w:val="en-US"/>
              </w:rPr>
              <w:t>、</w:t>
            </w:r>
            <w:r>
              <w:rPr>
                <w:rFonts w:ascii="Times New Roman" w:hAnsi="Times New Roman" w:eastAsia="宋体" w:cs="Times New Roman"/>
                <w:color w:val="auto"/>
                <w:sz w:val="16"/>
                <w:szCs w:val="16"/>
                <w:highlight w:val="none"/>
                <w:lang w:val="en-US"/>
              </w:rPr>
              <w:t>300ml</w:t>
            </w:r>
            <w:r>
              <w:rPr>
                <w:rFonts w:hint="eastAsia" w:ascii="宋体" w:hAnsi="宋体" w:eastAsia="宋体" w:cs="宋体"/>
                <w:color w:val="auto"/>
                <w:sz w:val="16"/>
                <w:szCs w:val="16"/>
                <w:highlight w:val="none"/>
                <w:lang w:val="en-US"/>
              </w:rPr>
              <w:t>、</w:t>
            </w:r>
            <w:r>
              <w:rPr>
                <w:rFonts w:ascii="Times New Roman" w:hAnsi="Times New Roman" w:eastAsia="宋体" w:cs="Times New Roman"/>
                <w:color w:val="auto"/>
                <w:sz w:val="16"/>
                <w:szCs w:val="16"/>
                <w:highlight w:val="none"/>
                <w:lang w:val="en-US"/>
              </w:rPr>
              <w:t>500ml</w:t>
            </w:r>
            <w:r>
              <w:rPr>
                <w:rFonts w:hint="eastAsia" w:ascii="宋体" w:hAnsi="宋体" w:eastAsia="宋体" w:cs="宋体"/>
                <w:color w:val="auto"/>
                <w:sz w:val="16"/>
                <w:szCs w:val="16"/>
                <w:highlight w:val="none"/>
                <w:lang w:val="en-US"/>
              </w:rPr>
              <w:t>、</w:t>
            </w:r>
            <w:r>
              <w:rPr>
                <w:rFonts w:ascii="Times New Roman" w:hAnsi="Times New Roman" w:eastAsia="宋体" w:cs="Times New Roman"/>
                <w:color w:val="auto"/>
                <w:sz w:val="16"/>
                <w:szCs w:val="16"/>
                <w:highlight w:val="none"/>
                <w:lang w:val="en-US"/>
              </w:rPr>
              <w:t>1000ml</w:t>
            </w:r>
            <w:r>
              <w:rPr>
                <w:rFonts w:hint="eastAsia" w:ascii="宋体" w:hAnsi="宋体" w:eastAsia="宋体" w:cs="宋体"/>
                <w:color w:val="auto"/>
                <w:sz w:val="16"/>
                <w:szCs w:val="16"/>
                <w:highlight w:val="none"/>
                <w:lang w:val="en-US"/>
              </w:rPr>
              <w:t>、</w:t>
            </w:r>
            <w:r>
              <w:rPr>
                <w:rFonts w:ascii="Times New Roman" w:hAnsi="Times New Roman" w:eastAsia="宋体" w:cs="Times New Roman"/>
                <w:color w:val="auto"/>
                <w:sz w:val="16"/>
                <w:szCs w:val="16"/>
                <w:highlight w:val="none"/>
                <w:lang w:val="en-US"/>
              </w:rPr>
              <w:t>2000ml</w:t>
            </w:r>
            <w:r>
              <w:rPr>
                <w:rFonts w:hint="eastAsia" w:ascii="宋体" w:hAnsi="宋体" w:eastAsia="宋体" w:cs="宋体"/>
                <w:color w:val="auto"/>
                <w:sz w:val="16"/>
                <w:szCs w:val="16"/>
                <w:highlight w:val="none"/>
                <w:lang w:val="en-US"/>
              </w:rPr>
              <w:t>各</w:t>
            </w:r>
            <w:r>
              <w:rPr>
                <w:rFonts w:ascii="Times New Roman" w:hAnsi="Times New Roman" w:eastAsia="宋体" w:cs="Times New Roman"/>
                <w:color w:val="auto"/>
                <w:sz w:val="16"/>
                <w:szCs w:val="16"/>
                <w:highlight w:val="none"/>
                <w:lang w:val="en-US"/>
              </w:rPr>
              <w:t>2</w:t>
            </w:r>
            <w:r>
              <w:rPr>
                <w:rFonts w:hint="eastAsia" w:ascii="宋体" w:hAnsi="宋体" w:eastAsia="宋体" w:cs="宋体"/>
                <w:color w:val="auto"/>
                <w:sz w:val="16"/>
                <w:szCs w:val="16"/>
                <w:highlight w:val="none"/>
                <w:lang w:val="en-US"/>
              </w:rPr>
              <w:t>个、洗耳球</w:t>
            </w:r>
            <w:r>
              <w:rPr>
                <w:rFonts w:ascii="Times New Roman" w:hAnsi="Times New Roman" w:eastAsia="宋体" w:cs="Times New Roman"/>
                <w:color w:val="auto"/>
                <w:sz w:val="16"/>
                <w:szCs w:val="16"/>
                <w:highlight w:val="none"/>
                <w:lang w:val="en-US"/>
              </w:rPr>
              <w:t>6</w:t>
            </w:r>
            <w:r>
              <w:rPr>
                <w:rFonts w:hint="eastAsia" w:ascii="宋体" w:hAnsi="宋体" w:eastAsia="宋体" w:cs="宋体"/>
                <w:color w:val="auto"/>
                <w:sz w:val="16"/>
                <w:szCs w:val="16"/>
                <w:highlight w:val="none"/>
                <w:lang w:val="en-US"/>
              </w:rPr>
              <w:t>个、胶头滴管</w:t>
            </w:r>
            <w:r>
              <w:rPr>
                <w:rFonts w:ascii="Times New Roman" w:hAnsi="Times New Roman" w:eastAsia="宋体" w:cs="Times New Roman"/>
                <w:color w:val="auto"/>
                <w:sz w:val="16"/>
                <w:szCs w:val="16"/>
                <w:highlight w:val="none"/>
                <w:lang w:val="en-US"/>
              </w:rPr>
              <w:t>6</w:t>
            </w:r>
            <w:r>
              <w:rPr>
                <w:rFonts w:hint="eastAsia" w:ascii="宋体" w:hAnsi="宋体" w:eastAsia="宋体" w:cs="宋体"/>
                <w:color w:val="auto"/>
                <w:sz w:val="16"/>
                <w:szCs w:val="16"/>
                <w:highlight w:val="none"/>
                <w:lang w:val="en-US"/>
              </w:rPr>
              <w:t>个、锥形瓶</w:t>
            </w:r>
            <w:r>
              <w:rPr>
                <w:rFonts w:ascii="Times New Roman" w:hAnsi="Times New Roman" w:eastAsia="宋体" w:cs="Times New Roman"/>
                <w:color w:val="auto"/>
                <w:sz w:val="16"/>
                <w:szCs w:val="16"/>
                <w:highlight w:val="none"/>
                <w:lang w:val="en-US"/>
              </w:rPr>
              <w:t>6</w:t>
            </w:r>
            <w:r>
              <w:rPr>
                <w:rFonts w:hint="eastAsia" w:ascii="宋体" w:hAnsi="宋体" w:eastAsia="宋体" w:cs="宋体"/>
                <w:color w:val="auto"/>
                <w:sz w:val="16"/>
                <w:szCs w:val="16"/>
                <w:highlight w:val="none"/>
                <w:lang w:val="en-US"/>
              </w:rPr>
              <w:t>个、玻璃棒</w:t>
            </w:r>
            <w:r>
              <w:rPr>
                <w:rFonts w:ascii="Times New Roman" w:hAnsi="Times New Roman" w:eastAsia="宋体" w:cs="Times New Roman"/>
                <w:color w:val="auto"/>
                <w:sz w:val="16"/>
                <w:szCs w:val="16"/>
                <w:highlight w:val="none"/>
                <w:lang w:val="en-US"/>
              </w:rPr>
              <w:t>10</w:t>
            </w:r>
            <w:r>
              <w:rPr>
                <w:rFonts w:hint="eastAsia" w:ascii="宋体" w:hAnsi="宋体" w:eastAsia="宋体" w:cs="宋体"/>
                <w:color w:val="auto"/>
                <w:sz w:val="16"/>
                <w:szCs w:val="16"/>
                <w:highlight w:val="none"/>
                <w:lang w:val="en-US"/>
              </w:rPr>
              <w:t>个、玻璃珠（钙镁含量用）</w:t>
            </w:r>
            <w:r>
              <w:rPr>
                <w:rFonts w:ascii="Times New Roman" w:hAnsi="Times New Roman" w:eastAsia="宋体" w:cs="Times New Roman"/>
                <w:color w:val="auto"/>
                <w:sz w:val="16"/>
                <w:szCs w:val="16"/>
                <w:highlight w:val="none"/>
                <w:lang w:val="en-US"/>
              </w:rPr>
              <w:t>1</w:t>
            </w:r>
            <w:r>
              <w:rPr>
                <w:rFonts w:hint="eastAsia" w:ascii="宋体" w:hAnsi="宋体" w:eastAsia="宋体" w:cs="宋体"/>
                <w:color w:val="auto"/>
                <w:sz w:val="16"/>
                <w:szCs w:val="16"/>
                <w:highlight w:val="none"/>
                <w:lang w:val="en-US"/>
              </w:rPr>
              <w:t>包、大小搪瓷缸各</w:t>
            </w:r>
            <w:r>
              <w:rPr>
                <w:rFonts w:ascii="Times New Roman" w:hAnsi="Times New Roman" w:eastAsia="宋体" w:cs="Times New Roman"/>
                <w:color w:val="auto"/>
                <w:sz w:val="16"/>
                <w:szCs w:val="16"/>
                <w:highlight w:val="none"/>
                <w:lang w:val="en-US"/>
              </w:rPr>
              <w:t>10</w:t>
            </w:r>
            <w:r>
              <w:rPr>
                <w:rFonts w:hint="eastAsia" w:ascii="宋体" w:hAnsi="宋体" w:eastAsia="宋体" w:cs="宋体"/>
                <w:color w:val="auto"/>
                <w:sz w:val="16"/>
                <w:szCs w:val="16"/>
                <w:highlight w:val="none"/>
                <w:lang w:val="en-US"/>
              </w:rPr>
              <w:t>个</w:t>
            </w:r>
          </w:p>
        </w:tc>
      </w:tr>
      <w:tr>
        <w:tblPrEx>
          <w:tblCellMar>
            <w:top w:w="0" w:type="dxa"/>
            <w:left w:w="108" w:type="dxa"/>
            <w:bottom w:w="0" w:type="dxa"/>
            <w:right w:w="108" w:type="dxa"/>
          </w:tblCellMar>
        </w:tblPrEx>
        <w:trPr>
          <w:trHeight w:val="42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84</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滴定台</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套</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化学分析试验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满足《JJG 196 常用玻璃量器》中相关要求</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105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85</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不锈钢电热蒸馏水器</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化学分析试验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1、蒸馏产量：5(L/h）</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2、功率：4.5Kw</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3、电源电压：220v</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4、蒸馏冷却水1：8.5</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5、配置电热管（Kw）4.5一支</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63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86</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容量瓶</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250mL、500mL、1000mL</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套</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化学分析试验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宋体" w:hAnsi="宋体" w:eastAsia="宋体" w:cs="宋体"/>
                <w:color w:val="auto"/>
                <w:sz w:val="16"/>
                <w:szCs w:val="16"/>
                <w:highlight w:val="none"/>
                <w:lang w:val="en-US"/>
              </w:rPr>
              <w:t>满足《</w:t>
            </w:r>
            <w:r>
              <w:rPr>
                <w:rFonts w:ascii="Times New Roman" w:hAnsi="Times New Roman" w:eastAsia="仿宋" w:cs="Times New Roman"/>
                <w:color w:val="auto"/>
                <w:sz w:val="16"/>
                <w:szCs w:val="16"/>
                <w:highlight w:val="none"/>
                <w:lang w:val="en-US"/>
              </w:rPr>
              <w:t xml:space="preserve">JJG 196 </w:t>
            </w:r>
            <w:r>
              <w:rPr>
                <w:rFonts w:hint="eastAsia" w:ascii="宋体" w:hAnsi="宋体" w:eastAsia="宋体" w:cs="宋体"/>
                <w:color w:val="auto"/>
                <w:sz w:val="16"/>
                <w:szCs w:val="16"/>
                <w:highlight w:val="none"/>
                <w:lang w:val="en-US"/>
              </w:rPr>
              <w:t>常用玻璃量器》中相关要求</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lang w:val="en-US"/>
              </w:rPr>
              <w:t>各</w:t>
            </w:r>
            <w:r>
              <w:rPr>
                <w:rFonts w:ascii="Times New Roman" w:hAnsi="Times New Roman" w:eastAsia="宋体" w:cs="Times New Roman"/>
                <w:color w:val="auto"/>
                <w:sz w:val="16"/>
                <w:szCs w:val="16"/>
                <w:highlight w:val="none"/>
                <w:lang w:val="en-US"/>
              </w:rPr>
              <w:t>4</w:t>
            </w:r>
            <w:r>
              <w:rPr>
                <w:rFonts w:hint="eastAsia" w:ascii="宋体" w:hAnsi="宋体" w:eastAsia="宋体" w:cs="宋体"/>
                <w:color w:val="auto"/>
                <w:sz w:val="16"/>
                <w:szCs w:val="16"/>
                <w:highlight w:val="none"/>
                <w:lang w:val="en-US"/>
              </w:rPr>
              <w:t>个</w:t>
            </w:r>
          </w:p>
        </w:tc>
      </w:tr>
      <w:tr>
        <w:tblPrEx>
          <w:tblCellMar>
            <w:top w:w="0" w:type="dxa"/>
            <w:left w:w="108" w:type="dxa"/>
            <w:bottom w:w="0" w:type="dxa"/>
            <w:right w:w="108" w:type="dxa"/>
          </w:tblCellMar>
        </w:tblPrEx>
        <w:trPr>
          <w:trHeight w:val="105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87</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量筒</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5、10、50、100、250、500、1000mL</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套</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化学分析试验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宋体" w:hAnsi="宋体" w:eastAsia="宋体" w:cs="宋体"/>
                <w:color w:val="auto"/>
                <w:sz w:val="16"/>
                <w:szCs w:val="16"/>
                <w:highlight w:val="none"/>
                <w:lang w:val="en-US"/>
              </w:rPr>
              <w:t>满足《</w:t>
            </w:r>
            <w:r>
              <w:rPr>
                <w:rFonts w:ascii="Times New Roman" w:hAnsi="Times New Roman" w:eastAsia="仿宋" w:cs="Times New Roman"/>
                <w:color w:val="auto"/>
                <w:sz w:val="16"/>
                <w:szCs w:val="16"/>
                <w:highlight w:val="none"/>
                <w:lang w:val="en-US"/>
              </w:rPr>
              <w:t xml:space="preserve">JJG 196 </w:t>
            </w:r>
            <w:r>
              <w:rPr>
                <w:rFonts w:hint="eastAsia" w:ascii="宋体" w:hAnsi="宋体" w:eastAsia="宋体" w:cs="宋体"/>
                <w:color w:val="auto"/>
                <w:sz w:val="16"/>
                <w:szCs w:val="16"/>
                <w:highlight w:val="none"/>
                <w:lang w:val="en-US"/>
              </w:rPr>
              <w:t>常用玻璃量器》中相关要求</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lang w:val="en-US"/>
              </w:rPr>
              <w:t>各</w:t>
            </w:r>
            <w:r>
              <w:rPr>
                <w:rFonts w:ascii="Times New Roman" w:hAnsi="Times New Roman" w:eastAsia="宋体" w:cs="Times New Roman"/>
                <w:color w:val="auto"/>
                <w:sz w:val="16"/>
                <w:szCs w:val="16"/>
                <w:highlight w:val="none"/>
                <w:lang w:val="en-US"/>
              </w:rPr>
              <w:t>4</w:t>
            </w:r>
            <w:r>
              <w:rPr>
                <w:rFonts w:hint="eastAsia" w:ascii="宋体" w:hAnsi="宋体" w:eastAsia="宋体" w:cs="宋体"/>
                <w:color w:val="auto"/>
                <w:sz w:val="16"/>
                <w:szCs w:val="16"/>
                <w:highlight w:val="none"/>
                <w:lang w:val="en-US"/>
              </w:rPr>
              <w:t>个</w:t>
            </w:r>
          </w:p>
        </w:tc>
      </w:tr>
      <w:tr>
        <w:tblPrEx>
          <w:tblCellMar>
            <w:top w:w="0" w:type="dxa"/>
            <w:left w:w="108" w:type="dxa"/>
            <w:bottom w:w="0" w:type="dxa"/>
            <w:right w:w="108" w:type="dxa"/>
          </w:tblCellMar>
        </w:tblPrEx>
        <w:trPr>
          <w:trHeight w:val="42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88</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移液管</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10、25、50mL</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套</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化学分析试验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宋体" w:hAnsi="宋体" w:eastAsia="宋体" w:cs="宋体"/>
                <w:color w:val="auto"/>
                <w:sz w:val="16"/>
                <w:szCs w:val="16"/>
                <w:highlight w:val="none"/>
                <w:lang w:val="en-US"/>
              </w:rPr>
              <w:t>满足《</w:t>
            </w:r>
            <w:r>
              <w:rPr>
                <w:rFonts w:ascii="Times New Roman" w:hAnsi="Times New Roman" w:eastAsia="仿宋" w:cs="Times New Roman"/>
                <w:color w:val="auto"/>
                <w:sz w:val="16"/>
                <w:szCs w:val="16"/>
                <w:highlight w:val="none"/>
                <w:lang w:val="en-US"/>
              </w:rPr>
              <w:t xml:space="preserve">JJG 196 </w:t>
            </w:r>
            <w:r>
              <w:rPr>
                <w:rFonts w:hint="eastAsia" w:ascii="宋体" w:hAnsi="宋体" w:eastAsia="宋体" w:cs="宋体"/>
                <w:color w:val="auto"/>
                <w:sz w:val="16"/>
                <w:szCs w:val="16"/>
                <w:highlight w:val="none"/>
                <w:lang w:val="en-US"/>
              </w:rPr>
              <w:t>常用玻璃量器》中相关要求</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lang w:val="en-US"/>
              </w:rPr>
              <w:t>各</w:t>
            </w:r>
            <w:r>
              <w:rPr>
                <w:rFonts w:ascii="Times New Roman" w:hAnsi="Times New Roman" w:eastAsia="宋体" w:cs="Times New Roman"/>
                <w:color w:val="auto"/>
                <w:sz w:val="16"/>
                <w:szCs w:val="16"/>
                <w:highlight w:val="none"/>
                <w:lang w:val="en-US"/>
              </w:rPr>
              <w:t>2</w:t>
            </w:r>
            <w:r>
              <w:rPr>
                <w:rFonts w:hint="eastAsia" w:ascii="宋体" w:hAnsi="宋体" w:eastAsia="宋体" w:cs="宋体"/>
                <w:color w:val="auto"/>
                <w:sz w:val="16"/>
                <w:szCs w:val="16"/>
                <w:highlight w:val="none"/>
                <w:lang w:val="en-US"/>
              </w:rPr>
              <w:t>个</w:t>
            </w:r>
          </w:p>
        </w:tc>
      </w:tr>
      <w:tr>
        <w:tblPrEx>
          <w:tblCellMar>
            <w:top w:w="0" w:type="dxa"/>
            <w:left w:w="108" w:type="dxa"/>
            <w:bottom w:w="0" w:type="dxa"/>
            <w:right w:w="108" w:type="dxa"/>
          </w:tblCellMar>
        </w:tblPrEx>
        <w:trPr>
          <w:trHeight w:val="42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89</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酸式、碱式滴定管</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50mL</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套</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化学分析试验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宋体" w:hAnsi="宋体" w:eastAsia="宋体" w:cs="宋体"/>
                <w:color w:val="auto"/>
                <w:sz w:val="16"/>
                <w:szCs w:val="16"/>
                <w:highlight w:val="none"/>
                <w:lang w:val="en-US"/>
              </w:rPr>
              <w:t>满足《</w:t>
            </w:r>
            <w:r>
              <w:rPr>
                <w:rFonts w:ascii="Times New Roman" w:hAnsi="Times New Roman" w:eastAsia="仿宋" w:cs="Times New Roman"/>
                <w:color w:val="auto"/>
                <w:sz w:val="16"/>
                <w:szCs w:val="16"/>
                <w:highlight w:val="none"/>
                <w:lang w:val="en-US"/>
              </w:rPr>
              <w:t xml:space="preserve">JJG 196 </w:t>
            </w:r>
            <w:r>
              <w:rPr>
                <w:rFonts w:hint="eastAsia" w:ascii="宋体" w:hAnsi="宋体" w:eastAsia="宋体" w:cs="宋体"/>
                <w:color w:val="auto"/>
                <w:sz w:val="16"/>
                <w:szCs w:val="16"/>
                <w:highlight w:val="none"/>
                <w:lang w:val="en-US"/>
              </w:rPr>
              <w:t>常用玻璃量器》中相关要求</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hint="eastAsia" w:ascii="宋体" w:hAnsi="宋体" w:eastAsia="宋体" w:cs="宋体"/>
                <w:color w:val="auto"/>
                <w:sz w:val="16"/>
                <w:szCs w:val="16"/>
                <w:highlight w:val="none"/>
                <w:lang w:val="en-US"/>
              </w:rPr>
              <w:t>各</w:t>
            </w:r>
            <w:r>
              <w:rPr>
                <w:rFonts w:ascii="Times New Roman" w:hAnsi="Times New Roman" w:eastAsia="宋体" w:cs="Times New Roman"/>
                <w:color w:val="auto"/>
                <w:sz w:val="16"/>
                <w:szCs w:val="16"/>
                <w:highlight w:val="none"/>
                <w:lang w:val="en-US"/>
              </w:rPr>
              <w:t>2</w:t>
            </w:r>
            <w:r>
              <w:rPr>
                <w:rFonts w:hint="eastAsia" w:ascii="宋体" w:hAnsi="宋体" w:eastAsia="宋体" w:cs="宋体"/>
                <w:color w:val="auto"/>
                <w:sz w:val="16"/>
                <w:szCs w:val="16"/>
                <w:highlight w:val="none"/>
                <w:lang w:val="en-US"/>
              </w:rPr>
              <w:t>个</w:t>
            </w:r>
          </w:p>
        </w:tc>
      </w:tr>
      <w:tr>
        <w:tblPrEx>
          <w:tblCellMar>
            <w:top w:w="0" w:type="dxa"/>
            <w:left w:w="108" w:type="dxa"/>
            <w:bottom w:w="0" w:type="dxa"/>
            <w:right w:w="108" w:type="dxa"/>
          </w:tblCellMar>
        </w:tblPrEx>
        <w:trPr>
          <w:trHeight w:val="189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90</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温度计</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套</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宋体" w:hAnsi="宋体" w:eastAsia="宋体" w:cs="宋体"/>
                <w:color w:val="auto"/>
                <w:sz w:val="16"/>
                <w:szCs w:val="16"/>
                <w:highlight w:val="none"/>
                <w:lang w:val="en-US"/>
              </w:rPr>
              <w:t>满足《</w:t>
            </w:r>
            <w:r>
              <w:rPr>
                <w:rFonts w:ascii="Times New Roman" w:hAnsi="Times New Roman" w:eastAsia="仿宋" w:cs="Times New Roman"/>
                <w:color w:val="auto"/>
                <w:sz w:val="16"/>
                <w:szCs w:val="16"/>
                <w:highlight w:val="none"/>
                <w:lang w:val="en-US"/>
              </w:rPr>
              <w:t xml:space="preserve">JJG 130 </w:t>
            </w:r>
            <w:r>
              <w:rPr>
                <w:rFonts w:hint="eastAsia" w:ascii="宋体" w:hAnsi="宋体" w:eastAsia="宋体" w:cs="宋体"/>
                <w:color w:val="auto"/>
                <w:sz w:val="16"/>
                <w:szCs w:val="16"/>
                <w:highlight w:val="none"/>
                <w:lang w:val="en-US"/>
              </w:rPr>
              <w:t>工作用玻璃液体温度计》中相关要求</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hint="eastAsia" w:ascii="仿宋" w:hAnsi="仿宋" w:eastAsia="仿宋" w:cs="仿宋"/>
                <w:color w:val="auto"/>
                <w:sz w:val="16"/>
                <w:szCs w:val="16"/>
                <w:highlight w:val="none"/>
                <w:lang w:val="en-US"/>
              </w:rPr>
              <w:t>竹节温度计0-300℃（5个）水银温度计50、200、300℃（各1）</w:t>
            </w:r>
          </w:p>
        </w:tc>
      </w:tr>
      <w:tr>
        <w:tblPrEx>
          <w:tblCellMar>
            <w:top w:w="0" w:type="dxa"/>
            <w:left w:w="108" w:type="dxa"/>
            <w:bottom w:w="0" w:type="dxa"/>
            <w:right w:w="108" w:type="dxa"/>
          </w:tblCellMar>
        </w:tblPrEx>
        <w:trPr>
          <w:trHeight w:val="42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91</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砝码</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套</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满足《JJG 99 砝码》中相关要求</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hint="eastAsia" w:ascii="仿宋" w:hAnsi="仿宋" w:eastAsia="仿宋" w:cs="仿宋"/>
                <w:color w:val="auto"/>
                <w:sz w:val="16"/>
                <w:szCs w:val="16"/>
                <w:highlight w:val="none"/>
                <w:lang w:val="en-US"/>
              </w:rPr>
              <w:t>50mg-2kg</w:t>
            </w:r>
          </w:p>
        </w:tc>
      </w:tr>
      <w:tr>
        <w:tblPrEx>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92</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 xml:space="preserve">电子天平 </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化学分析试验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满足《JJG 1036 电子天平》中相关要求</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hint="eastAsia" w:ascii="仿宋" w:hAnsi="仿宋" w:eastAsia="仿宋" w:cs="仿宋"/>
                <w:color w:val="auto"/>
                <w:sz w:val="16"/>
                <w:szCs w:val="16"/>
                <w:highlight w:val="none"/>
                <w:lang w:val="en-US"/>
              </w:rPr>
              <w:t>5000g/0.1g</w:t>
            </w:r>
          </w:p>
        </w:tc>
      </w:tr>
      <w:tr>
        <w:tblPrEx>
          <w:tblCellMar>
            <w:top w:w="0" w:type="dxa"/>
            <w:left w:w="108" w:type="dxa"/>
            <w:bottom w:w="0" w:type="dxa"/>
            <w:right w:w="108" w:type="dxa"/>
          </w:tblCellMar>
        </w:tblPrEx>
        <w:trPr>
          <w:trHeight w:val="147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93</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四、集料类试验仪器设备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数显示电热鼓风烘箱</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集料试验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1.显示方式：数显</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2.工作室尺寸（mm）：500*600*750</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3.输入功率：4.5KW</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4.电源电压：220V 50HZ</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5.定时范围：1-9999min</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6.控温范围：常温+10℃~300℃</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7.控温精度：±1℃</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0"/>
                <w:szCs w:val="20"/>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0"/>
                <w:szCs w:val="20"/>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101-3A</w:t>
            </w:r>
          </w:p>
        </w:tc>
      </w:tr>
      <w:tr>
        <w:tblPrEx>
          <w:tblCellMar>
            <w:top w:w="0" w:type="dxa"/>
            <w:left w:w="108" w:type="dxa"/>
            <w:bottom w:w="0" w:type="dxa"/>
            <w:right w:w="108" w:type="dxa"/>
          </w:tblCellMar>
        </w:tblPrEx>
        <w:trPr>
          <w:trHeight w:val="147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94</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数显示电热鼓风烘箱</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集料试验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1.显示方式：数显</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2.工作室尺寸（mm）：800*1000*800</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3.输入功率：4.5KW</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4.电源电压：220V 50HZ</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5.定时范围：1-9999min</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6.控温范围：常温+10℃~300℃</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7.控温精度：±1℃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101-4A</w:t>
            </w:r>
          </w:p>
        </w:tc>
      </w:tr>
      <w:tr>
        <w:tblPrEx>
          <w:tblCellMar>
            <w:top w:w="0" w:type="dxa"/>
            <w:left w:w="108" w:type="dxa"/>
            <w:bottom w:w="0" w:type="dxa"/>
            <w:right w:w="108" w:type="dxa"/>
          </w:tblCellMar>
        </w:tblPrEx>
        <w:trPr>
          <w:trHeight w:val="84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95</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压碎值测定仪（国标、行标）</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套</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集料试验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现行国标、行标</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63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96</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针片状规准仪</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集料试验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片状粒级分孔宽：3,5.2,7.2,9,11.3,14.3mm片状粒级分间距：18,31.2,43.2,54,67.8,85.8mm</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10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97</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浸水力学天平</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集料试验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1.外形尺寸(mm)：300*330*336</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2.玻璃缸内尺寸(mm)：</w:t>
            </w:r>
            <w:r>
              <w:rPr>
                <w:rStyle w:val="23"/>
                <w:rFonts w:eastAsia="仿宋"/>
                <w:color w:val="auto"/>
                <w:highlight w:val="none"/>
                <w:lang w:val="en-US"/>
              </w:rPr>
              <w:t>Φ</w:t>
            </w:r>
            <w:r>
              <w:rPr>
                <w:rFonts w:hint="eastAsia" w:ascii="仿宋" w:hAnsi="仿宋" w:eastAsia="仿宋" w:cs="仿宋"/>
                <w:color w:val="auto"/>
                <w:sz w:val="16"/>
                <w:szCs w:val="16"/>
                <w:highlight w:val="none"/>
                <w:lang w:val="en-US"/>
              </w:rPr>
              <w:t>186*220</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3.龙头距离玻璃缸底部尺寸(mm)：184</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4.吊篮尺寸(mm)：</w:t>
            </w:r>
            <w:r>
              <w:rPr>
                <w:rStyle w:val="23"/>
                <w:rFonts w:eastAsia="仿宋"/>
                <w:color w:val="auto"/>
                <w:highlight w:val="none"/>
                <w:lang w:val="en-US"/>
              </w:rPr>
              <w:t>Φ</w:t>
            </w:r>
            <w:r>
              <w:rPr>
                <w:rFonts w:hint="eastAsia" w:ascii="仿宋" w:hAnsi="仿宋" w:eastAsia="仿宋" w:cs="仿宋"/>
                <w:color w:val="auto"/>
                <w:sz w:val="16"/>
                <w:szCs w:val="16"/>
                <w:highlight w:val="none"/>
                <w:lang w:val="en-US"/>
              </w:rPr>
              <w:t>150*152</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5.防跌落设计</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5000g/0.1g</w:t>
            </w:r>
          </w:p>
        </w:tc>
      </w:tr>
      <w:tr>
        <w:tblPrEx>
          <w:tblCellMar>
            <w:top w:w="0" w:type="dxa"/>
            <w:left w:w="108" w:type="dxa"/>
            <w:bottom w:w="0" w:type="dxa"/>
            <w:right w:w="108" w:type="dxa"/>
          </w:tblCellMar>
        </w:tblPrEx>
        <w:trPr>
          <w:trHeight w:val="84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98</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eastAsia="zh-CN"/>
              </w:rPr>
              <w:t>混凝土抗渗仪</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20"/>
                <w:szCs w:val="20"/>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1.允许最大工作压力：4MPa</w:t>
            </w:r>
          </w:p>
          <w:p>
            <w:pPr>
              <w:widowControl/>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2.工作方式：自动加压</w:t>
            </w:r>
          </w:p>
          <w:p>
            <w:pPr>
              <w:widowControl/>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3.一次可做试件数：6件</w:t>
            </w:r>
          </w:p>
          <w:p>
            <w:pPr>
              <w:widowControl/>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4.柱塞泵参数：柱塞直100mm、行程10mm、往复频率136次/min、流量0.11L/min</w:t>
            </w:r>
          </w:p>
          <w:p>
            <w:pPr>
              <w:widowControl/>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5.电动机：功率80W，转速136r/min</w:t>
            </w:r>
          </w:p>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eastAsia="zh-CN"/>
              </w:rPr>
              <w:t>6.微电脑控制装置的精度等级1%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189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99</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化学药品柜</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eastAsia="zh-CN"/>
              </w:rPr>
              <w:t>化学</w:t>
            </w:r>
            <w:r>
              <w:rPr>
                <w:rFonts w:hint="eastAsia" w:ascii="仿宋" w:hAnsi="仿宋" w:eastAsia="仿宋" w:cs="仿宋"/>
                <w:color w:val="auto"/>
                <w:sz w:val="16"/>
                <w:szCs w:val="16"/>
                <w:highlight w:val="none"/>
                <w:lang w:val="en-US"/>
              </w:rPr>
              <w:t>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1、（耐酸碱）</w:t>
            </w:r>
          </w:p>
          <w:p>
            <w:pPr>
              <w:widowControl/>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2、PP（聚丙烯）酸碱柜/一柜双锁/四门/外观颜色：瓷白色/内置层板：</w:t>
            </w:r>
          </w:p>
          <w:p>
            <w:pPr>
              <w:widowControl/>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3、2块可调层板,放溢漏设计，可单独取出，可调节高度/</w:t>
            </w:r>
          </w:p>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eastAsia="zh-CN"/>
              </w:rPr>
              <w:t>4、外形尺寸：1800*900*450CM(高*宽*深)/带警示标志黄色。</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100</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电子天平</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集料试验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满足《JJG 1036 电子天平》中相关要求</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101</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电子天平</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集料试验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满足《JJG 1036 电子天平》中相关要求</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102</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电子天平</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集料试验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满足《JJG 1036 电子天平》中相关要求</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63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103</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细集料堆积密度漏斗</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集料试验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满足JTG/E42-2005《公路工程集料试验规程》中相关要求</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63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104</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粗集料堆积密度漏斗</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集料试验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满足JTG/E42-2005《公路工程集料试验规程》中相关要求</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63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105</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细集料棱角性测定仪</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集料试验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满足JTG/E42-2005《公路工程集料试验规程》中相关要求</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64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106</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饱和面干试模</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套</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集料试验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1、试模尺寸：</w:t>
            </w:r>
            <w:r>
              <w:rPr>
                <w:rStyle w:val="23"/>
                <w:rFonts w:eastAsia="仿宋"/>
                <w:color w:val="auto"/>
                <w:highlight w:val="none"/>
                <w:lang w:val="en-US"/>
              </w:rPr>
              <w:t>Φ</w:t>
            </w:r>
            <w:r>
              <w:rPr>
                <w:rFonts w:hint="eastAsia" w:ascii="仿宋" w:hAnsi="仿宋" w:eastAsia="仿宋" w:cs="仿宋"/>
                <w:color w:val="auto"/>
                <w:sz w:val="16"/>
                <w:szCs w:val="16"/>
                <w:highlight w:val="none"/>
                <w:lang w:val="en-US"/>
              </w:rPr>
              <w:t>38×</w:t>
            </w:r>
            <w:r>
              <w:rPr>
                <w:rStyle w:val="23"/>
                <w:rFonts w:eastAsia="仿宋"/>
                <w:color w:val="auto"/>
                <w:highlight w:val="none"/>
                <w:lang w:val="en-US"/>
              </w:rPr>
              <w:t>Φ</w:t>
            </w:r>
            <w:r>
              <w:rPr>
                <w:rFonts w:hint="eastAsia" w:ascii="仿宋" w:hAnsi="仿宋" w:eastAsia="仿宋" w:cs="仿宋"/>
                <w:color w:val="auto"/>
                <w:sz w:val="16"/>
                <w:szCs w:val="16"/>
                <w:highlight w:val="none"/>
                <w:lang w:val="en-US"/>
              </w:rPr>
              <w:t>89×74mm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2、材质：金属</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3、特性：精磨、含捣棒</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210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107</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五、钢筋及建材力学试验仪器设备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恒应力水泥压力试验机（数显）含抗折夹具</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力学试验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1、最大试验力：300kN</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2、试验力分档：</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抗压量程：0~300KN，抗折量程：0~10KN</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3、试验机等级:0.5级;</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4、试验力加荷速度：0.1～5kN/S（任意设定）</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5、电压：220V±10%</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6、功率：1.5 kW</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7、信息化上传</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lang w:val="en-US"/>
              </w:rPr>
              <w:t>微机伺服</w:t>
            </w:r>
          </w:p>
        </w:tc>
      </w:tr>
      <w:tr>
        <w:tblPrEx>
          <w:tblCellMar>
            <w:top w:w="0" w:type="dxa"/>
            <w:left w:w="108" w:type="dxa"/>
            <w:bottom w:w="0" w:type="dxa"/>
            <w:right w:w="108" w:type="dxa"/>
          </w:tblCellMar>
        </w:tblPrEx>
        <w:trPr>
          <w:trHeight w:val="357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val="en-US"/>
              </w:rPr>
              <w:t>10</w:t>
            </w:r>
            <w:r>
              <w:rPr>
                <w:rFonts w:hint="eastAsia" w:ascii="仿宋" w:hAnsi="仿宋" w:eastAsia="仿宋" w:cs="仿宋"/>
                <w:color w:val="auto"/>
                <w:sz w:val="16"/>
                <w:szCs w:val="16"/>
                <w:highlight w:val="none"/>
                <w:lang w:val="en-US" w:eastAsia="zh-CN"/>
              </w:rPr>
              <w:t>8</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1000kN 万能材料试验机（带 5-32 冷弯冲头）</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力学试验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1.试验机等级:1级;</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2.试验力分档:全程不分档等效四档(全程分辨率不变);</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3.试验力测量准确度:优于示值的±1%;</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4.油缸行程:150mm;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5.拉伸压缩空间:试样及夹具装夹完毕后剩余移动或拉伸尺寸为≥250mm;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6.立柱中心间距:540mm;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7.活塞移动速度:70mm/min;</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8.下横梁调整速度:120mm/min;</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9.供电电源:380V±10%/50Hz;油泵电动机功率1.1kW;横梁上下移动电动机功率0.55kW;</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10.配拉伸夹具、冷弯夹具及各种型号冷弯冲头一套</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11.配砼抗折试验夹具、配砼劈裂试验夹具</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12、具备信息化上传</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lang w:val="en-US"/>
              </w:rPr>
              <w:t>微机伺服</w:t>
            </w:r>
          </w:p>
        </w:tc>
      </w:tr>
      <w:tr>
        <w:tblPrEx>
          <w:tblCellMar>
            <w:top w:w="0" w:type="dxa"/>
            <w:left w:w="108" w:type="dxa"/>
            <w:bottom w:w="0" w:type="dxa"/>
            <w:right w:w="108" w:type="dxa"/>
          </w:tblCellMar>
        </w:tblPrEx>
        <w:trPr>
          <w:trHeight w:val="357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rPr>
              <w:t>1</w:t>
            </w:r>
            <w:r>
              <w:rPr>
                <w:rFonts w:hint="eastAsia" w:ascii="仿宋" w:hAnsi="仿宋" w:eastAsia="仿宋" w:cs="仿宋"/>
                <w:color w:val="auto"/>
                <w:sz w:val="16"/>
                <w:szCs w:val="16"/>
                <w:highlight w:val="none"/>
                <w:lang w:val="en-US" w:eastAsia="zh-CN"/>
              </w:rPr>
              <w:t>09</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300kN万能材料试验机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力学试验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eastAsia="zh-CN"/>
              </w:rPr>
              <w:t>1</w:t>
            </w:r>
            <w:r>
              <w:rPr>
                <w:rFonts w:hint="eastAsia" w:ascii="仿宋" w:hAnsi="仿宋" w:eastAsia="仿宋" w:cs="仿宋"/>
                <w:color w:val="auto"/>
                <w:sz w:val="16"/>
                <w:szCs w:val="16"/>
                <w:highlight w:val="none"/>
                <w:lang w:val="en-US"/>
              </w:rPr>
              <w:t>.试验力分档:全程不分档等效四档(全程分辨率不变);</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eastAsia="zh-CN"/>
              </w:rPr>
              <w:t>2</w:t>
            </w:r>
            <w:r>
              <w:rPr>
                <w:rFonts w:hint="eastAsia" w:ascii="仿宋" w:hAnsi="仿宋" w:eastAsia="仿宋" w:cs="仿宋"/>
                <w:color w:val="auto"/>
                <w:sz w:val="16"/>
                <w:szCs w:val="16"/>
                <w:highlight w:val="none"/>
                <w:lang w:val="en-US"/>
              </w:rPr>
              <w:t>.试验力测量准确度:优于示值的±1%;</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eastAsia="zh-CN"/>
              </w:rPr>
              <w:t>3</w:t>
            </w:r>
            <w:r>
              <w:rPr>
                <w:rFonts w:hint="eastAsia" w:ascii="仿宋" w:hAnsi="仿宋" w:eastAsia="仿宋" w:cs="仿宋"/>
                <w:color w:val="auto"/>
                <w:sz w:val="16"/>
                <w:szCs w:val="16"/>
                <w:highlight w:val="none"/>
                <w:lang w:val="en-US"/>
              </w:rPr>
              <w:t>.油缸行程:150mm;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eastAsia="zh-CN"/>
              </w:rPr>
              <w:t>4</w:t>
            </w:r>
            <w:r>
              <w:rPr>
                <w:rFonts w:hint="eastAsia" w:ascii="仿宋" w:hAnsi="仿宋" w:eastAsia="仿宋" w:cs="仿宋"/>
                <w:color w:val="auto"/>
                <w:sz w:val="16"/>
                <w:szCs w:val="16"/>
                <w:highlight w:val="none"/>
                <w:lang w:val="en-US"/>
              </w:rPr>
              <w:t>.拉伸压缩空间:试样及夹具装夹完毕后剩余移动或拉伸尺寸为≥250mm;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eastAsia="zh-CN"/>
              </w:rPr>
              <w:t>5</w:t>
            </w:r>
            <w:r>
              <w:rPr>
                <w:rFonts w:hint="eastAsia" w:ascii="仿宋" w:hAnsi="仿宋" w:eastAsia="仿宋" w:cs="仿宋"/>
                <w:color w:val="auto"/>
                <w:sz w:val="16"/>
                <w:szCs w:val="16"/>
                <w:highlight w:val="none"/>
                <w:lang w:val="en-US"/>
              </w:rPr>
              <w:t>.立柱中心间距:540mm;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eastAsia="zh-CN"/>
              </w:rPr>
              <w:t>6</w:t>
            </w:r>
            <w:r>
              <w:rPr>
                <w:rFonts w:hint="eastAsia" w:ascii="仿宋" w:hAnsi="仿宋" w:eastAsia="仿宋" w:cs="仿宋"/>
                <w:color w:val="auto"/>
                <w:sz w:val="16"/>
                <w:szCs w:val="16"/>
                <w:highlight w:val="none"/>
                <w:lang w:val="en-US"/>
              </w:rPr>
              <w:t>.活塞移动速度:70mm/min;</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eastAsia="zh-CN"/>
              </w:rPr>
              <w:t>7</w:t>
            </w:r>
            <w:r>
              <w:rPr>
                <w:rFonts w:hint="eastAsia" w:ascii="仿宋" w:hAnsi="仿宋" w:eastAsia="仿宋" w:cs="仿宋"/>
                <w:color w:val="auto"/>
                <w:sz w:val="16"/>
                <w:szCs w:val="16"/>
                <w:highlight w:val="none"/>
                <w:lang w:val="en-US"/>
              </w:rPr>
              <w:t>.下横梁调整速度:120mm/min;</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eastAsia="zh-CN"/>
              </w:rPr>
              <w:t>8</w:t>
            </w:r>
            <w:r>
              <w:rPr>
                <w:rFonts w:hint="eastAsia" w:ascii="仿宋" w:hAnsi="仿宋" w:eastAsia="仿宋" w:cs="仿宋"/>
                <w:color w:val="auto"/>
                <w:sz w:val="16"/>
                <w:szCs w:val="16"/>
                <w:highlight w:val="none"/>
                <w:lang w:val="en-US"/>
              </w:rPr>
              <w:t>.供电电源:380V±10%/50Hz;油泵电动机功率1.1kW;横梁上下移动电动机功率0.55kW;</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eastAsia="zh-CN"/>
              </w:rPr>
              <w:t>9</w:t>
            </w:r>
            <w:r>
              <w:rPr>
                <w:rFonts w:hint="eastAsia" w:ascii="仿宋" w:hAnsi="仿宋" w:eastAsia="仿宋" w:cs="仿宋"/>
                <w:color w:val="auto"/>
                <w:sz w:val="16"/>
                <w:szCs w:val="16"/>
                <w:highlight w:val="none"/>
                <w:lang w:val="en-US"/>
              </w:rPr>
              <w:t>.配拉伸夹具、冷弯夹具及各种型号冷弯冲头一套</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1</w:t>
            </w:r>
            <w:r>
              <w:rPr>
                <w:rFonts w:hint="eastAsia" w:ascii="仿宋" w:hAnsi="仿宋" w:eastAsia="仿宋" w:cs="仿宋"/>
                <w:color w:val="auto"/>
                <w:sz w:val="16"/>
                <w:szCs w:val="16"/>
                <w:highlight w:val="none"/>
                <w:lang w:val="en-US" w:eastAsia="zh-CN"/>
              </w:rPr>
              <w:t>0</w:t>
            </w:r>
            <w:r>
              <w:rPr>
                <w:rFonts w:hint="eastAsia" w:ascii="仿宋" w:hAnsi="仿宋" w:eastAsia="仿宋" w:cs="仿宋"/>
                <w:color w:val="auto"/>
                <w:sz w:val="16"/>
                <w:szCs w:val="16"/>
                <w:highlight w:val="none"/>
                <w:lang w:val="en-US"/>
              </w:rPr>
              <w:t>、具备信息化上传</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lang w:val="en-US"/>
              </w:rPr>
              <w:t>微机伺服</w:t>
            </w:r>
          </w:p>
        </w:tc>
      </w:tr>
      <w:tr>
        <w:tblPrEx>
          <w:tblCellMar>
            <w:top w:w="0" w:type="dxa"/>
            <w:left w:w="108" w:type="dxa"/>
            <w:bottom w:w="0" w:type="dxa"/>
            <w:right w:w="108" w:type="dxa"/>
          </w:tblCellMar>
        </w:tblPrEx>
        <w:trPr>
          <w:trHeight w:val="3384"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val="en-US"/>
              </w:rPr>
              <w:t>11</w:t>
            </w:r>
            <w:r>
              <w:rPr>
                <w:rFonts w:hint="eastAsia" w:ascii="仿宋" w:hAnsi="仿宋" w:eastAsia="仿宋" w:cs="仿宋"/>
                <w:color w:val="auto"/>
                <w:sz w:val="16"/>
                <w:szCs w:val="16"/>
                <w:highlight w:val="none"/>
                <w:lang w:val="en-US" w:eastAsia="zh-CN"/>
              </w:rPr>
              <w:t>0</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100kN万能材料试验机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力学试验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eastAsia="zh-CN"/>
              </w:rPr>
              <w:t>1</w:t>
            </w:r>
            <w:r>
              <w:rPr>
                <w:rFonts w:hint="eastAsia" w:ascii="仿宋" w:hAnsi="仿宋" w:eastAsia="仿宋" w:cs="仿宋"/>
                <w:color w:val="auto"/>
                <w:sz w:val="16"/>
                <w:szCs w:val="16"/>
                <w:highlight w:val="none"/>
                <w:lang w:val="en-US"/>
              </w:rPr>
              <w:t>.试验力分档:全程不分档等效四档(全程分辨率不变);</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eastAsia="zh-CN"/>
              </w:rPr>
              <w:t>2</w:t>
            </w:r>
            <w:r>
              <w:rPr>
                <w:rFonts w:hint="eastAsia" w:ascii="仿宋" w:hAnsi="仿宋" w:eastAsia="仿宋" w:cs="仿宋"/>
                <w:color w:val="auto"/>
                <w:sz w:val="16"/>
                <w:szCs w:val="16"/>
                <w:highlight w:val="none"/>
                <w:lang w:val="en-US"/>
              </w:rPr>
              <w:t>.试验力测量准确度:优于示值的±1%;</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eastAsia="zh-CN"/>
              </w:rPr>
              <w:t>3</w:t>
            </w:r>
            <w:r>
              <w:rPr>
                <w:rFonts w:hint="eastAsia" w:ascii="仿宋" w:hAnsi="仿宋" w:eastAsia="仿宋" w:cs="仿宋"/>
                <w:color w:val="auto"/>
                <w:sz w:val="16"/>
                <w:szCs w:val="16"/>
                <w:highlight w:val="none"/>
                <w:lang w:val="en-US"/>
              </w:rPr>
              <w:t>.油缸行程:150mm;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eastAsia="zh-CN"/>
              </w:rPr>
              <w:t>4</w:t>
            </w:r>
            <w:r>
              <w:rPr>
                <w:rFonts w:hint="eastAsia" w:ascii="仿宋" w:hAnsi="仿宋" w:eastAsia="仿宋" w:cs="仿宋"/>
                <w:color w:val="auto"/>
                <w:sz w:val="16"/>
                <w:szCs w:val="16"/>
                <w:highlight w:val="none"/>
                <w:lang w:val="en-US"/>
              </w:rPr>
              <w:t>.拉伸压缩空间:试样及夹具装夹完毕后剩余移动或拉伸尺寸为≥250mm;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eastAsia="zh-CN"/>
              </w:rPr>
              <w:t>5</w:t>
            </w:r>
            <w:r>
              <w:rPr>
                <w:rFonts w:hint="eastAsia" w:ascii="仿宋" w:hAnsi="仿宋" w:eastAsia="仿宋" w:cs="仿宋"/>
                <w:color w:val="auto"/>
                <w:sz w:val="16"/>
                <w:szCs w:val="16"/>
                <w:highlight w:val="none"/>
                <w:lang w:val="en-US"/>
              </w:rPr>
              <w:t>.立柱中心间距:540mm;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eastAsia="zh-CN"/>
              </w:rPr>
              <w:t>6</w:t>
            </w:r>
            <w:r>
              <w:rPr>
                <w:rFonts w:hint="eastAsia" w:ascii="仿宋" w:hAnsi="仿宋" w:eastAsia="仿宋" w:cs="仿宋"/>
                <w:color w:val="auto"/>
                <w:sz w:val="16"/>
                <w:szCs w:val="16"/>
                <w:highlight w:val="none"/>
                <w:lang w:val="en-US"/>
              </w:rPr>
              <w:t>.活塞移动速度:70mm/min;</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eastAsia="zh-CN"/>
              </w:rPr>
              <w:t>7</w:t>
            </w:r>
            <w:r>
              <w:rPr>
                <w:rFonts w:hint="eastAsia" w:ascii="仿宋" w:hAnsi="仿宋" w:eastAsia="仿宋" w:cs="仿宋"/>
                <w:color w:val="auto"/>
                <w:sz w:val="16"/>
                <w:szCs w:val="16"/>
                <w:highlight w:val="none"/>
                <w:lang w:val="en-US"/>
              </w:rPr>
              <w:t>.下横梁调整速度:120mm/min;</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eastAsia="zh-CN"/>
              </w:rPr>
              <w:t>8</w:t>
            </w:r>
            <w:r>
              <w:rPr>
                <w:rFonts w:hint="eastAsia" w:ascii="仿宋" w:hAnsi="仿宋" w:eastAsia="仿宋" w:cs="仿宋"/>
                <w:color w:val="auto"/>
                <w:sz w:val="16"/>
                <w:szCs w:val="16"/>
                <w:highlight w:val="none"/>
                <w:lang w:val="en-US"/>
              </w:rPr>
              <w:t>.供电电源:380V±10%/50Hz;油泵电动机功率1.1kW;横梁上下移动电动机功率0.55kW;</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eastAsia="zh-CN"/>
              </w:rPr>
              <w:t>9</w:t>
            </w:r>
            <w:r>
              <w:rPr>
                <w:rFonts w:hint="eastAsia" w:ascii="仿宋" w:hAnsi="仿宋" w:eastAsia="仿宋" w:cs="仿宋"/>
                <w:color w:val="auto"/>
                <w:sz w:val="16"/>
                <w:szCs w:val="16"/>
                <w:highlight w:val="none"/>
                <w:lang w:val="en-US"/>
              </w:rPr>
              <w:t>.配拉伸夹具、冷弯夹具及各种型号冷弯冲头一套</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1</w:t>
            </w:r>
            <w:r>
              <w:rPr>
                <w:rFonts w:hint="eastAsia" w:ascii="仿宋" w:hAnsi="仿宋" w:eastAsia="仿宋" w:cs="仿宋"/>
                <w:color w:val="auto"/>
                <w:sz w:val="16"/>
                <w:szCs w:val="16"/>
                <w:highlight w:val="none"/>
                <w:lang w:val="en-US" w:eastAsia="zh-CN"/>
              </w:rPr>
              <w:t>0</w:t>
            </w:r>
            <w:r>
              <w:rPr>
                <w:rFonts w:hint="eastAsia" w:ascii="仿宋" w:hAnsi="仿宋" w:eastAsia="仿宋" w:cs="仿宋"/>
                <w:color w:val="auto"/>
                <w:sz w:val="16"/>
                <w:szCs w:val="16"/>
                <w:highlight w:val="none"/>
                <w:lang w:val="en-US"/>
              </w:rPr>
              <w:t>、具备信息化上传</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lang w:val="en-US"/>
              </w:rPr>
              <w:t>微机伺服</w:t>
            </w:r>
          </w:p>
        </w:tc>
      </w:tr>
      <w:tr>
        <w:tblPrEx>
          <w:tblCellMar>
            <w:top w:w="0" w:type="dxa"/>
            <w:left w:w="108" w:type="dxa"/>
            <w:bottom w:w="0" w:type="dxa"/>
            <w:right w:w="108" w:type="dxa"/>
          </w:tblCellMar>
        </w:tblPrEx>
        <w:trPr>
          <w:trHeight w:val="84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val="en-US"/>
              </w:rPr>
              <w:t>11</w:t>
            </w:r>
            <w:r>
              <w:rPr>
                <w:rFonts w:hint="eastAsia" w:ascii="仿宋" w:hAnsi="仿宋" w:eastAsia="仿宋" w:cs="仿宋"/>
                <w:color w:val="auto"/>
                <w:sz w:val="16"/>
                <w:szCs w:val="16"/>
                <w:highlight w:val="none"/>
                <w:lang w:val="en-US" w:eastAsia="zh-CN"/>
              </w:rPr>
              <w:t>1</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连续式电动钢筋标点机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力学试验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 xml:space="preserve">1、打印标距：5mm、10mm </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2、最大误差：300mm  ±0.3mm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3、钢锥硬度：HRC62</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4、外形尺寸：530×200×300mm</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5mm</w:t>
            </w:r>
          </w:p>
        </w:tc>
      </w:tr>
      <w:tr>
        <w:tblPrEx>
          <w:tblCellMar>
            <w:top w:w="0" w:type="dxa"/>
            <w:left w:w="108" w:type="dxa"/>
            <w:bottom w:w="0" w:type="dxa"/>
            <w:right w:w="108" w:type="dxa"/>
          </w:tblCellMar>
        </w:tblPrEx>
        <w:trPr>
          <w:trHeight w:val="126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val="en-US"/>
              </w:rPr>
              <w:t>11</w:t>
            </w:r>
            <w:r>
              <w:rPr>
                <w:rFonts w:hint="eastAsia" w:ascii="仿宋" w:hAnsi="仿宋" w:eastAsia="仿宋" w:cs="仿宋"/>
                <w:color w:val="auto"/>
                <w:sz w:val="16"/>
                <w:szCs w:val="16"/>
                <w:highlight w:val="none"/>
                <w:lang w:val="en-US" w:eastAsia="zh-CN"/>
              </w:rPr>
              <w:t>2</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混凝土弹性模量测定仪</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力学试验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1、检测混凝土试件类型：</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 xml:space="preserve">   150x150x300    直径150x300</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 xml:space="preserve">   100x100x300    直径100x300</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2、千分表量程：0-1mm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3、测环上下距离：150mm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4、下环离底部距离：75mm</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lang w:val="en-US"/>
              </w:rPr>
              <w:t>含</w:t>
            </w:r>
            <w:r>
              <w:rPr>
                <w:rStyle w:val="24"/>
                <w:rFonts w:eastAsia="宋体"/>
                <w:color w:val="auto"/>
                <w:highlight w:val="none"/>
                <w:lang w:val="en-US"/>
              </w:rPr>
              <w:t>2</w:t>
            </w:r>
            <w:r>
              <w:rPr>
                <w:rFonts w:hint="eastAsia" w:ascii="宋体" w:hAnsi="宋体" w:eastAsia="宋体" w:cs="宋体"/>
                <w:color w:val="auto"/>
                <w:sz w:val="16"/>
                <w:szCs w:val="16"/>
                <w:highlight w:val="none"/>
                <w:lang w:val="en-US"/>
              </w:rPr>
              <w:t>个千分表</w:t>
            </w:r>
          </w:p>
        </w:tc>
      </w:tr>
      <w:tr>
        <w:tblPrEx>
          <w:tblCellMar>
            <w:top w:w="0" w:type="dxa"/>
            <w:left w:w="108" w:type="dxa"/>
            <w:bottom w:w="0" w:type="dxa"/>
            <w:right w:w="108" w:type="dxa"/>
          </w:tblCellMar>
        </w:tblPrEx>
        <w:trPr>
          <w:trHeight w:val="192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val="en-US"/>
              </w:rPr>
              <w:t>11</w:t>
            </w:r>
            <w:r>
              <w:rPr>
                <w:rFonts w:hint="eastAsia" w:ascii="仿宋" w:hAnsi="仿宋" w:eastAsia="仿宋" w:cs="仿宋"/>
                <w:color w:val="auto"/>
                <w:sz w:val="16"/>
                <w:szCs w:val="16"/>
                <w:highlight w:val="none"/>
                <w:lang w:val="en-US" w:eastAsia="zh-CN"/>
              </w:rPr>
              <w:t>3</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六、路基、路面、桥涵野外检测试验仪器设备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钢筋保护层厚度测定仪（含扫描仪）</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现场检测试验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1.保护层厚度适用范围（mm）:</w:t>
            </w:r>
            <w:r>
              <w:rPr>
                <w:rStyle w:val="23"/>
                <w:rFonts w:eastAsia="仿宋"/>
                <w:color w:val="auto"/>
                <w:highlight w:val="none"/>
                <w:lang w:val="en-US"/>
              </w:rPr>
              <w:t>Φ</w:t>
            </w:r>
            <w:r>
              <w:rPr>
                <w:rFonts w:hint="eastAsia" w:ascii="仿宋" w:hAnsi="仿宋" w:eastAsia="仿宋" w:cs="仿宋"/>
                <w:color w:val="auto"/>
                <w:sz w:val="16"/>
                <w:szCs w:val="16"/>
                <w:highlight w:val="none"/>
                <w:lang w:val="en-US"/>
              </w:rPr>
              <w:t>6~</w:t>
            </w:r>
            <w:r>
              <w:rPr>
                <w:rStyle w:val="23"/>
                <w:rFonts w:eastAsia="仿宋"/>
                <w:color w:val="auto"/>
                <w:highlight w:val="none"/>
                <w:lang w:val="en-US"/>
              </w:rPr>
              <w:t>Φ</w:t>
            </w:r>
            <w:r>
              <w:rPr>
                <w:rFonts w:hint="eastAsia" w:ascii="仿宋" w:hAnsi="仿宋" w:eastAsia="仿宋" w:cs="仿宋"/>
                <w:color w:val="auto"/>
                <w:sz w:val="16"/>
                <w:szCs w:val="16"/>
                <w:highlight w:val="none"/>
                <w:lang w:val="en-US"/>
              </w:rPr>
              <w:t>50</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2.最大量程(mm):第一量程1~120</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 xml:space="preserve">      第二量程5~210</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3.保护层厚度最大允许误差：</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±1（mm）1~80</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±2（mm） 81~120</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±4（mm） 121~210</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2.4.直径估测适用范围（mm）:</w:t>
            </w:r>
            <w:r>
              <w:rPr>
                <w:rStyle w:val="23"/>
                <w:rFonts w:eastAsia="仿宋"/>
                <w:color w:val="auto"/>
                <w:highlight w:val="none"/>
                <w:lang w:val="en-US"/>
              </w:rPr>
              <w:t>Φ</w:t>
            </w:r>
            <w:r>
              <w:rPr>
                <w:rFonts w:hint="eastAsia" w:ascii="仿宋" w:hAnsi="仿宋" w:eastAsia="仿宋" w:cs="仿宋"/>
                <w:color w:val="auto"/>
                <w:sz w:val="16"/>
                <w:szCs w:val="16"/>
                <w:highlight w:val="none"/>
                <w:lang w:val="en-US"/>
              </w:rPr>
              <w:t>6~</w:t>
            </w:r>
            <w:r>
              <w:rPr>
                <w:rStyle w:val="23"/>
                <w:rFonts w:eastAsia="仿宋"/>
                <w:color w:val="auto"/>
                <w:highlight w:val="none"/>
                <w:lang w:val="en-US"/>
              </w:rPr>
              <w:t>Φ</w:t>
            </w:r>
            <w:r>
              <w:rPr>
                <w:rFonts w:hint="eastAsia" w:ascii="仿宋" w:hAnsi="仿宋" w:eastAsia="仿宋" w:cs="仿宋"/>
                <w:color w:val="auto"/>
                <w:sz w:val="16"/>
                <w:szCs w:val="16"/>
                <w:highlight w:val="none"/>
                <w:lang w:val="en-US"/>
              </w:rPr>
              <w:t>50</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5.直径估测最大误差（规格）:±1</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0"/>
                <w:szCs w:val="20"/>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0"/>
                <w:szCs w:val="20"/>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148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val="en-US"/>
              </w:rPr>
              <w:t>11</w:t>
            </w:r>
            <w:r>
              <w:rPr>
                <w:rFonts w:hint="eastAsia" w:ascii="仿宋" w:hAnsi="仿宋" w:eastAsia="仿宋" w:cs="仿宋"/>
                <w:color w:val="auto"/>
                <w:sz w:val="16"/>
                <w:szCs w:val="16"/>
                <w:highlight w:val="none"/>
                <w:lang w:val="en-US" w:eastAsia="zh-CN"/>
              </w:rPr>
              <w:t>4</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混凝土钻孔取芯机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现场检测试验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1.钻孔直径：</w:t>
            </w:r>
            <w:r>
              <w:rPr>
                <w:rStyle w:val="23"/>
                <w:rFonts w:eastAsia="仿宋"/>
                <w:color w:val="auto"/>
                <w:highlight w:val="none"/>
                <w:lang w:val="en-US"/>
              </w:rPr>
              <w:t>φ</w:t>
            </w:r>
            <w:r>
              <w:rPr>
                <w:rFonts w:hint="eastAsia" w:ascii="仿宋" w:hAnsi="仿宋" w:eastAsia="仿宋" w:cs="仿宋"/>
                <w:color w:val="auto"/>
                <w:sz w:val="16"/>
                <w:szCs w:val="16"/>
                <w:highlight w:val="none"/>
                <w:lang w:val="en-US"/>
              </w:rPr>
              <w:t>70mmm、</w:t>
            </w:r>
            <w:r>
              <w:rPr>
                <w:rStyle w:val="23"/>
                <w:rFonts w:eastAsia="仿宋"/>
                <w:color w:val="auto"/>
                <w:highlight w:val="none"/>
                <w:lang w:val="en-US"/>
              </w:rPr>
              <w:t>φ</w:t>
            </w:r>
            <w:r>
              <w:rPr>
                <w:rFonts w:hint="eastAsia" w:ascii="仿宋" w:hAnsi="仿宋" w:eastAsia="仿宋" w:cs="仿宋"/>
                <w:color w:val="auto"/>
                <w:sz w:val="16"/>
                <w:szCs w:val="16"/>
                <w:highlight w:val="none"/>
                <w:lang w:val="en-US"/>
              </w:rPr>
              <w:t>100MM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2.最大钻孔深度：400MM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3.钻孔方向：垂直向下、水平向前</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4.进给方式：手动、自动</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5.主轴转速：1100-1500r/min 无级调节</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6.动力：12马力雅马哈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lang w:val="en-US"/>
              </w:rPr>
              <w:t>便携式混凝土取芯机、配大小钻孔各一个</w:t>
            </w:r>
          </w:p>
        </w:tc>
      </w:tr>
      <w:tr>
        <w:tblPrEx>
          <w:tblCellMar>
            <w:top w:w="0" w:type="dxa"/>
            <w:left w:w="108" w:type="dxa"/>
            <w:bottom w:w="0" w:type="dxa"/>
            <w:right w:w="108" w:type="dxa"/>
          </w:tblCellMar>
        </w:tblPrEx>
        <w:trPr>
          <w:trHeight w:val="105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val="en-US"/>
              </w:rPr>
              <w:t>11</w:t>
            </w:r>
            <w:r>
              <w:rPr>
                <w:rFonts w:hint="eastAsia" w:ascii="仿宋" w:hAnsi="仿宋" w:eastAsia="仿宋" w:cs="仿宋"/>
                <w:color w:val="auto"/>
                <w:sz w:val="16"/>
                <w:szCs w:val="16"/>
                <w:highlight w:val="none"/>
                <w:lang w:val="en-US" w:eastAsia="zh-CN"/>
              </w:rPr>
              <w:t>5</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弯沉仪</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套</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现场检测试验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1.总长：5400mm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2.杠杆比：2:1</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3.支点至前侧点长：3600mm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4.钢度：以轴孔中心为支点，在距支点1200mm处加载200g其挠度不大于0.05mm</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5.4m</w:t>
            </w:r>
          </w:p>
        </w:tc>
      </w:tr>
      <w:tr>
        <w:tblPrEx>
          <w:tblCellMar>
            <w:top w:w="0" w:type="dxa"/>
            <w:left w:w="108" w:type="dxa"/>
            <w:bottom w:w="0" w:type="dxa"/>
            <w:right w:w="108" w:type="dxa"/>
          </w:tblCellMar>
        </w:tblPrEx>
        <w:trPr>
          <w:trHeight w:val="126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val="en-US"/>
              </w:rPr>
              <w:t>11</w:t>
            </w:r>
            <w:r>
              <w:rPr>
                <w:rFonts w:hint="eastAsia" w:ascii="仿宋" w:hAnsi="仿宋" w:eastAsia="仿宋" w:cs="仿宋"/>
                <w:color w:val="auto"/>
                <w:sz w:val="16"/>
                <w:szCs w:val="16"/>
                <w:highlight w:val="none"/>
                <w:lang w:val="en-US" w:eastAsia="zh-CN"/>
              </w:rPr>
              <w:t>6</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3 米直尺、2 米直尺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套</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现场检测试验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3米直尺</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测量范围：14/3000</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2. 测量精度：0.5mm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2 米直尺</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1.测量范围：14/2000</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2.测量精度：0.5mm</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lang w:val="en-US"/>
              </w:rPr>
            </w:pPr>
            <w:r>
              <w:rPr>
                <w:rFonts w:hint="eastAsia" w:ascii="Times New Roman" w:hAnsi="Times New Roman" w:eastAsia="等线" w:cs="Times New Roman"/>
                <w:color w:val="auto"/>
                <w:sz w:val="16"/>
                <w:szCs w:val="16"/>
                <w:highlight w:val="none"/>
                <w:lang w:val="en-US"/>
              </w:rPr>
              <w:t>各2个</w:t>
            </w:r>
          </w:p>
        </w:tc>
      </w:tr>
      <w:tr>
        <w:tblPrEx>
          <w:tblCellMar>
            <w:top w:w="0" w:type="dxa"/>
            <w:left w:w="108" w:type="dxa"/>
            <w:bottom w:w="0" w:type="dxa"/>
            <w:right w:w="108" w:type="dxa"/>
          </w:tblCellMar>
        </w:tblPrEx>
        <w:trPr>
          <w:trHeight w:val="749"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rPr>
              <w:t>1</w:t>
            </w:r>
            <w:r>
              <w:rPr>
                <w:rFonts w:hint="eastAsia" w:ascii="仿宋" w:hAnsi="仿宋" w:eastAsia="仿宋" w:cs="仿宋"/>
                <w:color w:val="auto"/>
                <w:sz w:val="16"/>
                <w:szCs w:val="16"/>
                <w:highlight w:val="none"/>
                <w:lang w:val="en-US" w:eastAsia="zh-CN"/>
              </w:rPr>
              <w:t>17</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坡度尺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现场检测试验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 xml:space="preserve">750 </w:t>
            </w:r>
            <w:r>
              <w:rPr>
                <w:rFonts w:hint="eastAsia" w:ascii="宋体" w:hAnsi="宋体" w:eastAsia="宋体" w:cs="宋体"/>
                <w:color w:val="auto"/>
                <w:sz w:val="16"/>
                <w:szCs w:val="16"/>
                <w:highlight w:val="none"/>
                <w:lang w:val="en-US"/>
              </w:rPr>
              <w:t>型</w:t>
            </w:r>
          </w:p>
        </w:tc>
      </w:tr>
      <w:tr>
        <w:tblPrEx>
          <w:tblCellMar>
            <w:top w:w="0" w:type="dxa"/>
            <w:left w:w="108" w:type="dxa"/>
            <w:bottom w:w="0" w:type="dxa"/>
            <w:right w:w="108" w:type="dxa"/>
          </w:tblCellMar>
        </w:tblPrEx>
        <w:trPr>
          <w:trHeight w:val="766"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val="en-US"/>
              </w:rPr>
              <w:t>11</w:t>
            </w:r>
            <w:r>
              <w:rPr>
                <w:rFonts w:hint="eastAsia" w:ascii="仿宋" w:hAnsi="仿宋" w:eastAsia="仿宋" w:cs="仿宋"/>
                <w:color w:val="auto"/>
                <w:sz w:val="16"/>
                <w:szCs w:val="16"/>
                <w:highlight w:val="none"/>
                <w:lang w:val="en-US" w:eastAsia="zh-CN"/>
              </w:rPr>
              <w:t>8</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构造深度测定仪</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现场检测试验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 xml:space="preserve">1.料筒容积：25ml </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2.推平板直径：50mm</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84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rPr>
              <w:t>1</w:t>
            </w:r>
            <w:r>
              <w:rPr>
                <w:rFonts w:hint="eastAsia" w:ascii="仿宋" w:hAnsi="仿宋" w:eastAsia="仿宋" w:cs="仿宋"/>
                <w:color w:val="auto"/>
                <w:sz w:val="16"/>
                <w:szCs w:val="16"/>
                <w:highlight w:val="none"/>
                <w:lang w:val="en-US" w:eastAsia="zh-CN"/>
              </w:rPr>
              <w:t>19</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碳化深度测定仪</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3</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现场检测试验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 xml:space="preserve">1.外形尺寸：96cmX44cmX14cm         </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 xml:space="preserve">2.重量 ：150g                       </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 xml:space="preserve">3.测量深度：8mm      </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 xml:space="preserve">4. 分度值：0.25mm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836"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val="en-US"/>
              </w:rPr>
              <w:t>12</w:t>
            </w:r>
            <w:r>
              <w:rPr>
                <w:rFonts w:hint="eastAsia" w:ascii="仿宋" w:hAnsi="仿宋" w:eastAsia="仿宋" w:cs="仿宋"/>
                <w:color w:val="auto"/>
                <w:sz w:val="16"/>
                <w:szCs w:val="16"/>
                <w:highlight w:val="none"/>
                <w:lang w:val="en-US" w:eastAsia="zh-CN"/>
              </w:rPr>
              <w:t>0</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钢砧</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现场检测试验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1.钢砧表面硬度为HRC58-62之间</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2.钢砧净重&gt;16kg</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127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val="en-US"/>
              </w:rPr>
              <w:t>12</w:t>
            </w:r>
            <w:r>
              <w:rPr>
                <w:rFonts w:hint="eastAsia" w:ascii="仿宋" w:hAnsi="仿宋" w:eastAsia="仿宋" w:cs="仿宋"/>
                <w:color w:val="auto"/>
                <w:sz w:val="16"/>
                <w:szCs w:val="16"/>
                <w:highlight w:val="none"/>
                <w:lang w:val="en-US" w:eastAsia="zh-CN"/>
              </w:rPr>
              <w:t>1</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水稳取芯机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现场检测试验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1.最大钻孔直径：</w:t>
            </w:r>
            <w:r>
              <w:rPr>
                <w:rStyle w:val="23"/>
                <w:rFonts w:eastAsia="仿宋"/>
                <w:color w:val="auto"/>
                <w:highlight w:val="none"/>
                <w:lang w:val="en-US"/>
              </w:rPr>
              <w:t>φ</w:t>
            </w:r>
            <w:r>
              <w:rPr>
                <w:rFonts w:hint="eastAsia" w:ascii="仿宋" w:hAnsi="仿宋" w:eastAsia="仿宋" w:cs="仿宋"/>
                <w:color w:val="auto"/>
                <w:sz w:val="16"/>
                <w:szCs w:val="16"/>
                <w:highlight w:val="none"/>
                <w:lang w:val="en-US"/>
              </w:rPr>
              <w:t>200MM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2.最大钻孔深度：400-700MM</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3.钻孔方向：垂直向下</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4.进给方式：手动、自动</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5.主轴转速：1100-1500r/min</w:t>
            </w:r>
            <w:r>
              <w:rPr>
                <w:rFonts w:hint="eastAsia" w:ascii="仿宋" w:hAnsi="仿宋" w:eastAsia="仿宋" w:cs="仿宋"/>
                <w:color w:val="auto"/>
                <w:sz w:val="16"/>
                <w:szCs w:val="16"/>
                <w:highlight w:val="none"/>
                <w:lang w:val="en-US"/>
              </w:rPr>
              <w:br w:type="textWrapping"/>
            </w:r>
            <w:r>
              <w:rPr>
                <w:rFonts w:hint="eastAsia" w:ascii="仿宋" w:hAnsi="仿宋" w:eastAsia="仿宋" w:cs="仿宋"/>
                <w:color w:val="auto"/>
                <w:sz w:val="16"/>
                <w:szCs w:val="16"/>
                <w:highlight w:val="none"/>
                <w:lang w:val="en-US"/>
              </w:rPr>
              <w:t>6.动力：12马力雅马哈</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0"/>
                <w:szCs w:val="20"/>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0"/>
                <w:szCs w:val="20"/>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lang w:val="en-US"/>
              </w:rPr>
              <w:t>配大、小取芯桶各</w:t>
            </w:r>
            <w:r>
              <w:rPr>
                <w:rFonts w:ascii="Times New Roman" w:hAnsi="Times New Roman" w:eastAsia="宋体" w:cs="Times New Roman"/>
                <w:color w:val="auto"/>
                <w:sz w:val="16"/>
                <w:szCs w:val="16"/>
                <w:highlight w:val="none"/>
                <w:lang w:val="en-US"/>
              </w:rPr>
              <w:t>1</w:t>
            </w:r>
            <w:r>
              <w:rPr>
                <w:rFonts w:hint="eastAsia" w:ascii="宋体" w:hAnsi="宋体" w:eastAsia="宋体" w:cs="宋体"/>
                <w:color w:val="auto"/>
                <w:sz w:val="16"/>
                <w:szCs w:val="16"/>
                <w:highlight w:val="none"/>
                <w:lang w:val="en-US"/>
              </w:rPr>
              <w:t>个</w:t>
            </w:r>
          </w:p>
        </w:tc>
      </w:tr>
      <w:tr>
        <w:tblPrEx>
          <w:tblCellMar>
            <w:top w:w="0" w:type="dxa"/>
            <w:left w:w="108" w:type="dxa"/>
            <w:bottom w:w="0" w:type="dxa"/>
            <w:right w:w="108" w:type="dxa"/>
          </w:tblCellMar>
        </w:tblPrEx>
        <w:trPr>
          <w:trHeight w:val="986"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val="en-US"/>
              </w:rPr>
              <w:t>12</w:t>
            </w:r>
            <w:r>
              <w:rPr>
                <w:rFonts w:hint="eastAsia" w:ascii="仿宋" w:hAnsi="仿宋" w:eastAsia="仿宋" w:cs="仿宋"/>
                <w:color w:val="auto"/>
                <w:sz w:val="16"/>
                <w:szCs w:val="16"/>
                <w:highlight w:val="none"/>
                <w:lang w:val="en-US" w:eastAsia="zh-CN"/>
              </w:rPr>
              <w:t>2</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30 米皮尺、50 米钢卷尺</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套</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现场检测试验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满足《JJG 4 钢卷尺》中相关要求</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lang w:val="en-US"/>
              </w:rPr>
              <w:t>各一个</w:t>
            </w:r>
          </w:p>
        </w:tc>
      </w:tr>
      <w:tr>
        <w:tblPrEx>
          <w:tblCellMar>
            <w:top w:w="0" w:type="dxa"/>
            <w:left w:w="108" w:type="dxa"/>
            <w:bottom w:w="0" w:type="dxa"/>
            <w:right w:w="108" w:type="dxa"/>
          </w:tblCellMar>
        </w:tblPrEx>
        <w:trPr>
          <w:trHeight w:val="1424"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123</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16"/>
                <w:szCs w:val="16"/>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百分表</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rPr>
              <w:t>22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现场检测试验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满足《JJG 379 大量程百分表》中相关要求</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r>
              <w:rPr>
                <w:rFonts w:ascii="Times New Roman" w:hAnsi="Times New Roman" w:eastAsia="等线" w:cs="Times New Roman"/>
                <w:color w:val="auto"/>
                <w:sz w:val="16"/>
                <w:szCs w:val="16"/>
                <w:highlight w:val="none"/>
                <w:lang w:val="en-US"/>
              </w:rPr>
              <w:t>/</w:t>
            </w:r>
          </w:p>
        </w:tc>
      </w:tr>
      <w:tr>
        <w:tblPrEx>
          <w:tblCellMar>
            <w:top w:w="0" w:type="dxa"/>
            <w:left w:w="108" w:type="dxa"/>
            <w:bottom w:w="0" w:type="dxa"/>
            <w:right w:w="108" w:type="dxa"/>
          </w:tblCellMar>
        </w:tblPrEx>
        <w:trPr>
          <w:trHeight w:val="42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124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rPr>
              <w:t>桥涵野外检测试验仪器设备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6"/>
                <w:szCs w:val="16"/>
                <w:highlight w:val="none"/>
                <w:u w:val="none"/>
                <w:lang w:val="en-US" w:eastAsia="zh-CN" w:bidi="zh-CN"/>
              </w:rPr>
            </w:pPr>
            <w:r>
              <w:rPr>
                <w:rFonts w:hint="eastAsia" w:ascii="仿宋" w:hAnsi="仿宋" w:eastAsia="仿宋" w:cs="仿宋"/>
                <w:i w:val="0"/>
                <w:iCs w:val="0"/>
                <w:color w:val="auto"/>
                <w:kern w:val="0"/>
                <w:sz w:val="16"/>
                <w:szCs w:val="16"/>
                <w:highlight w:val="none"/>
                <w:u w:val="none"/>
                <w:lang w:val="en-US" w:eastAsia="zh-CN" w:bidi="ar"/>
              </w:rPr>
              <w:t>基桩超声波CT成像测试仪</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zh-CN" w:eastAsia="zh-CN" w:bidi="zh-CN"/>
              </w:rPr>
            </w:pPr>
            <w:r>
              <w:rPr>
                <w:rFonts w:hint="eastAsia" w:ascii="宋体" w:hAnsi="宋体" w:eastAsia="宋体" w:cs="宋体"/>
                <w:i w:val="0"/>
                <w:iCs w:val="0"/>
                <w:color w:val="auto"/>
                <w:kern w:val="0"/>
                <w:sz w:val="20"/>
                <w:szCs w:val="20"/>
                <w:highlight w:val="none"/>
                <w:u w:val="none"/>
                <w:lang w:val="en-US" w:eastAsia="zh-CN" w:bidi="ar"/>
              </w:rPr>
              <w:t>RSM-SY8</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zh-CN" w:eastAsia="zh-CN" w:bidi="zh-CN"/>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16"/>
                <w:szCs w:val="16"/>
                <w:highlight w:val="none"/>
                <w:lang w:val="en-US"/>
              </w:rPr>
            </w:pPr>
            <w:r>
              <w:rPr>
                <w:rFonts w:hint="eastAsia" w:ascii="仿宋" w:hAnsi="仿宋" w:eastAsia="仿宋" w:cs="仿宋"/>
                <w:color w:val="auto"/>
                <w:sz w:val="16"/>
                <w:szCs w:val="16"/>
                <w:highlight w:val="none"/>
                <w:lang w:val="en-US"/>
              </w:rPr>
              <w:t>现场检测试验</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auto"/>
                <w:sz w:val="16"/>
                <w:szCs w:val="16"/>
                <w:highlight w:val="none"/>
                <w:u w:val="none"/>
                <w:lang w:val="en-US" w:eastAsia="zh-CN" w:bidi="zh-CN"/>
              </w:rPr>
            </w:pPr>
            <w:r>
              <w:rPr>
                <w:rFonts w:hint="eastAsia" w:ascii="仿宋" w:hAnsi="仿宋" w:eastAsia="仿宋" w:cs="仿宋"/>
                <w:i w:val="0"/>
                <w:iCs w:val="0"/>
                <w:color w:val="auto"/>
                <w:kern w:val="0"/>
                <w:sz w:val="16"/>
                <w:szCs w:val="16"/>
                <w:highlight w:val="none"/>
                <w:u w:val="none"/>
                <w:lang w:val="en-US" w:eastAsia="zh-CN" w:bidi="ar"/>
              </w:rPr>
              <w:t xml:space="preserve">1、主控形式 低功耗嵌入式系统 </w:t>
            </w:r>
            <w:r>
              <w:rPr>
                <w:rFonts w:hint="eastAsia" w:ascii="仿宋" w:hAnsi="仿宋" w:eastAsia="仿宋" w:cs="仿宋"/>
                <w:i w:val="0"/>
                <w:iCs w:val="0"/>
                <w:color w:val="auto"/>
                <w:kern w:val="0"/>
                <w:sz w:val="16"/>
                <w:szCs w:val="16"/>
                <w:highlight w:val="none"/>
                <w:u w:val="none"/>
                <w:lang w:val="en-US" w:eastAsia="zh-CN" w:bidi="ar"/>
              </w:rPr>
              <w:br w:type="textWrapping"/>
            </w:r>
            <w:r>
              <w:rPr>
                <w:rFonts w:hint="eastAsia" w:ascii="仿宋" w:hAnsi="仿宋" w:eastAsia="仿宋" w:cs="仿宋"/>
                <w:i w:val="0"/>
                <w:iCs w:val="0"/>
                <w:color w:val="auto"/>
                <w:kern w:val="0"/>
                <w:sz w:val="16"/>
                <w:szCs w:val="16"/>
                <w:highlight w:val="none"/>
                <w:u w:val="none"/>
                <w:lang w:val="en-US" w:eastAsia="zh-CN" w:bidi="ar"/>
              </w:rPr>
              <w:t>主频：1GHz 内存：512M 道间串扰 ≤1/400</w:t>
            </w:r>
            <w:r>
              <w:rPr>
                <w:rFonts w:hint="eastAsia" w:ascii="仿宋" w:hAnsi="仿宋" w:eastAsia="仿宋" w:cs="仿宋"/>
                <w:i w:val="0"/>
                <w:iCs w:val="0"/>
                <w:color w:val="auto"/>
                <w:kern w:val="0"/>
                <w:sz w:val="16"/>
                <w:szCs w:val="16"/>
                <w:highlight w:val="none"/>
                <w:u w:val="none"/>
                <w:lang w:val="en-US" w:eastAsia="zh-CN" w:bidi="ar"/>
              </w:rPr>
              <w:br w:type="textWrapping"/>
            </w:r>
            <w:r>
              <w:rPr>
                <w:rFonts w:hint="eastAsia" w:ascii="仿宋" w:hAnsi="仿宋" w:eastAsia="仿宋" w:cs="仿宋"/>
                <w:i w:val="0"/>
                <w:iCs w:val="0"/>
                <w:color w:val="auto"/>
                <w:kern w:val="0"/>
                <w:sz w:val="16"/>
                <w:szCs w:val="16"/>
                <w:highlight w:val="none"/>
                <w:u w:val="none"/>
                <w:lang w:val="en-US" w:eastAsia="zh-CN" w:bidi="ar"/>
              </w:rPr>
              <w:t xml:space="preserve">2、发射通道 四个 </w:t>
            </w:r>
            <w:r>
              <w:rPr>
                <w:rFonts w:hint="eastAsia" w:ascii="仿宋" w:hAnsi="仿宋" w:eastAsia="仿宋" w:cs="仿宋"/>
                <w:i w:val="0"/>
                <w:iCs w:val="0"/>
                <w:color w:val="auto"/>
                <w:kern w:val="0"/>
                <w:sz w:val="16"/>
                <w:szCs w:val="16"/>
                <w:highlight w:val="none"/>
                <w:u w:val="none"/>
                <w:lang w:val="en-US" w:eastAsia="zh-CN" w:bidi="ar"/>
              </w:rPr>
              <w:br w:type="textWrapping"/>
            </w:r>
            <w:r>
              <w:rPr>
                <w:rFonts w:hint="eastAsia" w:ascii="仿宋" w:hAnsi="仿宋" w:eastAsia="仿宋" w:cs="仿宋"/>
                <w:i w:val="0"/>
                <w:iCs w:val="0"/>
                <w:color w:val="auto"/>
                <w:kern w:val="0"/>
                <w:sz w:val="16"/>
                <w:szCs w:val="16"/>
                <w:highlight w:val="none"/>
                <w:u w:val="none"/>
                <w:lang w:val="en-US" w:eastAsia="zh-CN" w:bidi="ar"/>
              </w:rPr>
              <w:t>3、触发方式 信号触发</w:t>
            </w:r>
            <w:r>
              <w:rPr>
                <w:rFonts w:hint="eastAsia" w:ascii="仿宋" w:hAnsi="仿宋" w:eastAsia="仿宋" w:cs="仿宋"/>
                <w:i w:val="0"/>
                <w:iCs w:val="0"/>
                <w:color w:val="auto"/>
                <w:kern w:val="0"/>
                <w:sz w:val="16"/>
                <w:szCs w:val="16"/>
                <w:highlight w:val="none"/>
                <w:u w:val="none"/>
                <w:lang w:val="en-US" w:eastAsia="zh-CN" w:bidi="ar"/>
              </w:rPr>
              <w:br w:type="textWrapping"/>
            </w:r>
            <w:r>
              <w:rPr>
                <w:rFonts w:hint="eastAsia" w:ascii="仿宋" w:hAnsi="仿宋" w:eastAsia="仿宋" w:cs="仿宋"/>
                <w:i w:val="0"/>
                <w:iCs w:val="0"/>
                <w:color w:val="auto"/>
                <w:kern w:val="0"/>
                <w:sz w:val="16"/>
                <w:szCs w:val="16"/>
                <w:highlight w:val="none"/>
                <w:u w:val="none"/>
                <w:lang w:val="en-US" w:eastAsia="zh-CN" w:bidi="ar"/>
              </w:rPr>
              <w:t xml:space="preserve">4、接收通道 八个 </w:t>
            </w:r>
            <w:r>
              <w:rPr>
                <w:rFonts w:hint="eastAsia" w:ascii="仿宋" w:hAnsi="仿宋" w:eastAsia="仿宋" w:cs="仿宋"/>
                <w:i w:val="0"/>
                <w:iCs w:val="0"/>
                <w:color w:val="auto"/>
                <w:kern w:val="0"/>
                <w:sz w:val="16"/>
                <w:szCs w:val="16"/>
                <w:highlight w:val="none"/>
                <w:u w:val="none"/>
                <w:lang w:val="en-US" w:eastAsia="zh-CN" w:bidi="ar"/>
              </w:rPr>
              <w:br w:type="textWrapping"/>
            </w:r>
            <w:r>
              <w:rPr>
                <w:rFonts w:hint="eastAsia" w:ascii="仿宋" w:hAnsi="仿宋" w:eastAsia="仿宋" w:cs="仿宋"/>
                <w:i w:val="0"/>
                <w:iCs w:val="0"/>
                <w:color w:val="auto"/>
                <w:kern w:val="0"/>
                <w:sz w:val="16"/>
                <w:szCs w:val="16"/>
                <w:highlight w:val="none"/>
                <w:u w:val="none"/>
                <w:lang w:val="en-US" w:eastAsia="zh-CN" w:bidi="ar"/>
              </w:rPr>
              <w:t xml:space="preserve">5、上传方式 4G/WiFi/蓝牙 </w:t>
            </w:r>
            <w:r>
              <w:rPr>
                <w:rFonts w:hint="eastAsia" w:ascii="仿宋" w:hAnsi="仿宋" w:eastAsia="仿宋" w:cs="仿宋"/>
                <w:i w:val="0"/>
                <w:iCs w:val="0"/>
                <w:color w:val="auto"/>
                <w:kern w:val="0"/>
                <w:sz w:val="16"/>
                <w:szCs w:val="16"/>
                <w:highlight w:val="none"/>
                <w:u w:val="none"/>
                <w:lang w:val="en-US" w:eastAsia="zh-CN" w:bidi="ar"/>
              </w:rPr>
              <w:br w:type="textWrapping"/>
            </w:r>
            <w:r>
              <w:rPr>
                <w:rFonts w:hint="eastAsia" w:ascii="仿宋" w:hAnsi="仿宋" w:eastAsia="仿宋" w:cs="仿宋"/>
                <w:i w:val="0"/>
                <w:iCs w:val="0"/>
                <w:color w:val="auto"/>
                <w:kern w:val="0"/>
                <w:sz w:val="16"/>
                <w:szCs w:val="16"/>
                <w:highlight w:val="none"/>
                <w:u w:val="none"/>
                <w:lang w:val="en-US" w:eastAsia="zh-CN" w:bidi="ar"/>
              </w:rPr>
              <w:t>6、扫描速度：                     层析成像检测≥10次循环/秒</w:t>
            </w:r>
            <w:r>
              <w:rPr>
                <w:rFonts w:hint="eastAsia" w:ascii="仿宋" w:hAnsi="仿宋" w:eastAsia="仿宋" w:cs="仿宋"/>
                <w:i w:val="0"/>
                <w:iCs w:val="0"/>
                <w:color w:val="auto"/>
                <w:kern w:val="0"/>
                <w:sz w:val="16"/>
                <w:szCs w:val="16"/>
                <w:highlight w:val="none"/>
                <w:u w:val="none"/>
                <w:lang w:val="en-US" w:eastAsia="zh-CN" w:bidi="ar"/>
              </w:rPr>
              <w:br w:type="textWrapping"/>
            </w:r>
            <w:r>
              <w:rPr>
                <w:rFonts w:hint="eastAsia" w:ascii="仿宋" w:hAnsi="仿宋" w:eastAsia="仿宋" w:cs="仿宋"/>
                <w:i w:val="0"/>
                <w:iCs w:val="0"/>
                <w:color w:val="auto"/>
                <w:kern w:val="0"/>
                <w:sz w:val="16"/>
                <w:szCs w:val="16"/>
                <w:highlight w:val="none"/>
                <w:u w:val="none"/>
                <w:lang w:val="en-US" w:eastAsia="zh-CN" w:bidi="ar"/>
              </w:rPr>
              <w:t xml:space="preserve">声波透射法检测≥20次循环/秒       7、采样间隔 0.1～200μS </w:t>
            </w:r>
            <w:r>
              <w:rPr>
                <w:rFonts w:hint="eastAsia" w:ascii="仿宋" w:hAnsi="仿宋" w:eastAsia="仿宋" w:cs="仿宋"/>
                <w:i w:val="0"/>
                <w:iCs w:val="0"/>
                <w:color w:val="auto"/>
                <w:kern w:val="0"/>
                <w:sz w:val="16"/>
                <w:szCs w:val="16"/>
                <w:highlight w:val="none"/>
                <w:u w:val="none"/>
                <w:lang w:val="en-US" w:eastAsia="zh-CN" w:bidi="ar"/>
              </w:rPr>
              <w:br w:type="textWrapping"/>
            </w:r>
            <w:r>
              <w:rPr>
                <w:rFonts w:hint="eastAsia" w:ascii="仿宋" w:hAnsi="仿宋" w:eastAsia="仿宋" w:cs="仿宋"/>
                <w:i w:val="0"/>
                <w:iCs w:val="0"/>
                <w:color w:val="auto"/>
                <w:kern w:val="0"/>
                <w:sz w:val="16"/>
                <w:szCs w:val="16"/>
                <w:highlight w:val="none"/>
                <w:u w:val="none"/>
                <w:lang w:val="en-US" w:eastAsia="zh-CN" w:bidi="ar"/>
              </w:rPr>
              <w:t>8、最小测点间距  1cm</w:t>
            </w:r>
            <w:r>
              <w:rPr>
                <w:rFonts w:hint="eastAsia" w:ascii="仿宋" w:hAnsi="仿宋" w:eastAsia="仿宋" w:cs="仿宋"/>
                <w:i w:val="0"/>
                <w:iCs w:val="0"/>
                <w:color w:val="auto"/>
                <w:kern w:val="0"/>
                <w:sz w:val="16"/>
                <w:szCs w:val="16"/>
                <w:highlight w:val="none"/>
                <w:u w:val="none"/>
                <w:lang w:val="en-US" w:eastAsia="zh-CN" w:bidi="ar"/>
              </w:rPr>
              <w:br w:type="textWrapping"/>
            </w:r>
            <w:r>
              <w:rPr>
                <w:rFonts w:hint="eastAsia" w:ascii="仿宋" w:hAnsi="仿宋" w:eastAsia="仿宋" w:cs="仿宋"/>
                <w:i w:val="0"/>
                <w:iCs w:val="0"/>
                <w:color w:val="auto"/>
                <w:kern w:val="0"/>
                <w:sz w:val="16"/>
                <w:szCs w:val="16"/>
                <w:highlight w:val="none"/>
                <w:u w:val="none"/>
                <w:lang w:val="en-US" w:eastAsia="zh-CN" w:bidi="ar"/>
              </w:rPr>
              <w:t xml:space="preserve">9、无线传输距离 30m </w:t>
            </w:r>
            <w:r>
              <w:rPr>
                <w:rFonts w:hint="eastAsia" w:ascii="仿宋" w:hAnsi="仿宋" w:eastAsia="仿宋" w:cs="仿宋"/>
                <w:i w:val="0"/>
                <w:iCs w:val="0"/>
                <w:color w:val="auto"/>
                <w:kern w:val="0"/>
                <w:sz w:val="16"/>
                <w:szCs w:val="16"/>
                <w:highlight w:val="none"/>
                <w:u w:val="none"/>
                <w:lang w:val="en-US" w:eastAsia="zh-CN" w:bidi="ar"/>
              </w:rPr>
              <w:br w:type="textWrapping"/>
            </w:r>
            <w:r>
              <w:rPr>
                <w:rFonts w:hint="eastAsia" w:ascii="仿宋" w:hAnsi="仿宋" w:eastAsia="仿宋" w:cs="仿宋"/>
                <w:i w:val="0"/>
                <w:iCs w:val="0"/>
                <w:color w:val="auto"/>
                <w:kern w:val="0"/>
                <w:sz w:val="16"/>
                <w:szCs w:val="16"/>
                <w:highlight w:val="none"/>
                <w:u w:val="none"/>
                <w:lang w:val="en-US" w:eastAsia="zh-CN" w:bidi="ar"/>
              </w:rPr>
              <w:t>10、最大提升速度 1.0m/s</w:t>
            </w:r>
            <w:r>
              <w:rPr>
                <w:rFonts w:hint="eastAsia" w:ascii="仿宋" w:hAnsi="仿宋" w:eastAsia="仿宋" w:cs="仿宋"/>
                <w:i w:val="0"/>
                <w:iCs w:val="0"/>
                <w:color w:val="auto"/>
                <w:kern w:val="0"/>
                <w:sz w:val="16"/>
                <w:szCs w:val="16"/>
                <w:highlight w:val="none"/>
                <w:u w:val="none"/>
                <w:lang w:val="en-US" w:eastAsia="zh-CN" w:bidi="ar"/>
              </w:rPr>
              <w:br w:type="textWrapping"/>
            </w:r>
            <w:r>
              <w:rPr>
                <w:rFonts w:hint="eastAsia" w:ascii="仿宋" w:hAnsi="仿宋" w:eastAsia="仿宋" w:cs="仿宋"/>
                <w:i w:val="0"/>
                <w:iCs w:val="0"/>
                <w:color w:val="auto"/>
                <w:kern w:val="0"/>
                <w:sz w:val="16"/>
                <w:szCs w:val="16"/>
                <w:highlight w:val="none"/>
                <w:u w:val="none"/>
                <w:lang w:val="en-US" w:eastAsia="zh-CN" w:bidi="ar"/>
              </w:rPr>
              <w:t xml:space="preserve">11、无线工作时间 ≥20h </w:t>
            </w:r>
            <w:r>
              <w:rPr>
                <w:rFonts w:hint="eastAsia" w:ascii="仿宋" w:hAnsi="仿宋" w:eastAsia="仿宋" w:cs="仿宋"/>
                <w:i w:val="0"/>
                <w:iCs w:val="0"/>
                <w:color w:val="auto"/>
                <w:kern w:val="0"/>
                <w:sz w:val="16"/>
                <w:szCs w:val="16"/>
                <w:highlight w:val="none"/>
                <w:u w:val="none"/>
                <w:lang w:val="en-US" w:eastAsia="zh-CN" w:bidi="ar"/>
              </w:rPr>
              <w:br w:type="textWrapping"/>
            </w:r>
            <w:r>
              <w:rPr>
                <w:rFonts w:hint="eastAsia" w:ascii="仿宋" w:hAnsi="仿宋" w:eastAsia="仿宋" w:cs="仿宋"/>
                <w:i w:val="0"/>
                <w:iCs w:val="0"/>
                <w:color w:val="auto"/>
                <w:kern w:val="0"/>
                <w:sz w:val="16"/>
                <w:szCs w:val="16"/>
                <w:highlight w:val="none"/>
                <w:u w:val="none"/>
                <w:lang w:val="en-US" w:eastAsia="zh-CN" w:bidi="ar"/>
              </w:rPr>
              <w:t>12、记数方式 双向计数</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等线" w:cs="Times New Roman"/>
                <w:color w:val="auto"/>
                <w:sz w:val="16"/>
                <w:szCs w:val="16"/>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等线" w:cs="Times New Roman"/>
                <w:color w:val="auto"/>
                <w:sz w:val="16"/>
                <w:szCs w:val="16"/>
                <w:highlight w:val="none"/>
                <w:lang w:val="en-US"/>
              </w:rPr>
            </w:pPr>
            <w:r>
              <w:rPr>
                <w:rFonts w:hint="eastAsia" w:ascii="宋体" w:hAnsi="宋体" w:eastAsia="宋体" w:cs="宋体"/>
                <w:i w:val="0"/>
                <w:iCs w:val="0"/>
                <w:color w:val="auto"/>
                <w:kern w:val="0"/>
                <w:sz w:val="18"/>
                <w:szCs w:val="18"/>
                <w:highlight w:val="none"/>
                <w:u w:val="none"/>
                <w:lang w:val="en-US" w:eastAsia="zh-CN" w:bidi="ar"/>
              </w:rPr>
              <w:t>供应商所提供的该仪器技术参数不得低于武汉中岩RSM-SY8型仪器中的技术参数</w:t>
            </w:r>
          </w:p>
        </w:tc>
      </w:tr>
      <w:tr>
        <w:tblPrEx>
          <w:tblCellMar>
            <w:top w:w="0" w:type="dxa"/>
            <w:left w:w="108" w:type="dxa"/>
            <w:bottom w:w="0" w:type="dxa"/>
            <w:right w:w="108" w:type="dxa"/>
          </w:tblCellMar>
        </w:tblPrEx>
        <w:trPr>
          <w:trHeight w:val="679"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rPr>
              <w:t>合计</w:t>
            </w:r>
          </w:p>
        </w:tc>
        <w:tc>
          <w:tcPr>
            <w:tcW w:w="720" w:type="dxa"/>
            <w:tcBorders>
              <w:top w:val="nil"/>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auto"/>
                <w:highlight w:val="none"/>
              </w:rPr>
            </w:pPr>
          </w:p>
        </w:tc>
        <w:tc>
          <w:tcPr>
            <w:tcW w:w="9308" w:type="dxa"/>
            <w:gridSpan w:val="7"/>
            <w:tcBorders>
              <w:top w:val="nil"/>
              <w:left w:val="single" w:color="000000" w:sz="4" w:space="0"/>
              <w:bottom w:val="single" w:color="000000" w:sz="4" w:space="0"/>
              <w:right w:val="nil"/>
            </w:tcBorders>
            <w:shd w:val="clear" w:color="auto" w:fill="auto"/>
            <w:noWrap/>
            <w:vAlign w:val="center"/>
          </w:tcPr>
          <w:p>
            <w:pPr>
              <w:jc w:val="center"/>
              <w:rPr>
                <w:rFonts w:ascii="仿宋" w:hAnsi="仿宋" w:eastAsia="仿宋" w:cs="仿宋"/>
                <w:b/>
                <w:bCs/>
                <w:color w:val="auto"/>
                <w:highlight w:val="none"/>
                <w:lang w:val="en-US"/>
              </w:rPr>
            </w:pPr>
          </w:p>
        </w:tc>
        <w:tc>
          <w:tcPr>
            <w:tcW w:w="1310" w:type="dxa"/>
            <w:tcBorders>
              <w:top w:val="nil"/>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b/>
                <w:bCs/>
                <w:color w:val="auto"/>
                <w:sz w:val="20"/>
                <w:szCs w:val="20"/>
                <w:highlight w:val="none"/>
              </w:rPr>
            </w:pPr>
          </w:p>
        </w:tc>
        <w:tc>
          <w:tcPr>
            <w:tcW w:w="1432"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等线" w:hAnsi="等线" w:eastAsia="等线" w:cs="等线"/>
                <w:b/>
                <w:bCs/>
                <w:color w:val="auto"/>
                <w:sz w:val="20"/>
                <w:szCs w:val="20"/>
                <w:highlight w:val="none"/>
                <w:lang w:val="en-US"/>
              </w:rPr>
            </w:pPr>
          </w:p>
        </w:tc>
        <w:tc>
          <w:tcPr>
            <w:tcW w:w="1494" w:type="dxa"/>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等线" w:hAnsi="等线" w:eastAsia="等线" w:cs="等线"/>
                <w:color w:val="auto"/>
                <w:highlight w:val="none"/>
              </w:rPr>
            </w:pPr>
            <w:r>
              <w:rPr>
                <w:rFonts w:hint="eastAsia" w:ascii="等线" w:hAnsi="等线" w:eastAsia="等线" w:cs="等线"/>
                <w:color w:val="auto"/>
                <w:highlight w:val="none"/>
                <w:lang w:val="en-US"/>
              </w:rPr>
              <w:t>/</w:t>
            </w:r>
          </w:p>
        </w:tc>
      </w:tr>
    </w:tbl>
    <w:p>
      <w:pPr>
        <w:rPr>
          <w:rFonts w:ascii="Times New Roman"/>
          <w:color w:val="auto"/>
          <w:sz w:val="18"/>
          <w:highlight w:val="none"/>
        </w:rPr>
        <w:sectPr>
          <w:footerReference r:id="rId10" w:type="default"/>
          <w:pgSz w:w="16840" w:h="11910" w:orient="landscape"/>
          <w:pgMar w:top="1100" w:right="560" w:bottom="1100" w:left="860" w:header="0" w:footer="918" w:gutter="0"/>
          <w:pgNumType w:start="33"/>
          <w:cols w:space="720" w:num="1"/>
        </w:sectPr>
      </w:pPr>
    </w:p>
    <w:p>
      <w:pPr>
        <w:pStyle w:val="8"/>
        <w:spacing w:before="35"/>
        <w:ind w:left="3417" w:right="3418" w:firstLine="0"/>
        <w:jc w:val="center"/>
        <w:rPr>
          <w:color w:val="auto"/>
          <w:highlight w:val="none"/>
        </w:rPr>
      </w:pPr>
      <w:r>
        <w:rPr>
          <w:color w:val="auto"/>
          <w:highlight w:val="none"/>
        </w:rPr>
        <w:t>四、供应商基本情况</w:t>
      </w:r>
    </w:p>
    <w:p>
      <w:pPr>
        <w:rPr>
          <w:color w:val="auto"/>
          <w:sz w:val="20"/>
          <w:highlight w:val="none"/>
        </w:rPr>
      </w:pPr>
    </w:p>
    <w:p>
      <w:pPr>
        <w:spacing w:before="12" w:after="1"/>
        <w:rPr>
          <w:color w:val="auto"/>
          <w:sz w:val="14"/>
          <w:highlight w:val="none"/>
        </w:rPr>
      </w:pPr>
    </w:p>
    <w:tbl>
      <w:tblPr>
        <w:tblStyle w:val="1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17"/>
        <w:gridCol w:w="1255"/>
        <w:gridCol w:w="2510"/>
        <w:gridCol w:w="1251"/>
        <w:gridCol w:w="2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217" w:type="dxa"/>
          </w:tcPr>
          <w:p>
            <w:pPr>
              <w:pStyle w:val="22"/>
              <w:spacing w:before="146"/>
              <w:ind w:left="456" w:right="449"/>
              <w:jc w:val="center"/>
              <w:rPr>
                <w:rFonts w:ascii="宋体" w:eastAsia="宋体"/>
                <w:color w:val="auto"/>
                <w:sz w:val="21"/>
                <w:highlight w:val="none"/>
              </w:rPr>
            </w:pPr>
            <w:r>
              <w:rPr>
                <w:rFonts w:hint="eastAsia" w:ascii="宋体" w:eastAsia="宋体"/>
                <w:color w:val="auto"/>
                <w:sz w:val="21"/>
                <w:highlight w:val="none"/>
              </w:rPr>
              <w:t>供应商名称</w:t>
            </w:r>
          </w:p>
        </w:tc>
        <w:tc>
          <w:tcPr>
            <w:tcW w:w="7741" w:type="dxa"/>
            <w:gridSpan w:val="4"/>
          </w:tcPr>
          <w:p>
            <w:pPr>
              <w:pStyle w:val="22"/>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2217" w:type="dxa"/>
          </w:tcPr>
          <w:p>
            <w:pPr>
              <w:pStyle w:val="22"/>
              <w:spacing w:before="146"/>
              <w:ind w:left="456" w:right="449"/>
              <w:jc w:val="center"/>
              <w:rPr>
                <w:rFonts w:ascii="宋体" w:eastAsia="宋体"/>
                <w:color w:val="auto"/>
                <w:sz w:val="21"/>
                <w:highlight w:val="none"/>
              </w:rPr>
            </w:pPr>
            <w:r>
              <w:rPr>
                <w:rFonts w:hint="eastAsia" w:ascii="宋体" w:eastAsia="宋体"/>
                <w:color w:val="auto"/>
                <w:sz w:val="21"/>
                <w:highlight w:val="none"/>
              </w:rPr>
              <w:t>注册地址</w:t>
            </w:r>
          </w:p>
        </w:tc>
        <w:tc>
          <w:tcPr>
            <w:tcW w:w="3765" w:type="dxa"/>
            <w:gridSpan w:val="2"/>
          </w:tcPr>
          <w:p>
            <w:pPr>
              <w:pStyle w:val="22"/>
              <w:rPr>
                <w:rFonts w:ascii="Times New Roman"/>
                <w:color w:val="auto"/>
                <w:sz w:val="20"/>
                <w:highlight w:val="none"/>
              </w:rPr>
            </w:pPr>
          </w:p>
        </w:tc>
        <w:tc>
          <w:tcPr>
            <w:tcW w:w="1251" w:type="dxa"/>
          </w:tcPr>
          <w:p>
            <w:pPr>
              <w:pStyle w:val="22"/>
              <w:spacing w:before="146"/>
              <w:ind w:left="183" w:right="174"/>
              <w:jc w:val="center"/>
              <w:rPr>
                <w:rFonts w:ascii="宋体" w:eastAsia="宋体"/>
                <w:color w:val="auto"/>
                <w:sz w:val="21"/>
                <w:highlight w:val="none"/>
              </w:rPr>
            </w:pPr>
            <w:r>
              <w:rPr>
                <w:rFonts w:hint="eastAsia" w:ascii="宋体" w:eastAsia="宋体"/>
                <w:color w:val="auto"/>
                <w:sz w:val="21"/>
                <w:highlight w:val="none"/>
              </w:rPr>
              <w:t>电 话</w:t>
            </w:r>
          </w:p>
        </w:tc>
        <w:tc>
          <w:tcPr>
            <w:tcW w:w="2725" w:type="dxa"/>
          </w:tcPr>
          <w:p>
            <w:pPr>
              <w:pStyle w:val="22"/>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217" w:type="dxa"/>
            <w:vMerge w:val="restart"/>
          </w:tcPr>
          <w:p>
            <w:pPr>
              <w:pStyle w:val="22"/>
              <w:rPr>
                <w:color w:val="auto"/>
                <w:sz w:val="20"/>
                <w:highlight w:val="none"/>
              </w:rPr>
            </w:pPr>
          </w:p>
          <w:p>
            <w:pPr>
              <w:pStyle w:val="22"/>
              <w:spacing w:before="177"/>
              <w:ind w:left="688"/>
              <w:rPr>
                <w:rFonts w:ascii="宋体" w:eastAsia="宋体"/>
                <w:color w:val="auto"/>
                <w:sz w:val="21"/>
                <w:highlight w:val="none"/>
              </w:rPr>
            </w:pPr>
            <w:r>
              <w:rPr>
                <w:rFonts w:hint="eastAsia" w:ascii="宋体" w:eastAsia="宋体"/>
                <w:color w:val="auto"/>
                <w:sz w:val="21"/>
                <w:highlight w:val="none"/>
              </w:rPr>
              <w:t>联系方式</w:t>
            </w:r>
          </w:p>
        </w:tc>
        <w:tc>
          <w:tcPr>
            <w:tcW w:w="1255" w:type="dxa"/>
          </w:tcPr>
          <w:p>
            <w:pPr>
              <w:pStyle w:val="22"/>
              <w:spacing w:before="145"/>
              <w:ind w:left="8"/>
              <w:jc w:val="center"/>
              <w:rPr>
                <w:rFonts w:ascii="宋体" w:eastAsia="宋体"/>
                <w:color w:val="auto"/>
                <w:sz w:val="21"/>
                <w:highlight w:val="none"/>
              </w:rPr>
            </w:pPr>
            <w:r>
              <w:rPr>
                <w:rFonts w:hint="eastAsia" w:ascii="宋体" w:eastAsia="宋体"/>
                <w:color w:val="auto"/>
                <w:sz w:val="21"/>
                <w:highlight w:val="none"/>
              </w:rPr>
              <w:t>联系人</w:t>
            </w:r>
          </w:p>
        </w:tc>
        <w:tc>
          <w:tcPr>
            <w:tcW w:w="2510" w:type="dxa"/>
          </w:tcPr>
          <w:p>
            <w:pPr>
              <w:pStyle w:val="22"/>
              <w:rPr>
                <w:rFonts w:ascii="Times New Roman"/>
                <w:color w:val="auto"/>
                <w:sz w:val="20"/>
                <w:highlight w:val="none"/>
              </w:rPr>
            </w:pPr>
          </w:p>
        </w:tc>
        <w:tc>
          <w:tcPr>
            <w:tcW w:w="1251" w:type="dxa"/>
          </w:tcPr>
          <w:p>
            <w:pPr>
              <w:pStyle w:val="22"/>
              <w:spacing w:before="145"/>
              <w:ind w:left="183" w:right="174"/>
              <w:jc w:val="center"/>
              <w:rPr>
                <w:rFonts w:ascii="宋体" w:eastAsia="宋体"/>
                <w:color w:val="auto"/>
                <w:sz w:val="21"/>
                <w:highlight w:val="none"/>
              </w:rPr>
            </w:pPr>
            <w:r>
              <w:rPr>
                <w:rFonts w:hint="eastAsia" w:ascii="宋体" w:eastAsia="宋体"/>
                <w:color w:val="auto"/>
                <w:sz w:val="21"/>
                <w:highlight w:val="none"/>
              </w:rPr>
              <w:t>电 话</w:t>
            </w:r>
          </w:p>
        </w:tc>
        <w:tc>
          <w:tcPr>
            <w:tcW w:w="2725" w:type="dxa"/>
          </w:tcPr>
          <w:p>
            <w:pPr>
              <w:pStyle w:val="22"/>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217" w:type="dxa"/>
            <w:vMerge w:val="continue"/>
            <w:tcBorders>
              <w:top w:val="nil"/>
            </w:tcBorders>
          </w:tcPr>
          <w:p>
            <w:pPr>
              <w:rPr>
                <w:color w:val="auto"/>
                <w:sz w:val="2"/>
                <w:szCs w:val="2"/>
                <w:highlight w:val="none"/>
              </w:rPr>
            </w:pPr>
          </w:p>
        </w:tc>
        <w:tc>
          <w:tcPr>
            <w:tcW w:w="1255" w:type="dxa"/>
          </w:tcPr>
          <w:p>
            <w:pPr>
              <w:pStyle w:val="22"/>
              <w:tabs>
                <w:tab w:val="left" w:pos="428"/>
              </w:tabs>
              <w:spacing w:before="146"/>
              <w:ind w:left="8"/>
              <w:jc w:val="center"/>
              <w:rPr>
                <w:rFonts w:ascii="宋体" w:eastAsia="宋体"/>
                <w:color w:val="auto"/>
                <w:sz w:val="21"/>
                <w:highlight w:val="none"/>
              </w:rPr>
            </w:pPr>
            <w:r>
              <w:rPr>
                <w:rFonts w:hint="eastAsia" w:ascii="宋体" w:eastAsia="宋体"/>
                <w:color w:val="auto"/>
                <w:sz w:val="21"/>
                <w:highlight w:val="none"/>
              </w:rPr>
              <w:t>职</w:t>
            </w:r>
            <w:r>
              <w:rPr>
                <w:rFonts w:hint="eastAsia" w:ascii="宋体" w:eastAsia="宋体"/>
                <w:color w:val="auto"/>
                <w:sz w:val="21"/>
                <w:highlight w:val="none"/>
              </w:rPr>
              <w:tab/>
            </w:r>
            <w:r>
              <w:rPr>
                <w:rFonts w:hint="eastAsia" w:ascii="宋体" w:eastAsia="宋体"/>
                <w:color w:val="auto"/>
                <w:sz w:val="21"/>
                <w:highlight w:val="none"/>
              </w:rPr>
              <w:t>务</w:t>
            </w:r>
          </w:p>
        </w:tc>
        <w:tc>
          <w:tcPr>
            <w:tcW w:w="2510" w:type="dxa"/>
          </w:tcPr>
          <w:p>
            <w:pPr>
              <w:pStyle w:val="22"/>
              <w:rPr>
                <w:rFonts w:ascii="Times New Roman"/>
                <w:color w:val="auto"/>
                <w:sz w:val="20"/>
                <w:highlight w:val="none"/>
              </w:rPr>
            </w:pPr>
          </w:p>
        </w:tc>
        <w:tc>
          <w:tcPr>
            <w:tcW w:w="1251" w:type="dxa"/>
          </w:tcPr>
          <w:p>
            <w:pPr>
              <w:pStyle w:val="22"/>
              <w:spacing w:before="146"/>
              <w:ind w:left="183" w:right="177"/>
              <w:jc w:val="center"/>
              <w:rPr>
                <w:rFonts w:ascii="宋体" w:eastAsia="宋体"/>
                <w:color w:val="auto"/>
                <w:sz w:val="21"/>
                <w:highlight w:val="none"/>
              </w:rPr>
            </w:pPr>
            <w:r>
              <w:rPr>
                <w:rFonts w:hint="eastAsia" w:ascii="宋体" w:eastAsia="宋体"/>
                <w:color w:val="auto"/>
                <w:sz w:val="21"/>
                <w:highlight w:val="none"/>
              </w:rPr>
              <w:t>电子邮箱</w:t>
            </w:r>
          </w:p>
        </w:tc>
        <w:tc>
          <w:tcPr>
            <w:tcW w:w="2725" w:type="dxa"/>
          </w:tcPr>
          <w:p>
            <w:pPr>
              <w:pStyle w:val="22"/>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217" w:type="dxa"/>
          </w:tcPr>
          <w:p>
            <w:pPr>
              <w:pStyle w:val="22"/>
              <w:spacing w:before="146"/>
              <w:ind w:left="456" w:right="449"/>
              <w:jc w:val="center"/>
              <w:rPr>
                <w:rFonts w:ascii="宋体" w:eastAsia="宋体"/>
                <w:color w:val="auto"/>
                <w:sz w:val="21"/>
                <w:highlight w:val="none"/>
              </w:rPr>
            </w:pPr>
            <w:r>
              <w:rPr>
                <w:rFonts w:hint="eastAsia" w:ascii="宋体" w:eastAsia="宋体"/>
                <w:color w:val="auto"/>
                <w:sz w:val="21"/>
                <w:highlight w:val="none"/>
              </w:rPr>
              <w:t>法定代表人</w:t>
            </w:r>
          </w:p>
        </w:tc>
        <w:tc>
          <w:tcPr>
            <w:tcW w:w="7741" w:type="dxa"/>
            <w:gridSpan w:val="4"/>
          </w:tcPr>
          <w:p>
            <w:pPr>
              <w:pStyle w:val="22"/>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217" w:type="dxa"/>
          </w:tcPr>
          <w:p>
            <w:pPr>
              <w:pStyle w:val="22"/>
              <w:spacing w:before="145"/>
              <w:ind w:left="456" w:right="451"/>
              <w:jc w:val="center"/>
              <w:rPr>
                <w:rFonts w:ascii="宋体" w:eastAsia="宋体"/>
                <w:color w:val="auto"/>
                <w:sz w:val="21"/>
                <w:highlight w:val="none"/>
              </w:rPr>
            </w:pPr>
            <w:r>
              <w:rPr>
                <w:rFonts w:hint="eastAsia" w:ascii="宋体" w:eastAsia="宋体"/>
                <w:color w:val="auto"/>
                <w:sz w:val="21"/>
                <w:highlight w:val="none"/>
              </w:rPr>
              <w:t>企业资质等级</w:t>
            </w:r>
          </w:p>
        </w:tc>
        <w:tc>
          <w:tcPr>
            <w:tcW w:w="7741" w:type="dxa"/>
            <w:gridSpan w:val="4"/>
          </w:tcPr>
          <w:p>
            <w:pPr>
              <w:pStyle w:val="22"/>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2" w:hRule="atLeast"/>
        </w:trPr>
        <w:tc>
          <w:tcPr>
            <w:tcW w:w="2217" w:type="dxa"/>
          </w:tcPr>
          <w:p>
            <w:pPr>
              <w:pStyle w:val="22"/>
              <w:rPr>
                <w:color w:val="auto"/>
                <w:sz w:val="20"/>
                <w:highlight w:val="none"/>
              </w:rPr>
            </w:pPr>
          </w:p>
          <w:p>
            <w:pPr>
              <w:pStyle w:val="22"/>
              <w:spacing w:before="12"/>
              <w:rPr>
                <w:color w:val="auto"/>
                <w:sz w:val="15"/>
                <w:highlight w:val="none"/>
              </w:rPr>
            </w:pPr>
          </w:p>
          <w:p>
            <w:pPr>
              <w:pStyle w:val="22"/>
              <w:spacing w:line="417" w:lineRule="auto"/>
              <w:ind w:left="162" w:right="153"/>
              <w:rPr>
                <w:rFonts w:ascii="宋体" w:eastAsia="宋体"/>
                <w:color w:val="auto"/>
                <w:sz w:val="21"/>
                <w:highlight w:val="none"/>
              </w:rPr>
            </w:pPr>
            <w:r>
              <w:rPr>
                <w:rFonts w:hint="eastAsia" w:ascii="宋体" w:eastAsia="宋体"/>
                <w:color w:val="auto"/>
                <w:sz w:val="21"/>
                <w:highlight w:val="none"/>
              </w:rPr>
              <w:t>资产构成情况及投资参股的关联企业情况</w:t>
            </w:r>
          </w:p>
        </w:tc>
        <w:tc>
          <w:tcPr>
            <w:tcW w:w="7741" w:type="dxa"/>
            <w:gridSpan w:val="4"/>
          </w:tcPr>
          <w:p>
            <w:pPr>
              <w:pStyle w:val="22"/>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2217" w:type="dxa"/>
          </w:tcPr>
          <w:p>
            <w:pPr>
              <w:pStyle w:val="22"/>
              <w:spacing w:before="151"/>
              <w:ind w:left="456" w:right="451"/>
              <w:jc w:val="center"/>
              <w:rPr>
                <w:rFonts w:ascii="宋体" w:eastAsia="宋体"/>
                <w:color w:val="auto"/>
                <w:sz w:val="21"/>
                <w:highlight w:val="none"/>
              </w:rPr>
            </w:pPr>
            <w:r>
              <w:rPr>
                <w:rFonts w:hint="eastAsia" w:ascii="宋体" w:eastAsia="宋体"/>
                <w:color w:val="auto"/>
                <w:sz w:val="21"/>
                <w:highlight w:val="none"/>
              </w:rPr>
              <w:t>备注</w:t>
            </w:r>
          </w:p>
        </w:tc>
        <w:tc>
          <w:tcPr>
            <w:tcW w:w="7741" w:type="dxa"/>
            <w:gridSpan w:val="4"/>
          </w:tcPr>
          <w:p>
            <w:pPr>
              <w:pStyle w:val="22"/>
              <w:rPr>
                <w:rFonts w:ascii="Times New Roman"/>
                <w:color w:val="auto"/>
                <w:sz w:val="20"/>
                <w:highlight w:val="none"/>
              </w:rPr>
            </w:pPr>
          </w:p>
        </w:tc>
      </w:tr>
    </w:tbl>
    <w:p>
      <w:pPr>
        <w:pStyle w:val="2"/>
        <w:spacing w:before="89"/>
        <w:ind w:left="400"/>
        <w:rPr>
          <w:rFonts w:ascii="黑体" w:eastAsia="黑体"/>
          <w:color w:val="auto"/>
          <w:highlight w:val="none"/>
        </w:rPr>
      </w:pPr>
      <w:r>
        <w:rPr>
          <w:rFonts w:hint="eastAsia" w:ascii="黑体" w:eastAsia="黑体"/>
          <w:color w:val="auto"/>
          <w:highlight w:val="none"/>
        </w:rPr>
        <w:t>注：</w:t>
      </w:r>
    </w:p>
    <w:p>
      <w:pPr>
        <w:pStyle w:val="2"/>
        <w:spacing w:before="91" w:line="321" w:lineRule="auto"/>
        <w:ind w:left="640" w:right="219"/>
        <w:rPr>
          <w:rFonts w:ascii="黑体" w:eastAsia="黑体"/>
          <w:color w:val="auto"/>
          <w:highlight w:val="none"/>
        </w:rPr>
      </w:pPr>
      <w:r>
        <w:rPr>
          <w:rFonts w:hint="eastAsia" w:ascii="黑体" w:eastAsia="黑体"/>
          <w:color w:val="auto"/>
          <w:highlight w:val="none"/>
        </w:rPr>
        <w:t>在本表后应附企业法人营业执照、基本账户开户许可证或基本账户存款信息、资格审查要求的其他证件复印件。</w:t>
      </w:r>
    </w:p>
    <w:p>
      <w:pPr>
        <w:spacing w:line="321" w:lineRule="auto"/>
        <w:rPr>
          <w:color w:val="auto"/>
          <w:highlight w:val="none"/>
        </w:rPr>
        <w:sectPr>
          <w:footerReference r:id="rId11" w:type="default"/>
          <w:pgSz w:w="11910" w:h="16840"/>
          <w:pgMar w:top="1460" w:right="860" w:bottom="1180" w:left="860" w:header="0" w:footer="998" w:gutter="0"/>
          <w:cols w:space="720" w:num="1"/>
        </w:sectPr>
      </w:pPr>
    </w:p>
    <w:p>
      <w:pPr>
        <w:pStyle w:val="8"/>
        <w:spacing w:before="35"/>
        <w:ind w:left="3814" w:right="3300" w:firstLine="0"/>
        <w:jc w:val="center"/>
        <w:rPr>
          <w:color w:val="auto"/>
          <w:highlight w:val="none"/>
        </w:rPr>
      </w:pPr>
      <w:r>
        <w:rPr>
          <w:color w:val="auto"/>
          <w:highlight w:val="none"/>
        </w:rPr>
        <w:t>五、近年类似业绩情况</w:t>
      </w:r>
    </w:p>
    <w:p>
      <w:pPr>
        <w:spacing w:before="8" w:after="1"/>
        <w:rPr>
          <w:color w:val="auto"/>
          <w:sz w:val="19"/>
          <w:highlight w:val="none"/>
        </w:rPr>
      </w:pPr>
    </w:p>
    <w:tbl>
      <w:tblPr>
        <w:tblStyle w:val="1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50"/>
        <w:gridCol w:w="73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2650" w:type="dxa"/>
          </w:tcPr>
          <w:p>
            <w:pPr>
              <w:pStyle w:val="22"/>
              <w:spacing w:before="9"/>
              <w:rPr>
                <w:color w:val="auto"/>
                <w:sz w:val="15"/>
                <w:highlight w:val="none"/>
              </w:rPr>
            </w:pPr>
          </w:p>
          <w:p>
            <w:pPr>
              <w:pStyle w:val="22"/>
              <w:ind w:left="778" w:right="772"/>
              <w:jc w:val="center"/>
              <w:rPr>
                <w:rFonts w:ascii="宋体" w:eastAsia="宋体"/>
                <w:color w:val="auto"/>
                <w:sz w:val="21"/>
                <w:highlight w:val="none"/>
              </w:rPr>
            </w:pPr>
            <w:r>
              <w:rPr>
                <w:rFonts w:hint="eastAsia" w:ascii="宋体" w:eastAsia="宋体"/>
                <w:color w:val="auto"/>
                <w:sz w:val="21"/>
                <w:highlight w:val="none"/>
              </w:rPr>
              <w:t>项目名称</w:t>
            </w:r>
          </w:p>
        </w:tc>
        <w:tc>
          <w:tcPr>
            <w:tcW w:w="7310" w:type="dxa"/>
          </w:tcPr>
          <w:p>
            <w:pPr>
              <w:pStyle w:val="22"/>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650" w:type="dxa"/>
          </w:tcPr>
          <w:p>
            <w:pPr>
              <w:pStyle w:val="22"/>
              <w:spacing w:before="169"/>
              <w:ind w:left="778" w:right="772"/>
              <w:jc w:val="center"/>
              <w:rPr>
                <w:rFonts w:ascii="宋体" w:eastAsia="宋体"/>
                <w:color w:val="auto"/>
                <w:sz w:val="21"/>
                <w:highlight w:val="none"/>
              </w:rPr>
            </w:pPr>
            <w:r>
              <w:rPr>
                <w:rFonts w:hint="eastAsia" w:ascii="宋体" w:eastAsia="宋体"/>
                <w:color w:val="auto"/>
                <w:sz w:val="21"/>
                <w:highlight w:val="none"/>
              </w:rPr>
              <w:t>项目所在地</w:t>
            </w:r>
          </w:p>
        </w:tc>
        <w:tc>
          <w:tcPr>
            <w:tcW w:w="7310" w:type="dxa"/>
          </w:tcPr>
          <w:p>
            <w:pPr>
              <w:pStyle w:val="22"/>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650" w:type="dxa"/>
          </w:tcPr>
          <w:p>
            <w:pPr>
              <w:pStyle w:val="22"/>
              <w:spacing w:before="172"/>
              <w:ind w:left="778" w:right="772"/>
              <w:jc w:val="center"/>
              <w:rPr>
                <w:rFonts w:ascii="宋体" w:eastAsia="宋体"/>
                <w:color w:val="auto"/>
                <w:sz w:val="21"/>
                <w:highlight w:val="none"/>
              </w:rPr>
            </w:pPr>
            <w:r>
              <w:rPr>
                <w:rFonts w:hint="eastAsia" w:ascii="宋体" w:eastAsia="宋体"/>
                <w:color w:val="auto"/>
                <w:sz w:val="21"/>
                <w:highlight w:val="none"/>
              </w:rPr>
              <w:t>业主名称</w:t>
            </w:r>
          </w:p>
        </w:tc>
        <w:tc>
          <w:tcPr>
            <w:tcW w:w="7310" w:type="dxa"/>
          </w:tcPr>
          <w:p>
            <w:pPr>
              <w:pStyle w:val="22"/>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2650" w:type="dxa"/>
          </w:tcPr>
          <w:p>
            <w:pPr>
              <w:pStyle w:val="22"/>
              <w:spacing w:before="170"/>
              <w:ind w:left="778" w:right="772"/>
              <w:jc w:val="center"/>
              <w:rPr>
                <w:rFonts w:ascii="宋体" w:eastAsia="宋体"/>
                <w:color w:val="auto"/>
                <w:sz w:val="21"/>
                <w:highlight w:val="none"/>
              </w:rPr>
            </w:pPr>
            <w:r>
              <w:rPr>
                <w:rFonts w:hint="eastAsia" w:ascii="宋体" w:eastAsia="宋体"/>
                <w:color w:val="auto"/>
                <w:sz w:val="21"/>
                <w:highlight w:val="none"/>
              </w:rPr>
              <w:t>业主地址</w:t>
            </w:r>
          </w:p>
        </w:tc>
        <w:tc>
          <w:tcPr>
            <w:tcW w:w="7310" w:type="dxa"/>
          </w:tcPr>
          <w:p>
            <w:pPr>
              <w:pStyle w:val="22"/>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650" w:type="dxa"/>
          </w:tcPr>
          <w:p>
            <w:pPr>
              <w:pStyle w:val="22"/>
              <w:spacing w:before="173"/>
              <w:ind w:left="778" w:right="772"/>
              <w:jc w:val="center"/>
              <w:rPr>
                <w:rFonts w:ascii="宋体" w:eastAsia="宋体"/>
                <w:color w:val="auto"/>
                <w:sz w:val="21"/>
                <w:highlight w:val="none"/>
              </w:rPr>
            </w:pPr>
            <w:r>
              <w:rPr>
                <w:rFonts w:hint="eastAsia" w:ascii="宋体" w:eastAsia="宋体"/>
                <w:color w:val="auto"/>
                <w:sz w:val="21"/>
                <w:highlight w:val="none"/>
              </w:rPr>
              <w:t>业主电话</w:t>
            </w:r>
          </w:p>
        </w:tc>
        <w:tc>
          <w:tcPr>
            <w:tcW w:w="7310" w:type="dxa"/>
          </w:tcPr>
          <w:p>
            <w:pPr>
              <w:pStyle w:val="22"/>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650" w:type="dxa"/>
          </w:tcPr>
          <w:p>
            <w:pPr>
              <w:pStyle w:val="22"/>
              <w:spacing w:before="169"/>
              <w:ind w:left="778" w:right="772"/>
              <w:jc w:val="center"/>
              <w:rPr>
                <w:rFonts w:ascii="宋体" w:eastAsia="宋体"/>
                <w:color w:val="auto"/>
                <w:sz w:val="21"/>
                <w:highlight w:val="none"/>
              </w:rPr>
            </w:pPr>
            <w:r>
              <w:rPr>
                <w:rFonts w:hint="eastAsia" w:ascii="宋体" w:eastAsia="宋体"/>
                <w:color w:val="auto"/>
                <w:sz w:val="21"/>
                <w:highlight w:val="none"/>
              </w:rPr>
              <w:t>合同价格</w:t>
            </w:r>
          </w:p>
        </w:tc>
        <w:tc>
          <w:tcPr>
            <w:tcW w:w="7310" w:type="dxa"/>
          </w:tcPr>
          <w:p>
            <w:pPr>
              <w:pStyle w:val="22"/>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650" w:type="dxa"/>
          </w:tcPr>
          <w:p>
            <w:pPr>
              <w:pStyle w:val="22"/>
              <w:spacing w:before="166"/>
              <w:ind w:left="778" w:right="772"/>
              <w:jc w:val="center"/>
              <w:rPr>
                <w:rFonts w:ascii="宋体" w:eastAsia="宋体"/>
                <w:color w:val="auto"/>
                <w:sz w:val="21"/>
                <w:highlight w:val="none"/>
              </w:rPr>
            </w:pPr>
            <w:r>
              <w:rPr>
                <w:rFonts w:hint="eastAsia" w:ascii="宋体" w:eastAsia="宋体"/>
                <w:color w:val="auto"/>
                <w:sz w:val="21"/>
                <w:highlight w:val="none"/>
              </w:rPr>
              <w:t>开工日期</w:t>
            </w:r>
          </w:p>
        </w:tc>
        <w:tc>
          <w:tcPr>
            <w:tcW w:w="7310" w:type="dxa"/>
          </w:tcPr>
          <w:p>
            <w:pPr>
              <w:pStyle w:val="22"/>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650" w:type="dxa"/>
          </w:tcPr>
          <w:p>
            <w:pPr>
              <w:pStyle w:val="22"/>
              <w:spacing w:before="178"/>
              <w:ind w:left="778" w:right="772"/>
              <w:jc w:val="center"/>
              <w:rPr>
                <w:rFonts w:ascii="宋体" w:eastAsia="宋体"/>
                <w:color w:val="auto"/>
                <w:sz w:val="21"/>
                <w:highlight w:val="none"/>
              </w:rPr>
            </w:pPr>
            <w:r>
              <w:rPr>
                <w:rFonts w:hint="eastAsia" w:ascii="宋体" w:eastAsia="宋体"/>
                <w:color w:val="auto"/>
                <w:sz w:val="21"/>
                <w:highlight w:val="none"/>
              </w:rPr>
              <w:t>完成日期</w:t>
            </w:r>
          </w:p>
        </w:tc>
        <w:tc>
          <w:tcPr>
            <w:tcW w:w="7310" w:type="dxa"/>
          </w:tcPr>
          <w:p>
            <w:pPr>
              <w:pStyle w:val="22"/>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2650" w:type="dxa"/>
          </w:tcPr>
          <w:p>
            <w:pPr>
              <w:pStyle w:val="22"/>
              <w:spacing w:before="167"/>
              <w:ind w:left="778" w:right="772"/>
              <w:jc w:val="center"/>
              <w:rPr>
                <w:rFonts w:ascii="宋体" w:eastAsia="宋体"/>
                <w:color w:val="auto"/>
                <w:sz w:val="21"/>
                <w:highlight w:val="none"/>
              </w:rPr>
            </w:pPr>
            <w:r>
              <w:rPr>
                <w:rFonts w:hint="eastAsia" w:ascii="宋体" w:eastAsia="宋体"/>
                <w:color w:val="auto"/>
                <w:sz w:val="21"/>
                <w:highlight w:val="none"/>
              </w:rPr>
              <w:t>承担的工作</w:t>
            </w:r>
          </w:p>
        </w:tc>
        <w:tc>
          <w:tcPr>
            <w:tcW w:w="7310" w:type="dxa"/>
          </w:tcPr>
          <w:p>
            <w:pPr>
              <w:pStyle w:val="22"/>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2650" w:type="dxa"/>
          </w:tcPr>
          <w:p>
            <w:pPr>
              <w:pStyle w:val="22"/>
              <w:spacing w:before="170"/>
              <w:ind w:left="778" w:right="772"/>
              <w:jc w:val="center"/>
              <w:rPr>
                <w:rFonts w:ascii="宋体" w:eastAsia="宋体"/>
                <w:color w:val="auto"/>
                <w:sz w:val="21"/>
                <w:highlight w:val="none"/>
              </w:rPr>
            </w:pPr>
            <w:r>
              <w:rPr>
                <w:rFonts w:hint="eastAsia" w:ascii="宋体" w:eastAsia="宋体"/>
                <w:color w:val="auto"/>
                <w:sz w:val="21"/>
                <w:highlight w:val="none"/>
              </w:rPr>
              <w:t>项目负责人</w:t>
            </w:r>
          </w:p>
        </w:tc>
        <w:tc>
          <w:tcPr>
            <w:tcW w:w="7310" w:type="dxa"/>
          </w:tcPr>
          <w:p>
            <w:pPr>
              <w:pStyle w:val="22"/>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2650" w:type="dxa"/>
          </w:tcPr>
          <w:p>
            <w:pPr>
              <w:pStyle w:val="22"/>
              <w:spacing w:before="170"/>
              <w:ind w:left="778" w:right="772"/>
              <w:jc w:val="center"/>
              <w:rPr>
                <w:rFonts w:ascii="宋体" w:eastAsia="宋体"/>
                <w:color w:val="auto"/>
                <w:sz w:val="21"/>
                <w:highlight w:val="none"/>
              </w:rPr>
            </w:pPr>
            <w:r>
              <w:rPr>
                <w:rFonts w:hint="eastAsia" w:ascii="宋体" w:eastAsia="宋体"/>
                <w:color w:val="auto"/>
                <w:sz w:val="21"/>
                <w:highlight w:val="none"/>
              </w:rPr>
              <w:t>项目描述</w:t>
            </w:r>
          </w:p>
        </w:tc>
        <w:tc>
          <w:tcPr>
            <w:tcW w:w="7310" w:type="dxa"/>
          </w:tcPr>
          <w:p>
            <w:pPr>
              <w:pStyle w:val="22"/>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2650" w:type="dxa"/>
          </w:tcPr>
          <w:p>
            <w:pPr>
              <w:pStyle w:val="22"/>
              <w:spacing w:before="166"/>
              <w:ind w:left="778" w:right="769"/>
              <w:jc w:val="center"/>
              <w:rPr>
                <w:rFonts w:ascii="宋体" w:eastAsia="宋体"/>
                <w:color w:val="auto"/>
                <w:sz w:val="21"/>
                <w:highlight w:val="none"/>
              </w:rPr>
            </w:pPr>
            <w:r>
              <w:rPr>
                <w:rFonts w:hint="eastAsia" w:ascii="宋体" w:eastAsia="宋体"/>
                <w:color w:val="auto"/>
                <w:sz w:val="21"/>
                <w:highlight w:val="none"/>
              </w:rPr>
              <w:t>备注</w:t>
            </w:r>
          </w:p>
        </w:tc>
        <w:tc>
          <w:tcPr>
            <w:tcW w:w="7310" w:type="dxa"/>
          </w:tcPr>
          <w:p>
            <w:pPr>
              <w:pStyle w:val="22"/>
              <w:rPr>
                <w:rFonts w:ascii="Times New Roman"/>
                <w:color w:val="auto"/>
                <w:sz w:val="20"/>
                <w:highlight w:val="none"/>
              </w:rPr>
            </w:pPr>
          </w:p>
        </w:tc>
      </w:tr>
    </w:tbl>
    <w:p>
      <w:pPr>
        <w:pStyle w:val="2"/>
        <w:spacing w:before="90"/>
        <w:ind w:left="220"/>
        <w:rPr>
          <w:rFonts w:ascii="黑体" w:eastAsia="黑体"/>
          <w:color w:val="auto"/>
          <w:highlight w:val="none"/>
        </w:rPr>
      </w:pPr>
      <w:r>
        <w:rPr>
          <w:rFonts w:hint="eastAsia" w:ascii="黑体" w:eastAsia="黑体"/>
          <w:color w:val="auto"/>
          <w:highlight w:val="none"/>
        </w:rPr>
        <w:t>注：</w:t>
      </w:r>
    </w:p>
    <w:p>
      <w:pPr>
        <w:pStyle w:val="2"/>
        <w:spacing w:before="91"/>
        <w:ind w:left="640"/>
        <w:rPr>
          <w:rFonts w:ascii="黑体" w:eastAsia="黑体"/>
          <w:color w:val="auto"/>
          <w:highlight w:val="none"/>
        </w:rPr>
      </w:pPr>
      <w:r>
        <w:rPr>
          <w:rFonts w:ascii="Times New Roman" w:eastAsia="Times New Roman"/>
          <w:color w:val="auto"/>
          <w:highlight w:val="none"/>
        </w:rPr>
        <w:t>1</w:t>
      </w:r>
      <w:r>
        <w:rPr>
          <w:rFonts w:hint="eastAsia" w:ascii="黑体" w:eastAsia="黑体"/>
          <w:color w:val="auto"/>
          <w:highlight w:val="none"/>
        </w:rPr>
        <w:t>、每张表格只填写一个项目，并标明序号。</w:t>
      </w:r>
    </w:p>
    <w:p>
      <w:pPr>
        <w:pStyle w:val="2"/>
        <w:spacing w:before="91" w:line="321" w:lineRule="auto"/>
        <w:ind w:left="640" w:right="219"/>
        <w:rPr>
          <w:rFonts w:ascii="黑体" w:eastAsia="黑体"/>
          <w:color w:val="auto"/>
          <w:highlight w:val="none"/>
        </w:rPr>
      </w:pPr>
      <w:r>
        <w:rPr>
          <w:rFonts w:ascii="Times New Roman" w:eastAsia="Times New Roman"/>
          <w:color w:val="auto"/>
          <w:w w:val="95"/>
          <w:highlight w:val="none"/>
        </w:rPr>
        <w:t>2</w:t>
      </w:r>
      <w:r>
        <w:rPr>
          <w:rFonts w:hint="eastAsia" w:ascii="黑体" w:eastAsia="黑体"/>
          <w:color w:val="auto"/>
          <w:spacing w:val="-3"/>
          <w:w w:val="95"/>
          <w:highlight w:val="none"/>
        </w:rPr>
        <w:t>、业绩证明材料要求：近</w:t>
      </w:r>
      <w:r>
        <w:rPr>
          <w:rFonts w:ascii="Times New Roman" w:eastAsia="Times New Roman"/>
          <w:color w:val="auto"/>
          <w:w w:val="95"/>
          <w:highlight w:val="none"/>
        </w:rPr>
        <w:t>3</w:t>
      </w:r>
      <w:r>
        <w:rPr>
          <w:rFonts w:hint="eastAsia" w:ascii="黑体" w:eastAsia="黑体"/>
          <w:color w:val="auto"/>
          <w:w w:val="95"/>
          <w:highlight w:val="none"/>
        </w:rPr>
        <w:t>年独立完成过至少</w:t>
      </w:r>
      <w:r>
        <w:rPr>
          <w:rFonts w:ascii="Times New Roman" w:eastAsia="Times New Roman"/>
          <w:color w:val="auto"/>
          <w:w w:val="95"/>
          <w:highlight w:val="none"/>
        </w:rPr>
        <w:t>2</w:t>
      </w:r>
      <w:r>
        <w:rPr>
          <w:rFonts w:hint="eastAsia" w:ascii="黑体" w:eastAsia="黑体"/>
          <w:color w:val="auto"/>
          <w:spacing w:val="-1"/>
          <w:w w:val="95"/>
          <w:highlight w:val="none"/>
        </w:rPr>
        <w:t>个试验检测仪器供货的业绩</w:t>
      </w:r>
      <w:r>
        <w:rPr>
          <w:rFonts w:hint="eastAsia" w:ascii="黑体" w:eastAsia="黑体"/>
          <w:color w:val="auto"/>
          <w:w w:val="95"/>
          <w:highlight w:val="none"/>
        </w:rPr>
        <w:t>（从</w:t>
      </w:r>
      <w:r>
        <w:rPr>
          <w:rFonts w:hint="eastAsia" w:ascii="Times New Roman" w:eastAsia="宋体"/>
          <w:color w:val="auto"/>
          <w:w w:val="95"/>
          <w:highlight w:val="none"/>
          <w:lang w:val="en-US" w:eastAsia="zh-CN"/>
        </w:rPr>
        <w:t>2020</w:t>
      </w:r>
      <w:r>
        <w:rPr>
          <w:rFonts w:hint="eastAsia" w:ascii="黑体" w:eastAsia="黑体"/>
          <w:color w:val="auto"/>
          <w:w w:val="95"/>
          <w:highlight w:val="none"/>
        </w:rPr>
        <w:t>年</w:t>
      </w:r>
      <w:r>
        <w:rPr>
          <w:rFonts w:ascii="Times New Roman" w:eastAsia="Times New Roman"/>
          <w:color w:val="auto"/>
          <w:w w:val="95"/>
          <w:highlight w:val="none"/>
        </w:rPr>
        <w:t>1</w:t>
      </w:r>
      <w:r>
        <w:rPr>
          <w:rFonts w:hint="eastAsia" w:ascii="黑体" w:eastAsia="黑体"/>
          <w:color w:val="auto"/>
          <w:w w:val="95"/>
          <w:highlight w:val="none"/>
        </w:rPr>
        <w:t>月</w:t>
      </w:r>
      <w:r>
        <w:rPr>
          <w:rFonts w:ascii="Times New Roman" w:eastAsia="Times New Roman"/>
          <w:color w:val="auto"/>
          <w:w w:val="95"/>
          <w:highlight w:val="none"/>
        </w:rPr>
        <w:t>1</w:t>
      </w:r>
      <w:r>
        <w:rPr>
          <w:rFonts w:hint="eastAsia" w:ascii="黑体" w:eastAsia="黑体"/>
          <w:color w:val="auto"/>
          <w:spacing w:val="-1"/>
          <w:w w:val="95"/>
          <w:highlight w:val="none"/>
        </w:rPr>
        <w:t xml:space="preserve">日开始，以   </w:t>
      </w:r>
      <w:r>
        <w:rPr>
          <w:rFonts w:hint="eastAsia" w:ascii="黑体" w:eastAsia="黑体"/>
          <w:color w:val="auto"/>
          <w:spacing w:val="-1"/>
          <w:highlight w:val="none"/>
        </w:rPr>
        <w:t>合同签订时间为准）</w:t>
      </w:r>
    </w:p>
    <w:p>
      <w:pPr>
        <w:pStyle w:val="2"/>
        <w:spacing w:line="321" w:lineRule="auto"/>
        <w:ind w:left="640" w:right="219"/>
        <w:rPr>
          <w:rFonts w:ascii="黑体" w:eastAsia="黑体"/>
          <w:color w:val="auto"/>
          <w:highlight w:val="none"/>
        </w:rPr>
      </w:pPr>
      <w:r>
        <w:rPr>
          <w:rFonts w:ascii="Times New Roman" w:eastAsia="Times New Roman"/>
          <w:color w:val="auto"/>
          <w:w w:val="95"/>
          <w:highlight w:val="none"/>
        </w:rPr>
        <w:t>3</w:t>
      </w:r>
      <w:r>
        <w:rPr>
          <w:rFonts w:hint="eastAsia" w:ascii="黑体" w:eastAsia="黑体"/>
          <w:color w:val="auto"/>
          <w:spacing w:val="-5"/>
          <w:w w:val="95"/>
          <w:highlight w:val="none"/>
        </w:rPr>
        <w:t>、如近年来，供应商法人机构发生合法变更或重组或法人名称变更时，应提供相关部门的合法批件或</w:t>
      </w:r>
      <w:r>
        <w:rPr>
          <w:rFonts w:hint="eastAsia" w:ascii="黑体" w:eastAsia="黑体"/>
          <w:color w:val="auto"/>
          <w:spacing w:val="-5"/>
          <w:highlight w:val="none"/>
        </w:rPr>
        <w:t>其他相关证明材料来证明其所附业绩的继承性。</w:t>
      </w:r>
    </w:p>
    <w:p>
      <w:pPr>
        <w:spacing w:line="321" w:lineRule="auto"/>
        <w:rPr>
          <w:color w:val="auto"/>
          <w:highlight w:val="none"/>
        </w:rPr>
        <w:sectPr>
          <w:footerReference r:id="rId12" w:type="default"/>
          <w:pgSz w:w="11910" w:h="16840"/>
          <w:pgMar w:top="1520" w:right="860" w:bottom="1180" w:left="860" w:header="0" w:footer="998" w:gutter="0"/>
          <w:cols w:space="720" w:num="1"/>
        </w:sectPr>
      </w:pPr>
    </w:p>
    <w:p>
      <w:pPr>
        <w:pStyle w:val="8"/>
        <w:spacing w:before="35"/>
        <w:ind w:left="3417" w:right="3418" w:firstLine="0"/>
        <w:jc w:val="center"/>
        <w:rPr>
          <w:color w:val="auto"/>
          <w:highlight w:val="none"/>
        </w:rPr>
      </w:pPr>
      <w:r>
        <w:rPr>
          <w:color w:val="auto"/>
          <w:highlight w:val="none"/>
        </w:rPr>
        <w:t>六、信誉情况</w:t>
      </w:r>
    </w:p>
    <w:p>
      <w:pPr>
        <w:rPr>
          <w:color w:val="auto"/>
          <w:sz w:val="20"/>
          <w:highlight w:val="none"/>
        </w:rPr>
      </w:pPr>
    </w:p>
    <w:p>
      <w:pPr>
        <w:spacing w:before="8"/>
        <w:rPr>
          <w:color w:val="auto"/>
          <w:sz w:val="24"/>
          <w:highlight w:val="none"/>
        </w:rPr>
      </w:pPr>
    </w:p>
    <w:tbl>
      <w:tblPr>
        <w:tblStyle w:val="17"/>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80"/>
        <w:gridCol w:w="2382"/>
        <w:gridCol w:w="2597"/>
        <w:gridCol w:w="25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trPr>
        <w:tc>
          <w:tcPr>
            <w:tcW w:w="2380" w:type="dxa"/>
            <w:tcBorders>
              <w:right w:val="nil"/>
            </w:tcBorders>
          </w:tcPr>
          <w:p>
            <w:pPr>
              <w:pStyle w:val="22"/>
              <w:spacing w:before="5"/>
              <w:rPr>
                <w:color w:val="auto"/>
                <w:sz w:val="26"/>
                <w:highlight w:val="none"/>
              </w:rPr>
            </w:pPr>
          </w:p>
          <w:p>
            <w:pPr>
              <w:pStyle w:val="22"/>
              <w:ind w:right="113"/>
              <w:jc w:val="right"/>
              <w:rPr>
                <w:rFonts w:ascii="宋体" w:eastAsia="宋体"/>
                <w:color w:val="auto"/>
                <w:sz w:val="24"/>
                <w:highlight w:val="none"/>
              </w:rPr>
            </w:pPr>
            <w:r>
              <w:rPr>
                <w:rFonts w:hint="eastAsia" w:ascii="宋体" w:eastAsia="宋体"/>
                <w:color w:val="auto"/>
                <w:sz w:val="24"/>
                <w:highlight w:val="none"/>
              </w:rPr>
              <w:t>项</w:t>
            </w:r>
          </w:p>
        </w:tc>
        <w:tc>
          <w:tcPr>
            <w:tcW w:w="2382" w:type="dxa"/>
            <w:tcBorders>
              <w:left w:val="nil"/>
            </w:tcBorders>
          </w:tcPr>
          <w:p>
            <w:pPr>
              <w:pStyle w:val="22"/>
              <w:spacing w:before="5"/>
              <w:rPr>
                <w:color w:val="auto"/>
                <w:sz w:val="26"/>
                <w:highlight w:val="none"/>
              </w:rPr>
            </w:pPr>
          </w:p>
          <w:p>
            <w:pPr>
              <w:pStyle w:val="22"/>
              <w:ind w:left="124"/>
              <w:rPr>
                <w:rFonts w:ascii="宋体" w:eastAsia="宋体"/>
                <w:color w:val="auto"/>
                <w:sz w:val="24"/>
                <w:highlight w:val="none"/>
              </w:rPr>
            </w:pPr>
            <w:r>
              <w:rPr>
                <w:rFonts w:hint="eastAsia" w:ascii="宋体" w:eastAsia="宋体"/>
                <w:color w:val="auto"/>
                <w:sz w:val="24"/>
                <w:highlight w:val="none"/>
              </w:rPr>
              <w:t>目</w:t>
            </w:r>
          </w:p>
        </w:tc>
        <w:tc>
          <w:tcPr>
            <w:tcW w:w="5195" w:type="dxa"/>
            <w:gridSpan w:val="2"/>
          </w:tcPr>
          <w:p>
            <w:pPr>
              <w:pStyle w:val="22"/>
              <w:spacing w:before="5"/>
              <w:rPr>
                <w:color w:val="auto"/>
                <w:sz w:val="26"/>
                <w:highlight w:val="none"/>
              </w:rPr>
            </w:pPr>
          </w:p>
          <w:p>
            <w:pPr>
              <w:pStyle w:val="22"/>
              <w:ind w:left="1735" w:right="1729"/>
              <w:jc w:val="center"/>
              <w:rPr>
                <w:rFonts w:ascii="宋体" w:eastAsia="宋体"/>
                <w:color w:val="auto"/>
                <w:sz w:val="24"/>
                <w:highlight w:val="none"/>
              </w:rPr>
            </w:pPr>
            <w:r>
              <w:rPr>
                <w:rFonts w:hint="eastAsia" w:ascii="宋体" w:eastAsia="宋体"/>
                <w:color w:val="auto"/>
                <w:sz w:val="24"/>
                <w:highlight w:val="none"/>
              </w:rPr>
              <w:t>供应商情况说明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7" w:hRule="atLeast"/>
        </w:trPr>
        <w:tc>
          <w:tcPr>
            <w:tcW w:w="4762" w:type="dxa"/>
            <w:gridSpan w:val="2"/>
          </w:tcPr>
          <w:p>
            <w:pPr>
              <w:pStyle w:val="22"/>
              <w:spacing w:before="212" w:line="364" w:lineRule="auto"/>
              <w:ind w:left="107" w:right="51"/>
              <w:rPr>
                <w:rFonts w:ascii="宋体" w:eastAsia="宋体"/>
                <w:color w:val="auto"/>
                <w:sz w:val="24"/>
                <w:highlight w:val="none"/>
              </w:rPr>
            </w:pPr>
            <w:r>
              <w:rPr>
                <w:rFonts w:hint="eastAsia" w:ascii="宋体" w:eastAsia="宋体"/>
                <w:color w:val="auto"/>
                <w:sz w:val="24"/>
                <w:highlight w:val="none"/>
              </w:rPr>
              <w:t>是否被责令停业，暂扣或吊销执照，或吊销资质证书</w:t>
            </w:r>
          </w:p>
        </w:tc>
        <w:tc>
          <w:tcPr>
            <w:tcW w:w="2597" w:type="dxa"/>
            <w:tcBorders>
              <w:right w:val="nil"/>
            </w:tcBorders>
          </w:tcPr>
          <w:p>
            <w:pPr>
              <w:pStyle w:val="22"/>
              <w:spacing w:before="10"/>
              <w:rPr>
                <w:color w:val="auto"/>
                <w:sz w:val="33"/>
                <w:highlight w:val="none"/>
              </w:rPr>
            </w:pPr>
          </w:p>
          <w:p>
            <w:pPr>
              <w:pStyle w:val="22"/>
              <w:ind w:right="292"/>
              <w:jc w:val="right"/>
              <w:rPr>
                <w:rFonts w:ascii="Times New Roman" w:hAnsi="Times New Roman" w:eastAsia="Times New Roman"/>
                <w:b/>
                <w:color w:val="auto"/>
                <w:sz w:val="28"/>
                <w:highlight w:val="none"/>
              </w:rPr>
            </w:pPr>
            <w:r>
              <w:rPr>
                <w:rFonts w:hint="eastAsia" w:ascii="宋体" w:hAnsi="宋体" w:eastAsia="宋体"/>
                <w:color w:val="auto"/>
                <w:sz w:val="24"/>
                <w:highlight w:val="none"/>
              </w:rPr>
              <w:t xml:space="preserve">是 </w:t>
            </w:r>
            <w:r>
              <w:rPr>
                <w:rFonts w:ascii="Times New Roman" w:hAnsi="Times New Roman" w:eastAsia="Times New Roman"/>
                <w:b/>
                <w:color w:val="auto"/>
                <w:sz w:val="28"/>
                <w:highlight w:val="none"/>
              </w:rPr>
              <w:t>□</w:t>
            </w:r>
          </w:p>
        </w:tc>
        <w:tc>
          <w:tcPr>
            <w:tcW w:w="2598" w:type="dxa"/>
            <w:tcBorders>
              <w:left w:val="nil"/>
            </w:tcBorders>
          </w:tcPr>
          <w:p>
            <w:pPr>
              <w:pStyle w:val="22"/>
              <w:spacing w:before="10"/>
              <w:rPr>
                <w:color w:val="auto"/>
                <w:sz w:val="33"/>
                <w:highlight w:val="none"/>
              </w:rPr>
            </w:pPr>
          </w:p>
          <w:p>
            <w:pPr>
              <w:pStyle w:val="22"/>
              <w:ind w:left="303"/>
              <w:rPr>
                <w:rFonts w:ascii="Times New Roman" w:hAnsi="Times New Roman" w:eastAsia="Times New Roman"/>
                <w:b/>
                <w:color w:val="auto"/>
                <w:sz w:val="28"/>
                <w:highlight w:val="none"/>
              </w:rPr>
            </w:pPr>
            <w:r>
              <w:rPr>
                <w:rFonts w:hint="eastAsia" w:ascii="宋体" w:hAnsi="宋体" w:eastAsia="宋体"/>
                <w:color w:val="auto"/>
                <w:sz w:val="24"/>
                <w:highlight w:val="none"/>
              </w:rPr>
              <w:t xml:space="preserve">否 </w:t>
            </w:r>
            <w:r>
              <w:rPr>
                <w:rFonts w:ascii="Times New Roman" w:hAnsi="Times New Roman" w:eastAsia="Times New Roman"/>
                <w:b/>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5" w:hRule="atLeast"/>
        </w:trPr>
        <w:tc>
          <w:tcPr>
            <w:tcW w:w="4762" w:type="dxa"/>
            <w:gridSpan w:val="2"/>
          </w:tcPr>
          <w:p>
            <w:pPr>
              <w:pStyle w:val="22"/>
              <w:spacing w:before="6"/>
              <w:rPr>
                <w:color w:val="auto"/>
                <w:sz w:val="26"/>
                <w:highlight w:val="none"/>
              </w:rPr>
            </w:pPr>
          </w:p>
          <w:p>
            <w:pPr>
              <w:pStyle w:val="22"/>
              <w:spacing w:line="364" w:lineRule="auto"/>
              <w:ind w:left="107" w:right="51"/>
              <w:rPr>
                <w:rFonts w:ascii="宋体" w:eastAsia="宋体"/>
                <w:color w:val="auto"/>
                <w:sz w:val="24"/>
                <w:highlight w:val="none"/>
              </w:rPr>
            </w:pPr>
            <w:r>
              <w:rPr>
                <w:rFonts w:hint="eastAsia" w:ascii="宋体" w:eastAsia="宋体"/>
                <w:color w:val="auto"/>
                <w:sz w:val="24"/>
                <w:highlight w:val="none"/>
              </w:rPr>
              <w:t>是否进入清算程序，或被宣告破产，或其他丧失履约能力的情形</w:t>
            </w:r>
          </w:p>
        </w:tc>
        <w:tc>
          <w:tcPr>
            <w:tcW w:w="2597" w:type="dxa"/>
            <w:tcBorders>
              <w:right w:val="nil"/>
            </w:tcBorders>
          </w:tcPr>
          <w:p>
            <w:pPr>
              <w:pStyle w:val="22"/>
              <w:spacing w:before="12"/>
              <w:rPr>
                <w:color w:val="auto"/>
                <w:sz w:val="43"/>
                <w:highlight w:val="none"/>
              </w:rPr>
            </w:pPr>
          </w:p>
          <w:p>
            <w:pPr>
              <w:pStyle w:val="22"/>
              <w:ind w:right="292"/>
              <w:jc w:val="right"/>
              <w:rPr>
                <w:rFonts w:ascii="Times New Roman" w:hAnsi="Times New Roman" w:eastAsia="Times New Roman"/>
                <w:b/>
                <w:color w:val="auto"/>
                <w:sz w:val="28"/>
                <w:highlight w:val="none"/>
              </w:rPr>
            </w:pPr>
            <w:r>
              <w:rPr>
                <w:rFonts w:hint="eastAsia" w:ascii="宋体" w:hAnsi="宋体" w:eastAsia="宋体"/>
                <w:color w:val="auto"/>
                <w:sz w:val="24"/>
                <w:highlight w:val="none"/>
              </w:rPr>
              <w:t xml:space="preserve">是 </w:t>
            </w:r>
            <w:r>
              <w:rPr>
                <w:rFonts w:ascii="Times New Roman" w:hAnsi="Times New Roman" w:eastAsia="Times New Roman"/>
                <w:b/>
                <w:color w:val="auto"/>
                <w:sz w:val="28"/>
                <w:highlight w:val="none"/>
              </w:rPr>
              <w:t>□</w:t>
            </w:r>
          </w:p>
        </w:tc>
        <w:tc>
          <w:tcPr>
            <w:tcW w:w="2598" w:type="dxa"/>
            <w:tcBorders>
              <w:left w:val="nil"/>
            </w:tcBorders>
          </w:tcPr>
          <w:p>
            <w:pPr>
              <w:pStyle w:val="22"/>
              <w:spacing w:before="12"/>
              <w:rPr>
                <w:color w:val="auto"/>
                <w:sz w:val="43"/>
                <w:highlight w:val="none"/>
              </w:rPr>
            </w:pPr>
          </w:p>
          <w:p>
            <w:pPr>
              <w:pStyle w:val="22"/>
              <w:ind w:left="303"/>
              <w:rPr>
                <w:rFonts w:ascii="Times New Roman" w:hAnsi="Times New Roman" w:eastAsia="Times New Roman"/>
                <w:b/>
                <w:color w:val="auto"/>
                <w:sz w:val="28"/>
                <w:highlight w:val="none"/>
              </w:rPr>
            </w:pPr>
            <w:r>
              <w:rPr>
                <w:rFonts w:hint="eastAsia" w:ascii="宋体" w:hAnsi="宋体" w:eastAsia="宋体"/>
                <w:color w:val="auto"/>
                <w:sz w:val="24"/>
                <w:highlight w:val="none"/>
              </w:rPr>
              <w:t xml:space="preserve">否 </w:t>
            </w:r>
            <w:r>
              <w:rPr>
                <w:rFonts w:ascii="Times New Roman" w:hAnsi="Times New Roman" w:eastAsia="Times New Roman"/>
                <w:b/>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4762" w:type="dxa"/>
            <w:gridSpan w:val="2"/>
          </w:tcPr>
          <w:p>
            <w:pPr>
              <w:pStyle w:val="22"/>
              <w:spacing w:before="81"/>
              <w:ind w:left="107"/>
              <w:rPr>
                <w:rFonts w:ascii="宋体" w:eastAsia="宋体"/>
                <w:color w:val="auto"/>
                <w:sz w:val="24"/>
                <w:highlight w:val="none"/>
              </w:rPr>
            </w:pPr>
            <w:r>
              <w:rPr>
                <w:rFonts w:hint="eastAsia" w:ascii="宋体" w:eastAsia="宋体"/>
                <w:color w:val="auto"/>
                <w:spacing w:val="-31"/>
                <w:sz w:val="24"/>
                <w:highlight w:val="none"/>
              </w:rPr>
              <w:t>是 否 在 国 家 企 业 信 用 信 息 公 示 系 统</w:t>
            </w:r>
          </w:p>
          <w:p>
            <w:pPr>
              <w:pStyle w:val="22"/>
              <w:spacing w:before="9" w:line="460" w:lineRule="atLeast"/>
              <w:ind w:left="107" w:right="97" w:hanging="120"/>
              <w:rPr>
                <w:rFonts w:ascii="宋体" w:eastAsia="宋体"/>
                <w:color w:val="auto"/>
                <w:sz w:val="24"/>
                <w:highlight w:val="none"/>
              </w:rPr>
            </w:pPr>
            <w:r>
              <w:rPr>
                <w:rFonts w:hint="eastAsia" w:ascii="宋体" w:eastAsia="宋体"/>
                <w:color w:val="auto"/>
                <w:sz w:val="24"/>
                <w:highlight w:val="none"/>
              </w:rPr>
              <w:t>（</w:t>
            </w:r>
            <w:r>
              <w:rPr>
                <w:color w:val="auto"/>
                <w:highlight w:val="none"/>
              </w:rPr>
              <w:fldChar w:fldCharType="begin"/>
            </w:r>
            <w:r>
              <w:rPr>
                <w:color w:val="auto"/>
                <w:highlight w:val="none"/>
              </w:rPr>
              <w:instrText xml:space="preserve"> HYPERLINK "http://www.gsxt.gov.cn/" \h </w:instrText>
            </w:r>
            <w:r>
              <w:rPr>
                <w:color w:val="auto"/>
                <w:highlight w:val="none"/>
              </w:rPr>
              <w:fldChar w:fldCharType="separate"/>
            </w:r>
            <w:r>
              <w:rPr>
                <w:rFonts w:ascii="Times New Roman" w:eastAsia="Times New Roman"/>
                <w:color w:val="auto"/>
                <w:sz w:val="24"/>
                <w:highlight w:val="none"/>
              </w:rPr>
              <w:t>http://www.gsxt.gov.cn</w:t>
            </w:r>
            <w:r>
              <w:rPr>
                <w:rFonts w:ascii="Times New Roman" w:eastAsia="Times New Roman"/>
                <w:color w:val="auto"/>
                <w:sz w:val="24"/>
                <w:highlight w:val="none"/>
              </w:rPr>
              <w:fldChar w:fldCharType="end"/>
            </w:r>
            <w:r>
              <w:rPr>
                <w:rFonts w:hint="eastAsia" w:ascii="宋体" w:eastAsia="宋体"/>
                <w:color w:val="auto"/>
                <w:sz w:val="24"/>
                <w:highlight w:val="none"/>
              </w:rPr>
              <w:t>）中被列入严重违法失信企业名单</w:t>
            </w:r>
          </w:p>
        </w:tc>
        <w:tc>
          <w:tcPr>
            <w:tcW w:w="2597" w:type="dxa"/>
            <w:tcBorders>
              <w:right w:val="nil"/>
            </w:tcBorders>
          </w:tcPr>
          <w:p>
            <w:pPr>
              <w:pStyle w:val="22"/>
              <w:spacing w:before="12"/>
              <w:rPr>
                <w:color w:val="auto"/>
                <w:sz w:val="41"/>
                <w:highlight w:val="none"/>
              </w:rPr>
            </w:pPr>
          </w:p>
          <w:p>
            <w:pPr>
              <w:pStyle w:val="22"/>
              <w:ind w:right="292"/>
              <w:jc w:val="right"/>
              <w:rPr>
                <w:rFonts w:ascii="Times New Roman" w:hAnsi="Times New Roman" w:eastAsia="Times New Roman"/>
                <w:b/>
                <w:color w:val="auto"/>
                <w:sz w:val="28"/>
                <w:highlight w:val="none"/>
              </w:rPr>
            </w:pPr>
            <w:r>
              <w:rPr>
                <w:rFonts w:hint="eastAsia" w:ascii="宋体" w:hAnsi="宋体" w:eastAsia="宋体"/>
                <w:color w:val="auto"/>
                <w:sz w:val="24"/>
                <w:highlight w:val="none"/>
              </w:rPr>
              <w:t xml:space="preserve">是 </w:t>
            </w:r>
            <w:r>
              <w:rPr>
                <w:rFonts w:ascii="Times New Roman" w:hAnsi="Times New Roman" w:eastAsia="Times New Roman"/>
                <w:b/>
                <w:color w:val="auto"/>
                <w:sz w:val="28"/>
                <w:highlight w:val="none"/>
              </w:rPr>
              <w:t>□</w:t>
            </w:r>
          </w:p>
        </w:tc>
        <w:tc>
          <w:tcPr>
            <w:tcW w:w="2598" w:type="dxa"/>
            <w:tcBorders>
              <w:left w:val="nil"/>
            </w:tcBorders>
          </w:tcPr>
          <w:p>
            <w:pPr>
              <w:pStyle w:val="22"/>
              <w:spacing w:before="12"/>
              <w:rPr>
                <w:color w:val="auto"/>
                <w:sz w:val="41"/>
                <w:highlight w:val="none"/>
              </w:rPr>
            </w:pPr>
          </w:p>
          <w:p>
            <w:pPr>
              <w:pStyle w:val="22"/>
              <w:ind w:left="303"/>
              <w:rPr>
                <w:rFonts w:ascii="Times New Roman" w:hAnsi="Times New Roman" w:eastAsia="Times New Roman"/>
                <w:b/>
                <w:color w:val="auto"/>
                <w:sz w:val="28"/>
                <w:highlight w:val="none"/>
              </w:rPr>
            </w:pPr>
            <w:r>
              <w:rPr>
                <w:rFonts w:hint="eastAsia" w:ascii="宋体" w:hAnsi="宋体" w:eastAsia="宋体"/>
                <w:color w:val="auto"/>
                <w:sz w:val="24"/>
                <w:highlight w:val="none"/>
              </w:rPr>
              <w:t xml:space="preserve">否 </w:t>
            </w:r>
            <w:r>
              <w:rPr>
                <w:rFonts w:ascii="Times New Roman" w:hAnsi="Times New Roman" w:eastAsia="Times New Roman"/>
                <w:b/>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4762" w:type="dxa"/>
            <w:gridSpan w:val="2"/>
          </w:tcPr>
          <w:p>
            <w:pPr>
              <w:pStyle w:val="22"/>
              <w:tabs>
                <w:tab w:val="left" w:pos="565"/>
                <w:tab w:val="left" w:pos="1021"/>
                <w:tab w:val="left" w:pos="1477"/>
                <w:tab w:val="left" w:pos="1801"/>
                <w:tab w:val="left" w:pos="2259"/>
                <w:tab w:val="left" w:pos="2715"/>
                <w:tab w:val="left" w:pos="3174"/>
                <w:tab w:val="left" w:pos="3632"/>
                <w:tab w:val="left" w:pos="3956"/>
                <w:tab w:val="left" w:pos="4415"/>
              </w:tabs>
              <w:spacing w:before="81"/>
              <w:ind w:left="107"/>
              <w:rPr>
                <w:rFonts w:ascii="宋体" w:hAnsi="宋体" w:eastAsia="宋体"/>
                <w:color w:val="auto"/>
                <w:sz w:val="24"/>
                <w:highlight w:val="none"/>
              </w:rPr>
            </w:pPr>
            <w:r>
              <w:rPr>
                <w:rFonts w:hint="eastAsia" w:ascii="宋体" w:hAnsi="宋体" w:eastAsia="宋体"/>
                <w:color w:val="auto"/>
                <w:sz w:val="24"/>
                <w:highlight w:val="none"/>
              </w:rPr>
              <w:t>是</w:t>
            </w:r>
            <w:r>
              <w:rPr>
                <w:rFonts w:hint="eastAsia" w:ascii="宋体" w:hAnsi="宋体" w:eastAsia="宋体"/>
                <w:color w:val="auto"/>
                <w:sz w:val="24"/>
                <w:highlight w:val="none"/>
              </w:rPr>
              <w:tab/>
            </w:r>
            <w:r>
              <w:rPr>
                <w:rFonts w:hint="eastAsia" w:ascii="宋体" w:hAnsi="宋体" w:eastAsia="宋体"/>
                <w:color w:val="auto"/>
                <w:sz w:val="24"/>
                <w:highlight w:val="none"/>
              </w:rPr>
              <w:t>否</w:t>
            </w:r>
            <w:r>
              <w:rPr>
                <w:rFonts w:hint="eastAsia" w:ascii="宋体" w:hAnsi="宋体" w:eastAsia="宋体"/>
                <w:color w:val="auto"/>
                <w:sz w:val="24"/>
                <w:highlight w:val="none"/>
              </w:rPr>
              <w:tab/>
            </w:r>
            <w:r>
              <w:rPr>
                <w:rFonts w:hint="eastAsia" w:ascii="宋体" w:hAnsi="宋体" w:eastAsia="宋体"/>
                <w:color w:val="auto"/>
                <w:sz w:val="24"/>
                <w:highlight w:val="none"/>
              </w:rPr>
              <w:t>在</w:t>
            </w:r>
            <w:r>
              <w:rPr>
                <w:rFonts w:hint="eastAsia" w:ascii="宋体" w:hAnsi="宋体" w:eastAsia="宋体"/>
                <w:color w:val="auto"/>
                <w:sz w:val="24"/>
                <w:highlight w:val="none"/>
              </w:rPr>
              <w:tab/>
            </w:r>
            <w:r>
              <w:rPr>
                <w:rFonts w:ascii="Times New Roman" w:hAnsi="Times New Roman" w:eastAsia="Times New Roman"/>
                <w:color w:val="auto"/>
                <w:sz w:val="24"/>
                <w:highlight w:val="none"/>
              </w:rPr>
              <w:t>“</w:t>
            </w:r>
            <w:r>
              <w:rPr>
                <w:rFonts w:ascii="Times New Roman" w:hAnsi="Times New Roman" w:eastAsia="Times New Roman"/>
                <w:color w:val="auto"/>
                <w:sz w:val="24"/>
                <w:highlight w:val="none"/>
              </w:rPr>
              <w:tab/>
            </w:r>
            <w:r>
              <w:rPr>
                <w:rFonts w:hint="eastAsia" w:ascii="宋体" w:hAnsi="宋体" w:eastAsia="宋体"/>
                <w:color w:val="auto"/>
                <w:sz w:val="24"/>
                <w:highlight w:val="none"/>
              </w:rPr>
              <w:t>信</w:t>
            </w:r>
            <w:r>
              <w:rPr>
                <w:rFonts w:hint="eastAsia" w:ascii="宋体" w:hAnsi="宋体" w:eastAsia="宋体"/>
                <w:color w:val="auto"/>
                <w:sz w:val="24"/>
                <w:highlight w:val="none"/>
              </w:rPr>
              <w:tab/>
            </w:r>
            <w:r>
              <w:rPr>
                <w:rFonts w:hint="eastAsia" w:ascii="宋体" w:hAnsi="宋体" w:eastAsia="宋体"/>
                <w:color w:val="auto"/>
                <w:sz w:val="24"/>
                <w:highlight w:val="none"/>
              </w:rPr>
              <w:t>用</w:t>
            </w:r>
            <w:r>
              <w:rPr>
                <w:rFonts w:hint="eastAsia" w:ascii="宋体" w:hAnsi="宋体" w:eastAsia="宋体"/>
                <w:color w:val="auto"/>
                <w:sz w:val="24"/>
                <w:highlight w:val="none"/>
              </w:rPr>
              <w:tab/>
            </w:r>
            <w:r>
              <w:rPr>
                <w:rFonts w:hint="eastAsia" w:ascii="宋体" w:hAnsi="宋体" w:eastAsia="宋体"/>
                <w:color w:val="auto"/>
                <w:sz w:val="24"/>
                <w:highlight w:val="none"/>
              </w:rPr>
              <w:t>中</w:t>
            </w:r>
            <w:r>
              <w:rPr>
                <w:rFonts w:hint="eastAsia" w:ascii="宋体" w:hAnsi="宋体" w:eastAsia="宋体"/>
                <w:color w:val="auto"/>
                <w:sz w:val="24"/>
                <w:highlight w:val="none"/>
              </w:rPr>
              <w:tab/>
            </w:r>
            <w:r>
              <w:rPr>
                <w:rFonts w:hint="eastAsia" w:ascii="宋体" w:hAnsi="宋体" w:eastAsia="宋体"/>
                <w:color w:val="auto"/>
                <w:sz w:val="24"/>
                <w:highlight w:val="none"/>
              </w:rPr>
              <w:t>国</w:t>
            </w:r>
            <w:r>
              <w:rPr>
                <w:rFonts w:hint="eastAsia" w:ascii="宋体" w:hAnsi="宋体" w:eastAsia="宋体"/>
                <w:color w:val="auto"/>
                <w:sz w:val="24"/>
                <w:highlight w:val="none"/>
              </w:rPr>
              <w:tab/>
            </w:r>
            <w:r>
              <w:rPr>
                <w:rFonts w:ascii="Times New Roman" w:hAnsi="Times New Roman" w:eastAsia="Times New Roman"/>
                <w:color w:val="auto"/>
                <w:sz w:val="24"/>
                <w:highlight w:val="none"/>
              </w:rPr>
              <w:t>”</w:t>
            </w:r>
            <w:r>
              <w:rPr>
                <w:rFonts w:ascii="Times New Roman" w:hAnsi="Times New Roman" w:eastAsia="Times New Roman"/>
                <w:color w:val="auto"/>
                <w:sz w:val="24"/>
                <w:highlight w:val="none"/>
              </w:rPr>
              <w:tab/>
            </w:r>
            <w:r>
              <w:rPr>
                <w:rFonts w:hint="eastAsia" w:ascii="宋体" w:hAnsi="宋体" w:eastAsia="宋体"/>
                <w:color w:val="auto"/>
                <w:sz w:val="24"/>
                <w:highlight w:val="none"/>
              </w:rPr>
              <w:t>网</w:t>
            </w:r>
            <w:r>
              <w:rPr>
                <w:rFonts w:hint="eastAsia" w:ascii="宋体" w:hAnsi="宋体" w:eastAsia="宋体"/>
                <w:color w:val="auto"/>
                <w:sz w:val="24"/>
                <w:highlight w:val="none"/>
              </w:rPr>
              <w:tab/>
            </w:r>
            <w:r>
              <w:rPr>
                <w:rFonts w:hint="eastAsia" w:ascii="宋体" w:hAnsi="宋体" w:eastAsia="宋体"/>
                <w:color w:val="auto"/>
                <w:sz w:val="24"/>
                <w:highlight w:val="none"/>
              </w:rPr>
              <w:t>站</w:t>
            </w:r>
          </w:p>
          <w:p>
            <w:pPr>
              <w:pStyle w:val="22"/>
              <w:spacing w:line="470" w:lineRule="atLeast"/>
              <w:ind w:left="107" w:right="97" w:hanging="120"/>
              <w:rPr>
                <w:rFonts w:ascii="宋体" w:eastAsia="宋体"/>
                <w:color w:val="auto"/>
                <w:sz w:val="24"/>
                <w:highlight w:val="none"/>
              </w:rPr>
            </w:pPr>
            <w:r>
              <w:rPr>
                <w:rFonts w:hint="eastAsia" w:ascii="宋体" w:eastAsia="宋体"/>
                <w:color w:val="auto"/>
                <w:sz w:val="24"/>
                <w:highlight w:val="none"/>
              </w:rPr>
              <w:t>（</w:t>
            </w:r>
            <w:r>
              <w:rPr>
                <w:color w:val="auto"/>
                <w:highlight w:val="none"/>
              </w:rPr>
              <w:fldChar w:fldCharType="begin"/>
            </w:r>
            <w:r>
              <w:rPr>
                <w:color w:val="auto"/>
                <w:highlight w:val="none"/>
              </w:rPr>
              <w:instrText xml:space="preserve"> HYPERLINK "http://www.creditchina.gov.cn/" \h </w:instrText>
            </w:r>
            <w:r>
              <w:rPr>
                <w:color w:val="auto"/>
                <w:highlight w:val="none"/>
              </w:rPr>
              <w:fldChar w:fldCharType="separate"/>
            </w:r>
            <w:r>
              <w:rPr>
                <w:rFonts w:ascii="Times New Roman" w:eastAsia="Times New Roman"/>
                <w:color w:val="auto"/>
                <w:sz w:val="24"/>
                <w:highlight w:val="none"/>
              </w:rPr>
              <w:t>http://www.creditchina.gov.cn</w:t>
            </w:r>
            <w:r>
              <w:rPr>
                <w:rFonts w:ascii="Times New Roman" w:eastAsia="Times New Roman"/>
                <w:color w:val="auto"/>
                <w:sz w:val="24"/>
                <w:highlight w:val="none"/>
              </w:rPr>
              <w:fldChar w:fldCharType="end"/>
            </w:r>
            <w:r>
              <w:rPr>
                <w:rFonts w:hint="eastAsia" w:ascii="宋体" w:eastAsia="宋体"/>
                <w:color w:val="auto"/>
                <w:sz w:val="24"/>
                <w:highlight w:val="none"/>
              </w:rPr>
              <w:t>）中被列入失信被执行人名单</w:t>
            </w:r>
          </w:p>
        </w:tc>
        <w:tc>
          <w:tcPr>
            <w:tcW w:w="2597" w:type="dxa"/>
            <w:tcBorders>
              <w:right w:val="nil"/>
            </w:tcBorders>
          </w:tcPr>
          <w:p>
            <w:pPr>
              <w:pStyle w:val="22"/>
              <w:spacing w:before="12"/>
              <w:rPr>
                <w:color w:val="auto"/>
                <w:sz w:val="41"/>
                <w:highlight w:val="none"/>
              </w:rPr>
            </w:pPr>
          </w:p>
          <w:p>
            <w:pPr>
              <w:pStyle w:val="22"/>
              <w:ind w:right="292"/>
              <w:jc w:val="right"/>
              <w:rPr>
                <w:rFonts w:ascii="Times New Roman" w:hAnsi="Times New Roman" w:eastAsia="Times New Roman"/>
                <w:b/>
                <w:color w:val="auto"/>
                <w:sz w:val="28"/>
                <w:highlight w:val="none"/>
              </w:rPr>
            </w:pPr>
            <w:r>
              <w:rPr>
                <w:rFonts w:hint="eastAsia" w:ascii="宋体" w:hAnsi="宋体" w:eastAsia="宋体"/>
                <w:color w:val="auto"/>
                <w:sz w:val="24"/>
                <w:highlight w:val="none"/>
              </w:rPr>
              <w:t xml:space="preserve">是 </w:t>
            </w:r>
            <w:r>
              <w:rPr>
                <w:rFonts w:ascii="Times New Roman" w:hAnsi="Times New Roman" w:eastAsia="Times New Roman"/>
                <w:b/>
                <w:color w:val="auto"/>
                <w:sz w:val="28"/>
                <w:highlight w:val="none"/>
              </w:rPr>
              <w:t>□</w:t>
            </w:r>
          </w:p>
        </w:tc>
        <w:tc>
          <w:tcPr>
            <w:tcW w:w="2598" w:type="dxa"/>
            <w:tcBorders>
              <w:left w:val="nil"/>
            </w:tcBorders>
          </w:tcPr>
          <w:p>
            <w:pPr>
              <w:pStyle w:val="22"/>
              <w:spacing w:before="12"/>
              <w:rPr>
                <w:color w:val="auto"/>
                <w:sz w:val="41"/>
                <w:highlight w:val="none"/>
              </w:rPr>
            </w:pPr>
          </w:p>
          <w:p>
            <w:pPr>
              <w:pStyle w:val="22"/>
              <w:ind w:left="303"/>
              <w:rPr>
                <w:rFonts w:ascii="Times New Roman" w:hAnsi="Times New Roman" w:eastAsia="Times New Roman"/>
                <w:b/>
                <w:color w:val="auto"/>
                <w:sz w:val="28"/>
                <w:highlight w:val="none"/>
              </w:rPr>
            </w:pPr>
            <w:r>
              <w:rPr>
                <w:rFonts w:hint="eastAsia" w:ascii="宋体" w:hAnsi="宋体" w:eastAsia="宋体"/>
                <w:color w:val="auto"/>
                <w:sz w:val="24"/>
                <w:highlight w:val="none"/>
              </w:rPr>
              <w:t xml:space="preserve">否 </w:t>
            </w:r>
            <w:r>
              <w:rPr>
                <w:rFonts w:ascii="Times New Roman" w:hAnsi="Times New Roman" w:eastAsia="Times New Roman"/>
                <w:b/>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00" w:hRule="atLeast"/>
        </w:trPr>
        <w:tc>
          <w:tcPr>
            <w:tcW w:w="4762" w:type="dxa"/>
            <w:gridSpan w:val="2"/>
          </w:tcPr>
          <w:p>
            <w:pPr>
              <w:pStyle w:val="22"/>
              <w:spacing w:before="27" w:line="460" w:lineRule="atLeast"/>
              <w:ind w:left="107" w:right="97"/>
              <w:jc w:val="both"/>
              <w:rPr>
                <w:rFonts w:ascii="宋体" w:eastAsia="宋体"/>
                <w:color w:val="auto"/>
                <w:sz w:val="24"/>
                <w:highlight w:val="none"/>
              </w:rPr>
            </w:pPr>
            <w:r>
              <w:rPr>
                <w:rFonts w:hint="eastAsia" w:ascii="宋体" w:eastAsia="宋体"/>
                <w:color w:val="auto"/>
                <w:spacing w:val="-3"/>
                <w:sz w:val="24"/>
                <w:highlight w:val="none"/>
              </w:rPr>
              <w:t>是否在近三年内</w:t>
            </w:r>
            <w:r>
              <w:rPr>
                <w:rFonts w:hint="eastAsia" w:ascii="宋体" w:eastAsia="宋体"/>
                <w:color w:val="auto"/>
                <w:sz w:val="24"/>
                <w:highlight w:val="none"/>
              </w:rPr>
              <w:t>（</w:t>
            </w:r>
            <w:r>
              <w:rPr>
                <w:rFonts w:hint="eastAsia" w:ascii="宋体" w:eastAsia="宋体"/>
                <w:color w:val="auto"/>
                <w:spacing w:val="-2"/>
                <w:sz w:val="24"/>
                <w:highlight w:val="none"/>
              </w:rPr>
              <w:t>自响应文件递交截止之日</w:t>
            </w:r>
            <w:r>
              <w:rPr>
                <w:rFonts w:hint="eastAsia" w:ascii="宋体" w:eastAsia="宋体"/>
                <w:color w:val="auto"/>
                <w:spacing w:val="-12"/>
                <w:sz w:val="24"/>
                <w:highlight w:val="none"/>
              </w:rPr>
              <w:t xml:space="preserve">向前追溯 </w:t>
            </w:r>
            <w:r>
              <w:rPr>
                <w:rFonts w:ascii="Times New Roman" w:eastAsia="Times New Roman"/>
                <w:color w:val="auto"/>
                <w:sz w:val="24"/>
                <w:highlight w:val="none"/>
              </w:rPr>
              <w:t xml:space="preserve">3 </w:t>
            </w:r>
            <w:r>
              <w:rPr>
                <w:rFonts w:hint="eastAsia" w:ascii="宋体" w:eastAsia="宋体"/>
                <w:color w:val="auto"/>
                <w:sz w:val="24"/>
                <w:highlight w:val="none"/>
              </w:rPr>
              <w:t>年</w:t>
            </w:r>
            <w:r>
              <w:rPr>
                <w:rFonts w:hint="eastAsia" w:ascii="宋体" w:eastAsia="宋体"/>
                <w:color w:val="auto"/>
                <w:spacing w:val="-8"/>
                <w:sz w:val="24"/>
                <w:highlight w:val="none"/>
              </w:rPr>
              <w:t>）</w:t>
            </w:r>
            <w:r>
              <w:rPr>
                <w:rFonts w:hint="eastAsia" w:ascii="宋体" w:eastAsia="宋体"/>
                <w:color w:val="auto"/>
                <w:spacing w:val="-3"/>
                <w:sz w:val="24"/>
                <w:highlight w:val="none"/>
              </w:rPr>
              <w:t>供应商或其法定代表人、拟</w:t>
            </w:r>
            <w:r>
              <w:rPr>
                <w:rFonts w:hint="eastAsia" w:ascii="宋体" w:eastAsia="宋体"/>
                <w:color w:val="auto"/>
                <w:sz w:val="24"/>
                <w:highlight w:val="none"/>
              </w:rPr>
              <w:t>委任的项目经理（如有）有行贿犯罪行为</w:t>
            </w:r>
          </w:p>
        </w:tc>
        <w:tc>
          <w:tcPr>
            <w:tcW w:w="2597" w:type="dxa"/>
            <w:tcBorders>
              <w:right w:val="nil"/>
            </w:tcBorders>
          </w:tcPr>
          <w:p>
            <w:pPr>
              <w:pStyle w:val="22"/>
              <w:rPr>
                <w:color w:val="auto"/>
                <w:sz w:val="30"/>
                <w:highlight w:val="none"/>
              </w:rPr>
            </w:pPr>
          </w:p>
          <w:p>
            <w:pPr>
              <w:pStyle w:val="22"/>
              <w:spacing w:before="251"/>
              <w:ind w:right="292"/>
              <w:jc w:val="right"/>
              <w:rPr>
                <w:rFonts w:ascii="Times New Roman" w:hAnsi="Times New Roman" w:eastAsia="Times New Roman"/>
                <w:b/>
                <w:color w:val="auto"/>
                <w:sz w:val="28"/>
                <w:highlight w:val="none"/>
              </w:rPr>
            </w:pPr>
            <w:r>
              <w:rPr>
                <w:rFonts w:hint="eastAsia" w:ascii="宋体" w:hAnsi="宋体" w:eastAsia="宋体"/>
                <w:color w:val="auto"/>
                <w:sz w:val="24"/>
                <w:highlight w:val="none"/>
              </w:rPr>
              <w:t xml:space="preserve">是 </w:t>
            </w:r>
            <w:r>
              <w:rPr>
                <w:rFonts w:ascii="Times New Roman" w:hAnsi="Times New Roman" w:eastAsia="Times New Roman"/>
                <w:b/>
                <w:color w:val="auto"/>
                <w:sz w:val="28"/>
                <w:highlight w:val="none"/>
              </w:rPr>
              <w:t>□</w:t>
            </w:r>
          </w:p>
        </w:tc>
        <w:tc>
          <w:tcPr>
            <w:tcW w:w="2598" w:type="dxa"/>
            <w:tcBorders>
              <w:left w:val="nil"/>
            </w:tcBorders>
          </w:tcPr>
          <w:p>
            <w:pPr>
              <w:pStyle w:val="22"/>
              <w:rPr>
                <w:color w:val="auto"/>
                <w:sz w:val="30"/>
                <w:highlight w:val="none"/>
              </w:rPr>
            </w:pPr>
          </w:p>
          <w:p>
            <w:pPr>
              <w:pStyle w:val="22"/>
              <w:spacing w:before="251"/>
              <w:ind w:left="303"/>
              <w:rPr>
                <w:rFonts w:ascii="Times New Roman" w:hAnsi="Times New Roman" w:eastAsia="Times New Roman"/>
                <w:b/>
                <w:color w:val="auto"/>
                <w:sz w:val="28"/>
                <w:highlight w:val="none"/>
              </w:rPr>
            </w:pPr>
            <w:r>
              <w:rPr>
                <w:rFonts w:hint="eastAsia" w:ascii="宋体" w:hAnsi="宋体" w:eastAsia="宋体"/>
                <w:color w:val="auto"/>
                <w:sz w:val="24"/>
                <w:highlight w:val="none"/>
              </w:rPr>
              <w:t xml:space="preserve">否 </w:t>
            </w:r>
            <w:r>
              <w:rPr>
                <w:rFonts w:ascii="Times New Roman" w:hAnsi="Times New Roman" w:eastAsia="Times New Roman"/>
                <w:b/>
                <w:color w:val="auto"/>
                <w:sz w:val="28"/>
                <w:highlight w:val="none"/>
              </w:rPr>
              <w:t>□</w:t>
            </w:r>
          </w:p>
        </w:tc>
      </w:tr>
    </w:tbl>
    <w:p>
      <w:pPr>
        <w:pStyle w:val="10"/>
        <w:spacing w:before="112"/>
        <w:rPr>
          <w:color w:val="auto"/>
          <w:highlight w:val="none"/>
        </w:rPr>
      </w:pPr>
      <w:r>
        <w:rPr>
          <w:color w:val="auto"/>
          <w:highlight w:val="none"/>
        </w:rPr>
        <w:t>注：本表需附证明材料。</w:t>
      </w:r>
    </w:p>
    <w:p>
      <w:pPr>
        <w:pStyle w:val="2"/>
        <w:rPr>
          <w:color w:val="auto"/>
          <w:sz w:val="20"/>
          <w:highlight w:val="none"/>
        </w:rPr>
      </w:pPr>
    </w:p>
    <w:p>
      <w:pPr>
        <w:pStyle w:val="2"/>
        <w:rPr>
          <w:color w:val="auto"/>
          <w:sz w:val="16"/>
          <w:highlight w:val="none"/>
        </w:rPr>
      </w:pPr>
    </w:p>
    <w:p>
      <w:pPr>
        <w:pStyle w:val="10"/>
        <w:tabs>
          <w:tab w:val="left" w:pos="8845"/>
        </w:tabs>
        <w:spacing w:before="74"/>
        <w:ind w:left="5845"/>
        <w:rPr>
          <w:rFonts w:ascii="Times New Roman" w:eastAsia="Times New Roman"/>
          <w:color w:val="auto"/>
          <w:highlight w:val="none"/>
        </w:rPr>
      </w:pPr>
      <w:r>
        <w:rPr>
          <w:color w:val="auto"/>
          <w:highlight w:val="none"/>
        </w:rPr>
        <w:t>供应商：</w:t>
      </w:r>
      <w:r>
        <w:rPr>
          <w:color w:val="auto"/>
          <w:highlight w:val="none"/>
          <w:u w:val="single"/>
        </w:rPr>
        <w:tab/>
      </w:r>
      <w:r>
        <w:rPr>
          <w:rFonts w:ascii="Times New Roman" w:eastAsia="Times New Roman"/>
          <w:color w:val="auto"/>
          <w:spacing w:val="-1"/>
          <w:highlight w:val="none"/>
        </w:rPr>
        <w:t>(</w:t>
      </w:r>
      <w:r>
        <w:rPr>
          <w:color w:val="auto"/>
          <w:highlight w:val="none"/>
        </w:rPr>
        <w:t>盖单位章</w:t>
      </w:r>
      <w:r>
        <w:rPr>
          <w:rFonts w:ascii="Times New Roman" w:eastAsia="Times New Roman"/>
          <w:color w:val="auto"/>
          <w:highlight w:val="none"/>
        </w:rPr>
        <w:t>)</w:t>
      </w:r>
    </w:p>
    <w:p>
      <w:pPr>
        <w:pStyle w:val="10"/>
        <w:tabs>
          <w:tab w:val="left" w:pos="7566"/>
          <w:tab w:val="left" w:pos="8646"/>
          <w:tab w:val="left" w:pos="9726"/>
        </w:tabs>
        <w:spacing w:before="161"/>
        <w:ind w:left="6726"/>
        <w:rPr>
          <w:color w:val="auto"/>
          <w:highlight w:val="none"/>
        </w:rPr>
      </w:pPr>
      <w:r>
        <w:rPr>
          <w:rFonts w:ascii="Times New Roman" w:eastAsia="Times New Roman"/>
          <w:color w:val="auto"/>
          <w:highlight w:val="none"/>
          <w:u w:val="single"/>
        </w:rPr>
        <w:tab/>
      </w:r>
      <w:r>
        <w:rPr>
          <w:color w:val="auto"/>
          <w:highlight w:val="none"/>
        </w:rPr>
        <w:t>年</w:t>
      </w:r>
      <w:r>
        <w:rPr>
          <w:color w:val="auto"/>
          <w:highlight w:val="none"/>
          <w:u w:val="single"/>
        </w:rPr>
        <w:tab/>
      </w:r>
      <w:r>
        <w:rPr>
          <w:color w:val="auto"/>
          <w:highlight w:val="none"/>
        </w:rPr>
        <w:t>月</w:t>
      </w:r>
      <w:r>
        <w:rPr>
          <w:color w:val="auto"/>
          <w:highlight w:val="none"/>
          <w:u w:val="single"/>
        </w:rPr>
        <w:tab/>
      </w:r>
      <w:r>
        <w:rPr>
          <w:color w:val="auto"/>
          <w:highlight w:val="none"/>
        </w:rPr>
        <w:t>日</w:t>
      </w:r>
    </w:p>
    <w:p>
      <w:pPr>
        <w:rPr>
          <w:color w:val="auto"/>
          <w:highlight w:val="none"/>
        </w:rPr>
        <w:sectPr>
          <w:pgSz w:w="11910" w:h="16840"/>
          <w:pgMar w:top="1520" w:right="860" w:bottom="1180" w:left="860" w:header="0" w:footer="998" w:gutter="0"/>
          <w:cols w:space="720" w:num="1"/>
        </w:sectPr>
      </w:pPr>
    </w:p>
    <w:p>
      <w:pPr>
        <w:pStyle w:val="8"/>
        <w:spacing w:before="35"/>
        <w:ind w:left="3417" w:right="3418" w:firstLine="0"/>
        <w:jc w:val="center"/>
        <w:rPr>
          <w:color w:val="auto"/>
          <w:highlight w:val="none"/>
        </w:rPr>
      </w:pPr>
      <w:r>
        <w:rPr>
          <w:color w:val="auto"/>
          <w:highlight w:val="none"/>
        </w:rPr>
        <w:t>七、其它材料</w:t>
      </w:r>
    </w:p>
    <w:p>
      <w:pPr>
        <w:spacing w:before="2"/>
        <w:rPr>
          <w:color w:val="auto"/>
          <w:sz w:val="25"/>
          <w:highlight w:val="none"/>
        </w:rPr>
      </w:pPr>
    </w:p>
    <w:p>
      <w:pPr>
        <w:pStyle w:val="10"/>
        <w:rPr>
          <w:color w:val="auto"/>
          <w:highlight w:val="none"/>
        </w:rPr>
      </w:pPr>
      <w:r>
        <w:rPr>
          <w:color w:val="auto"/>
          <w:highlight w:val="none"/>
        </w:rPr>
        <w:t>注：响应保证金的银行凭证（电汇回单）复印件、供应商认为有必要提交的材料等。</w:t>
      </w:r>
    </w:p>
    <w:sectPr>
      <w:pgSz w:w="11910" w:h="16840"/>
      <w:pgMar w:top="1460" w:right="860" w:bottom="1180" w:left="860" w:header="0" w:footer="99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文本框 1" o:spid="_x0000_s2056" o:spt="202" type="#_x0000_t202" style="position:absolute;left:0pt;margin-left:293.05pt;margin-top:788.15pt;height:13.65pt;width:9.25pt;mso-position-horizontal-relative:page;mso-position-vertical-relative:page;z-index:-251656192;mso-width-relative:page;mso-height-relative:page;" filled="f" stroked="f" coordsize="21600,21600" o:gfxdata="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FUe9F2gAAAA0BAAAPAAAAAAAAAAEAIAAAACIAAABkcnMvZG93bnJldi54bWxQSwEC&#10;FAAUAAAACACHTuJAvUIXJrkBAABxAwAADgAAAAAAAAABACAAAAApAQAAZHJzL2Uyb0RvYy54bWxQ&#10;SwUGAAAAAAYABgBZAQAAVAUAAAAA&#10;">
          <v:path/>
          <v:fill on="f" focussize="0,0"/>
          <v:stroke on="f" joinstyle="miter"/>
          <v:imagedata o:title=""/>
          <o:lock v:ext="edit"/>
          <v:textbox inset="0mm,0mm,0mm,0mm">
            <w:txbxContent>
              <w:p>
                <w:pPr>
                  <w:pStyle w:val="2"/>
                  <w:spacing w:before="11"/>
                  <w:ind w:left="40"/>
                  <w:rPr>
                    <w:rFonts w:ascii="Times New Roman"/>
                  </w:rPr>
                </w:pPr>
                <w:r>
                  <w:fldChar w:fldCharType="begin"/>
                </w:r>
                <w:r>
                  <w:rPr>
                    <w:rFonts w:ascii="Times New Roman"/>
                    <w:w w:val="99"/>
                  </w:rPr>
                  <w:instrText xml:space="preserve"> PAGE </w:instrText>
                </w:r>
                <w:r>
                  <w:fldChar w:fldCharType="separate"/>
                </w:r>
                <w:r>
                  <w:rPr>
                    <w:rFonts w:ascii="Times New Roman"/>
                    <w:w w:val="99"/>
                  </w:rPr>
                  <w:t>35</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5"/>
      </w:rPr>
    </w:pPr>
    <w:r>
      <w:pict>
        <v:shape id="_x0000_s2055" o:spid="_x0000_s2055" o:spt="202" type="#_x0000_t202" style="position:absolute;left:0pt;margin-left:290.4pt;margin-top:788.2pt;height:13.6pt;width:14.55pt;mso-position-horizontal-relative:page;mso-position-vertical-relative:page;z-index:-251655168;mso-width-relative:page;mso-height-relative:page;" filled="f" stroked="f" coordsize="21600,21600" o:gfxdata="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Kc+Vk2wAAAA0BAAAPAAAAAAAAAAEAIAAAACIAAABkcnMvZG93bnJldi54bWxQ&#10;SwECFAAUAAAACACHTuJAfCVHarsBAABxAwAADgAAAAAAAAABACAAAAAqAQAAZHJzL2Uyb0RvYy54&#10;bWxQSwUGAAAAAAYABgBZAQAAVwUAAAAA&#10;">
          <v:path/>
          <v:fill on="f" focussize="0,0"/>
          <v:stroke on="f" joinstyle="miter"/>
          <v:imagedata o:title=""/>
          <o:lock v:ext="edit"/>
          <v:textbox inset="0mm,0mm,0mm,0mm">
            <w:txbxContent>
              <w:p>
                <w:pPr>
                  <w:pStyle w:val="2"/>
                  <w:spacing w:before="10"/>
                  <w:ind w:left="40"/>
                  <w:rPr>
                    <w:rFonts w:ascii="Times New Roman"/>
                  </w:rPr>
                </w:pPr>
                <w:r>
                  <w:fldChar w:fldCharType="begin"/>
                </w:r>
                <w:r>
                  <w:rPr>
                    <w:rFonts w:ascii="Times New Roman"/>
                  </w:rPr>
                  <w:instrText xml:space="preserve"> PAGE </w:instrText>
                </w:r>
                <w:r>
                  <w:fldChar w:fldCharType="separate"/>
                </w:r>
                <w:r>
                  <w:rPr>
                    <w:rFonts w:ascii="Times New Roman"/>
                  </w:rPr>
                  <w:t>19</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文本框 3" o:spid="_x0000_s2054" o:spt="202" type="#_x0000_t202" style="position:absolute;left:0pt;margin-left:290.4pt;margin-top:788.2pt;height:13.6pt;width:14.55pt;mso-position-horizontal-relative:page;mso-position-vertical-relative:page;z-index:-251654144;mso-width-relative:page;mso-height-relative:page;" filled="f" stroked="f" coordsize="21600,21600" o:gfxdata="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pz5WTbAAAADQEAAA8AAAAAAAAAAQAgAAAAIgAAAGRycy9kb3ducmV2LnhtbFBL&#10;AQIUABQAAAAIAIdO4kAQTPWBugEAAHEDAAAOAAAAAAAAAAEAIAAAACoBAABkcnMvZTJvRG9jLnht&#10;bFBLBQYAAAAABgAGAFkBAABWBQAAAAA=&#10;">
          <v:path/>
          <v:fill on="f" focussize="0,0"/>
          <v:stroke on="f" joinstyle="miter"/>
          <v:imagedata o:title=""/>
          <o:lock v:ext="edit"/>
          <v:textbox inset="0mm,0mm,0mm,0mm">
            <w:txbxContent>
              <w:p>
                <w:pPr>
                  <w:pStyle w:val="2"/>
                  <w:spacing w:before="10"/>
                  <w:ind w:left="40"/>
                  <w:rPr>
                    <w:rFonts w:ascii="Times New Roman"/>
                  </w:rPr>
                </w:pPr>
                <w:r>
                  <w:fldChar w:fldCharType="begin"/>
                </w:r>
                <w:r>
                  <w:rPr>
                    <w:rFonts w:ascii="Times New Roman"/>
                  </w:rPr>
                  <w:instrText xml:space="preserve"> PAGE </w:instrText>
                </w:r>
                <w:r>
                  <w:fldChar w:fldCharType="separate"/>
                </w:r>
                <w:r>
                  <w:rPr>
                    <w:rFonts w:ascii="Times New Roman"/>
                  </w:rPr>
                  <w:t>25</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文本框 4" o:spid="_x0000_s2053" o:spt="202" type="#_x0000_t202" style="position:absolute;left:0pt;margin-left:290.4pt;margin-top:781pt;height:13.6pt;width:14.55pt;mso-position-horizontal-relative:page;mso-position-vertical-relative:page;z-index:-251653120;mso-width-relative:page;mso-height-relative:page;" filled="f" stroked="f" coordsize="21600,21600" o:gfxdata="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T2z09oAAAANAQAADwAAAAAAAAABACAAAAAiAAAAZHJzL2Rvd25yZXYueG1sUEsB&#10;AhQAFAAAAAgAh07iQMANURa6AQAAcQMAAA4AAAAAAAAAAQAgAAAAKQEAAGRycy9lMm9Eb2MueG1s&#10;UEsFBgAAAAAGAAYAWQEAAFUFAAAAAA==&#10;">
          <v:path/>
          <v:fill on="f" focussize="0,0"/>
          <v:stroke on="f" joinstyle="miter"/>
          <v:imagedata o:title=""/>
          <o:lock v:ext="edit"/>
          <v:textbox inset="0mm,0mm,0mm,0mm">
            <w:txbxContent>
              <w:p>
                <w:pPr>
                  <w:pStyle w:val="2"/>
                  <w:spacing w:before="10"/>
                  <w:ind w:left="40"/>
                  <w:rPr>
                    <w:rFonts w:ascii="Times New Roman"/>
                  </w:rPr>
                </w:pPr>
                <w:r>
                  <w:fldChar w:fldCharType="begin"/>
                </w:r>
                <w:r>
                  <w:rPr>
                    <w:rFonts w:ascii="Times New Roman"/>
                  </w:rPr>
                  <w:instrText xml:space="preserve"> PAGE </w:instrText>
                </w:r>
                <w:r>
                  <w:fldChar w:fldCharType="separate"/>
                </w:r>
                <w:r>
                  <w:rPr>
                    <w:rFonts w:ascii="Times New Roman"/>
                  </w:rPr>
                  <w:t>29</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文本框 5" o:spid="_x0000_s2052" o:spt="202" type="#_x0000_t202" style="position:absolute;left:0pt;margin-left:290.4pt;margin-top:781pt;height:13.6pt;width:14.55pt;mso-position-horizontal-relative:page;mso-position-vertical-relative:page;z-index:-251652096;mso-width-relative:page;mso-height-relative:page;" filled="f" stroked="f" coordsize="21600,21600" o:gfxdata="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T2z09oAAAANAQAADwAAAAAAAAABACAAAAAiAAAAZHJzL2Rvd25yZXYueG1sUEsB&#10;AhQAFAAAAAgAh07iQEJ0Do26AQAAcQMAAA4AAAAAAAAAAQAgAAAAKQEAAGRycy9lMm9Eb2MueG1s&#10;UEsFBgAAAAAGAAYAWQEAAFUFAAAAAA==&#10;">
          <v:path/>
          <v:fill on="f" focussize="0,0"/>
          <v:stroke on="f" joinstyle="miter"/>
          <v:imagedata o:title=""/>
          <o:lock v:ext="edit"/>
          <v:textbox inset="0mm,0mm,0mm,0mm">
            <w:txbxContent>
              <w:p>
                <w:pPr>
                  <w:pStyle w:val="2"/>
                  <w:spacing w:before="10"/>
                  <w:ind w:left="40"/>
                  <w:rPr>
                    <w:rFonts w:ascii="Times New Roman"/>
                  </w:rPr>
                </w:pPr>
                <w:r>
                  <w:fldChar w:fldCharType="begin"/>
                </w:r>
                <w:r>
                  <w:rPr>
                    <w:rFonts w:ascii="Times New Roman"/>
                  </w:rPr>
                  <w:instrText xml:space="preserve"> PAGE </w:instrText>
                </w:r>
                <w:r>
                  <w:fldChar w:fldCharType="separate"/>
                </w:r>
                <w:r>
                  <w:rPr>
                    <w:rFonts w:ascii="Times New Roman"/>
                  </w:rPr>
                  <w:t>32</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文本框 6" o:spid="_x0000_s2051" o:spt="202" type="#_x0000_t202" style="position:absolute;left:0pt;margin-left:413.65pt;margin-top:534.4pt;height:13.6pt;width:14.55pt;mso-position-horizontal-relative:page;mso-position-vertical-relative:page;z-index:-251651072;mso-width-relative:page;mso-height-relative:page;" filled="f" stroked="f" coordsize="21600,21600" o:gfxdata="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DOUutoAAAANAQAADwAAAAAAAAABACAAAAAiAAAAZHJzL2Rvd25yZXYueG1sUEsB&#10;AhQAFAAAAAgAh07iQGvoc4u6AQAAcQMAAA4AAAAAAAAAAQAgAAAAKQEAAGRycy9lMm9Eb2MueG1s&#10;UEsFBgAAAAAGAAYAWQEAAFUFAAAAAA==&#10;">
          <v:path/>
          <v:fill on="f" focussize="0,0"/>
          <v:stroke on="f" joinstyle="miter"/>
          <v:imagedata o:title=""/>
          <o:lock v:ext="edit"/>
          <v:textbox inset="0mm,0mm,0mm,0mm">
            <w:txbxContent>
              <w:p>
                <w:pPr>
                  <w:pStyle w:val="2"/>
                  <w:spacing w:before="10"/>
                  <w:ind w:left="40"/>
                  <w:rPr>
                    <w:rFonts w:ascii="Times New Roman"/>
                  </w:rPr>
                </w:pPr>
                <w:r>
                  <w:fldChar w:fldCharType="begin"/>
                </w:r>
                <w:r>
                  <w:rPr>
                    <w:rFonts w:ascii="Times New Roman"/>
                  </w:rPr>
                  <w:instrText xml:space="preserve"> PAGE </w:instrText>
                </w:r>
                <w:r>
                  <w:fldChar w:fldCharType="separate"/>
                </w:r>
                <w:r>
                  <w:rPr>
                    <w:rFonts w:ascii="Times New Roman"/>
                  </w:rPr>
                  <w:t>47</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文本框 9" o:spid="_x0000_s2050" o:spt="202" type="#_x0000_t202" style="position:absolute;left:0pt;margin-left:290.4pt;margin-top:781pt;height:13.6pt;width:14.55pt;mso-position-horizontal-relative:page;mso-position-vertical-relative:page;z-index:-251650048;mso-width-relative:page;mso-height-relative:page;" filled="f" stroked="f" coordsize="21600,21600" o:gfxdata="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T2z09oAAAANAQAADwAAAAAAAAABACAAAAAiAAAAZHJzL2Rvd25yZXYueG1sUEsB&#10;AhQAFAAAAAgAh07iQE2tVE26AQAAcQMAAA4AAAAAAAAAAQAgAAAAKQEAAGRycy9lMm9Eb2MueG1s&#10;UEsFBgAAAAAGAAYAWQEAAFUFAAAAAA==&#10;">
          <v:path/>
          <v:fill on="f" focussize="0,0"/>
          <v:stroke on="f" joinstyle="miter"/>
          <v:imagedata o:title=""/>
          <o:lock v:ext="edit"/>
          <v:textbox inset="0mm,0mm,0mm,0mm">
            <w:txbxContent>
              <w:p>
                <w:pPr>
                  <w:pStyle w:val="2"/>
                  <w:spacing w:before="10"/>
                  <w:ind w:left="40"/>
                  <w:rPr>
                    <w:rFonts w:ascii="Times New Roman"/>
                  </w:rPr>
                </w:pPr>
                <w:r>
                  <w:fldChar w:fldCharType="begin"/>
                </w:r>
                <w:r>
                  <w:rPr>
                    <w:rFonts w:ascii="Times New Roman"/>
                  </w:rPr>
                  <w:instrText xml:space="preserve"> PAGE </w:instrText>
                </w:r>
                <w:r>
                  <w:fldChar w:fldCharType="separate"/>
                </w:r>
                <w:r>
                  <w:rPr>
                    <w:rFonts w:ascii="Times New Roman"/>
                  </w:rPr>
                  <w:t>48</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文本框 10" o:spid="_x0000_s2049" o:spt="202" type="#_x0000_t202" style="position:absolute;left:0pt;margin-left:290.4pt;margin-top:781pt;height:13.6pt;width:14.55pt;mso-position-horizontal-relative:page;mso-position-vertical-relative:page;z-index:-251649024;mso-width-relative:page;mso-height-relative:page;" filled="f" stroked="f" coordsize="21600,21600" o:gfxdata="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T2z09oAAAANAQAADwAAAAAAAAABACAAAAAiAAAAZHJzL2Rvd25yZXYueG1sUEsB&#10;AhQAFAAAAAgAh07iQADEbHq6AQAAcgMAAA4AAAAAAAAAAQAgAAAAKQEAAGRycy9lMm9Eb2MueG1s&#10;UEsFBgAAAAAGAAYAWQEAAFUFAAAAAA==&#10;">
          <v:path/>
          <v:fill on="f" focussize="0,0"/>
          <v:stroke on="f" joinstyle="miter"/>
          <v:imagedata o:title=""/>
          <o:lock v:ext="edit"/>
          <v:textbox inset="0mm,0mm,0mm,0mm">
            <w:txbxContent>
              <w:p>
                <w:pPr>
                  <w:pStyle w:val="2"/>
                  <w:spacing w:before="10"/>
                  <w:ind w:left="40"/>
                  <w:rPr>
                    <w:rFonts w:ascii="Times New Roman"/>
                  </w:rPr>
                </w:pPr>
                <w:r>
                  <w:fldChar w:fldCharType="begin"/>
                </w:r>
                <w:r>
                  <w:rPr>
                    <w:rFonts w:ascii="Times New Roman"/>
                  </w:rPr>
                  <w:instrText xml:space="preserve"> PAGE </w:instrText>
                </w:r>
                <w:r>
                  <w:fldChar w:fldCharType="separate"/>
                </w:r>
                <w:r>
                  <w:rPr>
                    <w:rFonts w:ascii="Times New Roman"/>
                  </w:rPr>
                  <w:t>51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9"/>
      <w:numFmt w:val="decimal"/>
      <w:lvlText w:val="%1"/>
      <w:lvlJc w:val="left"/>
      <w:pPr>
        <w:ind w:left="500" w:hanging="281"/>
        <w:jc w:val="left"/>
      </w:pPr>
      <w:rPr>
        <w:rFonts w:hint="default"/>
        <w:w w:val="100"/>
        <w:lang w:val="zh-CN" w:eastAsia="zh-CN" w:bidi="zh-CN"/>
      </w:rPr>
    </w:lvl>
    <w:lvl w:ilvl="1" w:tentative="0">
      <w:start w:val="1"/>
      <w:numFmt w:val="decimal"/>
      <w:lvlText w:val="%1.%2"/>
      <w:lvlJc w:val="left"/>
      <w:pPr>
        <w:ind w:left="1024" w:hanging="384"/>
        <w:jc w:val="left"/>
      </w:pPr>
      <w:rPr>
        <w:rFonts w:hint="default" w:ascii="Times New Roman" w:hAnsi="Times New Roman" w:eastAsia="Times New Roman" w:cs="Times New Roman"/>
        <w:spacing w:val="-1"/>
        <w:w w:val="100"/>
        <w:sz w:val="22"/>
        <w:szCs w:val="22"/>
        <w:lang w:val="zh-CN" w:eastAsia="zh-CN" w:bidi="zh-CN"/>
      </w:rPr>
    </w:lvl>
    <w:lvl w:ilvl="2" w:tentative="0">
      <w:start w:val="0"/>
      <w:numFmt w:val="bullet"/>
      <w:lvlText w:val="•"/>
      <w:lvlJc w:val="left"/>
      <w:pPr>
        <w:ind w:left="2040" w:hanging="384"/>
      </w:pPr>
      <w:rPr>
        <w:rFonts w:hint="default"/>
        <w:lang w:val="zh-CN" w:eastAsia="zh-CN" w:bidi="zh-CN"/>
      </w:rPr>
    </w:lvl>
    <w:lvl w:ilvl="3" w:tentative="0">
      <w:start w:val="0"/>
      <w:numFmt w:val="bullet"/>
      <w:lvlText w:val="•"/>
      <w:lvlJc w:val="left"/>
      <w:pPr>
        <w:ind w:left="3061" w:hanging="384"/>
      </w:pPr>
      <w:rPr>
        <w:rFonts w:hint="default"/>
        <w:lang w:val="zh-CN" w:eastAsia="zh-CN" w:bidi="zh-CN"/>
      </w:rPr>
    </w:lvl>
    <w:lvl w:ilvl="4" w:tentative="0">
      <w:start w:val="0"/>
      <w:numFmt w:val="bullet"/>
      <w:lvlText w:val="•"/>
      <w:lvlJc w:val="left"/>
      <w:pPr>
        <w:ind w:left="4082" w:hanging="384"/>
      </w:pPr>
      <w:rPr>
        <w:rFonts w:hint="default"/>
        <w:lang w:val="zh-CN" w:eastAsia="zh-CN" w:bidi="zh-CN"/>
      </w:rPr>
    </w:lvl>
    <w:lvl w:ilvl="5" w:tentative="0">
      <w:start w:val="0"/>
      <w:numFmt w:val="bullet"/>
      <w:lvlText w:val="•"/>
      <w:lvlJc w:val="left"/>
      <w:pPr>
        <w:ind w:left="5102" w:hanging="384"/>
      </w:pPr>
      <w:rPr>
        <w:rFonts w:hint="default"/>
        <w:lang w:val="zh-CN" w:eastAsia="zh-CN" w:bidi="zh-CN"/>
      </w:rPr>
    </w:lvl>
    <w:lvl w:ilvl="6" w:tentative="0">
      <w:start w:val="0"/>
      <w:numFmt w:val="bullet"/>
      <w:lvlText w:val="•"/>
      <w:lvlJc w:val="left"/>
      <w:pPr>
        <w:ind w:left="6123" w:hanging="384"/>
      </w:pPr>
      <w:rPr>
        <w:rFonts w:hint="default"/>
        <w:lang w:val="zh-CN" w:eastAsia="zh-CN" w:bidi="zh-CN"/>
      </w:rPr>
    </w:lvl>
    <w:lvl w:ilvl="7" w:tentative="0">
      <w:start w:val="0"/>
      <w:numFmt w:val="bullet"/>
      <w:lvlText w:val="•"/>
      <w:lvlJc w:val="left"/>
      <w:pPr>
        <w:ind w:left="7144" w:hanging="384"/>
      </w:pPr>
      <w:rPr>
        <w:rFonts w:hint="default"/>
        <w:lang w:val="zh-CN" w:eastAsia="zh-CN" w:bidi="zh-CN"/>
      </w:rPr>
    </w:lvl>
    <w:lvl w:ilvl="8" w:tentative="0">
      <w:start w:val="0"/>
      <w:numFmt w:val="bullet"/>
      <w:lvlText w:val="•"/>
      <w:lvlJc w:val="left"/>
      <w:pPr>
        <w:ind w:left="8164" w:hanging="384"/>
      </w:pPr>
      <w:rPr>
        <w:rFonts w:hint="default"/>
        <w:lang w:val="zh-CN" w:eastAsia="zh-CN" w:bidi="zh-CN"/>
      </w:rPr>
    </w:lvl>
  </w:abstractNum>
  <w:abstractNum w:abstractNumId="1">
    <w:nsid w:val="B5E306ED"/>
    <w:multiLevelType w:val="multilevel"/>
    <w:tmpl w:val="B5E306ED"/>
    <w:lvl w:ilvl="0" w:tentative="0">
      <w:start w:val="1"/>
      <w:numFmt w:val="decimal"/>
      <w:lvlText w:val="（%1）"/>
      <w:lvlJc w:val="left"/>
      <w:pPr>
        <w:ind w:left="1190" w:hanging="551"/>
        <w:jc w:val="left"/>
      </w:pPr>
      <w:rPr>
        <w:rFonts w:hint="default" w:ascii="宋体" w:hAnsi="宋体" w:eastAsia="宋体" w:cs="宋体"/>
        <w:spacing w:val="-3"/>
        <w:w w:val="100"/>
        <w:sz w:val="20"/>
        <w:szCs w:val="20"/>
        <w:lang w:val="zh-CN" w:eastAsia="zh-CN" w:bidi="zh-CN"/>
      </w:rPr>
    </w:lvl>
    <w:lvl w:ilvl="1" w:tentative="0">
      <w:start w:val="0"/>
      <w:numFmt w:val="bullet"/>
      <w:lvlText w:val="•"/>
      <w:lvlJc w:val="left"/>
      <w:pPr>
        <w:ind w:left="2100" w:hanging="551"/>
      </w:pPr>
      <w:rPr>
        <w:rFonts w:hint="default"/>
        <w:lang w:val="zh-CN" w:eastAsia="zh-CN" w:bidi="zh-CN"/>
      </w:rPr>
    </w:lvl>
    <w:lvl w:ilvl="2" w:tentative="0">
      <w:start w:val="0"/>
      <w:numFmt w:val="bullet"/>
      <w:lvlText w:val="•"/>
      <w:lvlJc w:val="left"/>
      <w:pPr>
        <w:ind w:left="3001" w:hanging="551"/>
      </w:pPr>
      <w:rPr>
        <w:rFonts w:hint="default"/>
        <w:lang w:val="zh-CN" w:eastAsia="zh-CN" w:bidi="zh-CN"/>
      </w:rPr>
    </w:lvl>
    <w:lvl w:ilvl="3" w:tentative="0">
      <w:start w:val="0"/>
      <w:numFmt w:val="bullet"/>
      <w:lvlText w:val="•"/>
      <w:lvlJc w:val="left"/>
      <w:pPr>
        <w:ind w:left="3901" w:hanging="551"/>
      </w:pPr>
      <w:rPr>
        <w:rFonts w:hint="default"/>
        <w:lang w:val="zh-CN" w:eastAsia="zh-CN" w:bidi="zh-CN"/>
      </w:rPr>
    </w:lvl>
    <w:lvl w:ilvl="4" w:tentative="0">
      <w:start w:val="0"/>
      <w:numFmt w:val="bullet"/>
      <w:lvlText w:val="•"/>
      <w:lvlJc w:val="left"/>
      <w:pPr>
        <w:ind w:left="4802" w:hanging="551"/>
      </w:pPr>
      <w:rPr>
        <w:rFonts w:hint="default"/>
        <w:lang w:val="zh-CN" w:eastAsia="zh-CN" w:bidi="zh-CN"/>
      </w:rPr>
    </w:lvl>
    <w:lvl w:ilvl="5" w:tentative="0">
      <w:start w:val="0"/>
      <w:numFmt w:val="bullet"/>
      <w:lvlText w:val="•"/>
      <w:lvlJc w:val="left"/>
      <w:pPr>
        <w:ind w:left="5703" w:hanging="551"/>
      </w:pPr>
      <w:rPr>
        <w:rFonts w:hint="default"/>
        <w:lang w:val="zh-CN" w:eastAsia="zh-CN" w:bidi="zh-CN"/>
      </w:rPr>
    </w:lvl>
    <w:lvl w:ilvl="6" w:tentative="0">
      <w:start w:val="0"/>
      <w:numFmt w:val="bullet"/>
      <w:lvlText w:val="•"/>
      <w:lvlJc w:val="left"/>
      <w:pPr>
        <w:ind w:left="6603" w:hanging="551"/>
      </w:pPr>
      <w:rPr>
        <w:rFonts w:hint="default"/>
        <w:lang w:val="zh-CN" w:eastAsia="zh-CN" w:bidi="zh-CN"/>
      </w:rPr>
    </w:lvl>
    <w:lvl w:ilvl="7" w:tentative="0">
      <w:start w:val="0"/>
      <w:numFmt w:val="bullet"/>
      <w:lvlText w:val="•"/>
      <w:lvlJc w:val="left"/>
      <w:pPr>
        <w:ind w:left="7504" w:hanging="551"/>
      </w:pPr>
      <w:rPr>
        <w:rFonts w:hint="default"/>
        <w:lang w:val="zh-CN" w:eastAsia="zh-CN" w:bidi="zh-CN"/>
      </w:rPr>
    </w:lvl>
    <w:lvl w:ilvl="8" w:tentative="0">
      <w:start w:val="0"/>
      <w:numFmt w:val="bullet"/>
      <w:lvlText w:val="•"/>
      <w:lvlJc w:val="left"/>
      <w:pPr>
        <w:ind w:left="8404" w:hanging="551"/>
      </w:pPr>
      <w:rPr>
        <w:rFonts w:hint="default"/>
        <w:lang w:val="zh-CN" w:eastAsia="zh-CN" w:bidi="zh-CN"/>
      </w:rPr>
    </w:lvl>
  </w:abstractNum>
  <w:abstractNum w:abstractNumId="2">
    <w:nsid w:val="BF205925"/>
    <w:multiLevelType w:val="multilevel"/>
    <w:tmpl w:val="BF205925"/>
    <w:lvl w:ilvl="0" w:tentative="0">
      <w:start w:val="1"/>
      <w:numFmt w:val="decimal"/>
      <w:lvlText w:val="（%1）"/>
      <w:lvlJc w:val="left"/>
      <w:pPr>
        <w:ind w:left="1190" w:hanging="551"/>
        <w:jc w:val="left"/>
      </w:pPr>
      <w:rPr>
        <w:rFonts w:hint="default" w:ascii="宋体" w:hAnsi="宋体" w:eastAsia="宋体" w:cs="宋体"/>
        <w:spacing w:val="-3"/>
        <w:w w:val="100"/>
        <w:sz w:val="20"/>
        <w:szCs w:val="20"/>
        <w:lang w:val="zh-CN" w:eastAsia="zh-CN" w:bidi="zh-CN"/>
      </w:rPr>
    </w:lvl>
    <w:lvl w:ilvl="1" w:tentative="0">
      <w:start w:val="0"/>
      <w:numFmt w:val="bullet"/>
      <w:lvlText w:val="•"/>
      <w:lvlJc w:val="left"/>
      <w:pPr>
        <w:ind w:left="2100" w:hanging="551"/>
      </w:pPr>
      <w:rPr>
        <w:rFonts w:hint="default"/>
        <w:lang w:val="zh-CN" w:eastAsia="zh-CN" w:bidi="zh-CN"/>
      </w:rPr>
    </w:lvl>
    <w:lvl w:ilvl="2" w:tentative="0">
      <w:start w:val="0"/>
      <w:numFmt w:val="bullet"/>
      <w:lvlText w:val="•"/>
      <w:lvlJc w:val="left"/>
      <w:pPr>
        <w:ind w:left="3001" w:hanging="551"/>
      </w:pPr>
      <w:rPr>
        <w:rFonts w:hint="default"/>
        <w:lang w:val="zh-CN" w:eastAsia="zh-CN" w:bidi="zh-CN"/>
      </w:rPr>
    </w:lvl>
    <w:lvl w:ilvl="3" w:tentative="0">
      <w:start w:val="0"/>
      <w:numFmt w:val="bullet"/>
      <w:lvlText w:val="•"/>
      <w:lvlJc w:val="left"/>
      <w:pPr>
        <w:ind w:left="3901" w:hanging="551"/>
      </w:pPr>
      <w:rPr>
        <w:rFonts w:hint="default"/>
        <w:lang w:val="zh-CN" w:eastAsia="zh-CN" w:bidi="zh-CN"/>
      </w:rPr>
    </w:lvl>
    <w:lvl w:ilvl="4" w:tentative="0">
      <w:start w:val="0"/>
      <w:numFmt w:val="bullet"/>
      <w:lvlText w:val="•"/>
      <w:lvlJc w:val="left"/>
      <w:pPr>
        <w:ind w:left="4802" w:hanging="551"/>
      </w:pPr>
      <w:rPr>
        <w:rFonts w:hint="default"/>
        <w:lang w:val="zh-CN" w:eastAsia="zh-CN" w:bidi="zh-CN"/>
      </w:rPr>
    </w:lvl>
    <w:lvl w:ilvl="5" w:tentative="0">
      <w:start w:val="0"/>
      <w:numFmt w:val="bullet"/>
      <w:lvlText w:val="•"/>
      <w:lvlJc w:val="left"/>
      <w:pPr>
        <w:ind w:left="5703" w:hanging="551"/>
      </w:pPr>
      <w:rPr>
        <w:rFonts w:hint="default"/>
        <w:lang w:val="zh-CN" w:eastAsia="zh-CN" w:bidi="zh-CN"/>
      </w:rPr>
    </w:lvl>
    <w:lvl w:ilvl="6" w:tentative="0">
      <w:start w:val="0"/>
      <w:numFmt w:val="bullet"/>
      <w:lvlText w:val="•"/>
      <w:lvlJc w:val="left"/>
      <w:pPr>
        <w:ind w:left="6603" w:hanging="551"/>
      </w:pPr>
      <w:rPr>
        <w:rFonts w:hint="default"/>
        <w:lang w:val="zh-CN" w:eastAsia="zh-CN" w:bidi="zh-CN"/>
      </w:rPr>
    </w:lvl>
    <w:lvl w:ilvl="7" w:tentative="0">
      <w:start w:val="0"/>
      <w:numFmt w:val="bullet"/>
      <w:lvlText w:val="•"/>
      <w:lvlJc w:val="left"/>
      <w:pPr>
        <w:ind w:left="7504" w:hanging="551"/>
      </w:pPr>
      <w:rPr>
        <w:rFonts w:hint="default"/>
        <w:lang w:val="zh-CN" w:eastAsia="zh-CN" w:bidi="zh-CN"/>
      </w:rPr>
    </w:lvl>
    <w:lvl w:ilvl="8" w:tentative="0">
      <w:start w:val="0"/>
      <w:numFmt w:val="bullet"/>
      <w:lvlText w:val="•"/>
      <w:lvlJc w:val="left"/>
      <w:pPr>
        <w:ind w:left="8404" w:hanging="551"/>
      </w:pPr>
      <w:rPr>
        <w:rFonts w:hint="default"/>
        <w:lang w:val="zh-CN" w:eastAsia="zh-CN" w:bidi="zh-CN"/>
      </w:rPr>
    </w:lvl>
  </w:abstractNum>
  <w:abstractNum w:abstractNumId="3">
    <w:nsid w:val="C8879AEF"/>
    <w:multiLevelType w:val="multilevel"/>
    <w:tmpl w:val="C8879AEF"/>
    <w:lvl w:ilvl="0" w:tentative="0">
      <w:start w:val="1"/>
      <w:numFmt w:val="decimal"/>
      <w:lvlText w:val="（%1）"/>
      <w:lvlJc w:val="left"/>
      <w:pPr>
        <w:ind w:left="1164"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064" w:hanging="525"/>
      </w:pPr>
      <w:rPr>
        <w:rFonts w:hint="default"/>
        <w:lang w:val="zh-CN" w:eastAsia="zh-CN" w:bidi="zh-CN"/>
      </w:rPr>
    </w:lvl>
    <w:lvl w:ilvl="2" w:tentative="0">
      <w:start w:val="0"/>
      <w:numFmt w:val="bullet"/>
      <w:lvlText w:val="•"/>
      <w:lvlJc w:val="left"/>
      <w:pPr>
        <w:ind w:left="2969" w:hanging="525"/>
      </w:pPr>
      <w:rPr>
        <w:rFonts w:hint="default"/>
        <w:lang w:val="zh-CN" w:eastAsia="zh-CN" w:bidi="zh-CN"/>
      </w:rPr>
    </w:lvl>
    <w:lvl w:ilvl="3" w:tentative="0">
      <w:start w:val="0"/>
      <w:numFmt w:val="bullet"/>
      <w:lvlText w:val="•"/>
      <w:lvlJc w:val="left"/>
      <w:pPr>
        <w:ind w:left="3873" w:hanging="525"/>
      </w:pPr>
      <w:rPr>
        <w:rFonts w:hint="default"/>
        <w:lang w:val="zh-CN" w:eastAsia="zh-CN" w:bidi="zh-CN"/>
      </w:rPr>
    </w:lvl>
    <w:lvl w:ilvl="4" w:tentative="0">
      <w:start w:val="0"/>
      <w:numFmt w:val="bullet"/>
      <w:lvlText w:val="•"/>
      <w:lvlJc w:val="left"/>
      <w:pPr>
        <w:ind w:left="4778" w:hanging="525"/>
      </w:pPr>
      <w:rPr>
        <w:rFonts w:hint="default"/>
        <w:lang w:val="zh-CN" w:eastAsia="zh-CN" w:bidi="zh-CN"/>
      </w:rPr>
    </w:lvl>
    <w:lvl w:ilvl="5" w:tentative="0">
      <w:start w:val="0"/>
      <w:numFmt w:val="bullet"/>
      <w:lvlText w:val="•"/>
      <w:lvlJc w:val="left"/>
      <w:pPr>
        <w:ind w:left="5683" w:hanging="525"/>
      </w:pPr>
      <w:rPr>
        <w:rFonts w:hint="default"/>
        <w:lang w:val="zh-CN" w:eastAsia="zh-CN" w:bidi="zh-CN"/>
      </w:rPr>
    </w:lvl>
    <w:lvl w:ilvl="6" w:tentative="0">
      <w:start w:val="0"/>
      <w:numFmt w:val="bullet"/>
      <w:lvlText w:val="•"/>
      <w:lvlJc w:val="left"/>
      <w:pPr>
        <w:ind w:left="6587" w:hanging="525"/>
      </w:pPr>
      <w:rPr>
        <w:rFonts w:hint="default"/>
        <w:lang w:val="zh-CN" w:eastAsia="zh-CN" w:bidi="zh-CN"/>
      </w:rPr>
    </w:lvl>
    <w:lvl w:ilvl="7" w:tentative="0">
      <w:start w:val="0"/>
      <w:numFmt w:val="bullet"/>
      <w:lvlText w:val="•"/>
      <w:lvlJc w:val="left"/>
      <w:pPr>
        <w:ind w:left="7492" w:hanging="525"/>
      </w:pPr>
      <w:rPr>
        <w:rFonts w:hint="default"/>
        <w:lang w:val="zh-CN" w:eastAsia="zh-CN" w:bidi="zh-CN"/>
      </w:rPr>
    </w:lvl>
    <w:lvl w:ilvl="8" w:tentative="0">
      <w:start w:val="0"/>
      <w:numFmt w:val="bullet"/>
      <w:lvlText w:val="•"/>
      <w:lvlJc w:val="left"/>
      <w:pPr>
        <w:ind w:left="8396" w:hanging="525"/>
      </w:pPr>
      <w:rPr>
        <w:rFonts w:hint="default"/>
        <w:lang w:val="zh-CN" w:eastAsia="zh-CN" w:bidi="zh-CN"/>
      </w:rPr>
    </w:lvl>
  </w:abstractNum>
  <w:abstractNum w:abstractNumId="4">
    <w:nsid w:val="CF092B84"/>
    <w:multiLevelType w:val="multilevel"/>
    <w:tmpl w:val="CF092B84"/>
    <w:lvl w:ilvl="0" w:tentative="0">
      <w:start w:val="1"/>
      <w:numFmt w:val="decimal"/>
      <w:lvlText w:val="（%1）"/>
      <w:lvlJc w:val="left"/>
      <w:pPr>
        <w:ind w:left="130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190" w:hanging="601"/>
      </w:pPr>
      <w:rPr>
        <w:rFonts w:hint="default"/>
        <w:lang w:val="zh-CN" w:eastAsia="zh-CN" w:bidi="zh-CN"/>
      </w:rPr>
    </w:lvl>
    <w:lvl w:ilvl="2" w:tentative="0">
      <w:start w:val="0"/>
      <w:numFmt w:val="bullet"/>
      <w:lvlText w:val="•"/>
      <w:lvlJc w:val="left"/>
      <w:pPr>
        <w:ind w:left="3081" w:hanging="601"/>
      </w:pPr>
      <w:rPr>
        <w:rFonts w:hint="default"/>
        <w:lang w:val="zh-CN" w:eastAsia="zh-CN" w:bidi="zh-CN"/>
      </w:rPr>
    </w:lvl>
    <w:lvl w:ilvl="3" w:tentative="0">
      <w:start w:val="0"/>
      <w:numFmt w:val="bullet"/>
      <w:lvlText w:val="•"/>
      <w:lvlJc w:val="left"/>
      <w:pPr>
        <w:ind w:left="3971" w:hanging="601"/>
      </w:pPr>
      <w:rPr>
        <w:rFonts w:hint="default"/>
        <w:lang w:val="zh-CN" w:eastAsia="zh-CN" w:bidi="zh-CN"/>
      </w:rPr>
    </w:lvl>
    <w:lvl w:ilvl="4" w:tentative="0">
      <w:start w:val="0"/>
      <w:numFmt w:val="bullet"/>
      <w:lvlText w:val="•"/>
      <w:lvlJc w:val="left"/>
      <w:pPr>
        <w:ind w:left="4862" w:hanging="601"/>
      </w:pPr>
      <w:rPr>
        <w:rFonts w:hint="default"/>
        <w:lang w:val="zh-CN" w:eastAsia="zh-CN" w:bidi="zh-CN"/>
      </w:rPr>
    </w:lvl>
    <w:lvl w:ilvl="5" w:tentative="0">
      <w:start w:val="0"/>
      <w:numFmt w:val="bullet"/>
      <w:lvlText w:val="•"/>
      <w:lvlJc w:val="left"/>
      <w:pPr>
        <w:ind w:left="5753" w:hanging="601"/>
      </w:pPr>
      <w:rPr>
        <w:rFonts w:hint="default"/>
        <w:lang w:val="zh-CN" w:eastAsia="zh-CN" w:bidi="zh-CN"/>
      </w:rPr>
    </w:lvl>
    <w:lvl w:ilvl="6" w:tentative="0">
      <w:start w:val="0"/>
      <w:numFmt w:val="bullet"/>
      <w:lvlText w:val="•"/>
      <w:lvlJc w:val="left"/>
      <w:pPr>
        <w:ind w:left="6643" w:hanging="601"/>
      </w:pPr>
      <w:rPr>
        <w:rFonts w:hint="default"/>
        <w:lang w:val="zh-CN" w:eastAsia="zh-CN" w:bidi="zh-CN"/>
      </w:rPr>
    </w:lvl>
    <w:lvl w:ilvl="7" w:tentative="0">
      <w:start w:val="0"/>
      <w:numFmt w:val="bullet"/>
      <w:lvlText w:val="•"/>
      <w:lvlJc w:val="left"/>
      <w:pPr>
        <w:ind w:left="7534" w:hanging="601"/>
      </w:pPr>
      <w:rPr>
        <w:rFonts w:hint="default"/>
        <w:lang w:val="zh-CN" w:eastAsia="zh-CN" w:bidi="zh-CN"/>
      </w:rPr>
    </w:lvl>
    <w:lvl w:ilvl="8" w:tentative="0">
      <w:start w:val="0"/>
      <w:numFmt w:val="bullet"/>
      <w:lvlText w:val="•"/>
      <w:lvlJc w:val="left"/>
      <w:pPr>
        <w:ind w:left="8424" w:hanging="601"/>
      </w:pPr>
      <w:rPr>
        <w:rFonts w:hint="default"/>
        <w:lang w:val="zh-CN" w:eastAsia="zh-CN" w:bidi="zh-CN"/>
      </w:rPr>
    </w:lvl>
  </w:abstractNum>
  <w:abstractNum w:abstractNumId="5">
    <w:nsid w:val="E52ADB7F"/>
    <w:multiLevelType w:val="singleLevel"/>
    <w:tmpl w:val="E52ADB7F"/>
    <w:lvl w:ilvl="0" w:tentative="0">
      <w:start w:val="1"/>
      <w:numFmt w:val="decimal"/>
      <w:lvlText w:val="%1."/>
      <w:lvlJc w:val="left"/>
      <w:pPr>
        <w:tabs>
          <w:tab w:val="left" w:pos="312"/>
        </w:tabs>
      </w:pPr>
    </w:lvl>
  </w:abstractNum>
  <w:abstractNum w:abstractNumId="6">
    <w:nsid w:val="0053208E"/>
    <w:multiLevelType w:val="multilevel"/>
    <w:tmpl w:val="0053208E"/>
    <w:lvl w:ilvl="0" w:tentative="0">
      <w:start w:val="1"/>
      <w:numFmt w:val="decimal"/>
      <w:lvlText w:val="%1."/>
      <w:lvlJc w:val="left"/>
      <w:pPr>
        <w:ind w:left="1061" w:hanging="361"/>
        <w:jc w:val="left"/>
      </w:pPr>
      <w:rPr>
        <w:rFonts w:hint="default" w:ascii="Times New Roman" w:hAnsi="Times New Roman" w:eastAsia="Times New Roman" w:cs="Times New Roman"/>
        <w:b/>
        <w:bCs/>
        <w:w w:val="99"/>
        <w:sz w:val="22"/>
        <w:szCs w:val="22"/>
        <w:lang w:val="zh-CN" w:eastAsia="zh-CN" w:bidi="zh-CN"/>
      </w:rPr>
    </w:lvl>
    <w:lvl w:ilvl="1" w:tentative="0">
      <w:start w:val="1"/>
      <w:numFmt w:val="decimal"/>
      <w:lvlText w:val="%1.%2"/>
      <w:lvlJc w:val="left"/>
      <w:pPr>
        <w:ind w:left="220" w:hanging="360"/>
        <w:jc w:val="left"/>
      </w:pPr>
      <w:rPr>
        <w:rFonts w:hint="default" w:ascii="Times New Roman" w:hAnsi="Times New Roman" w:eastAsia="Times New Roman" w:cs="Times New Roman"/>
        <w:spacing w:val="-220"/>
        <w:w w:val="100"/>
        <w:sz w:val="24"/>
        <w:szCs w:val="24"/>
        <w:lang w:val="zh-CN" w:eastAsia="zh-CN" w:bidi="zh-CN"/>
      </w:rPr>
    </w:lvl>
    <w:lvl w:ilvl="2" w:tentative="0">
      <w:start w:val="0"/>
      <w:numFmt w:val="bullet"/>
      <w:lvlText w:val="•"/>
      <w:lvlJc w:val="left"/>
      <w:pPr>
        <w:ind w:left="1120" w:hanging="360"/>
      </w:pPr>
      <w:rPr>
        <w:rFonts w:hint="default"/>
        <w:lang w:val="zh-CN" w:eastAsia="zh-CN" w:bidi="zh-CN"/>
      </w:rPr>
    </w:lvl>
    <w:lvl w:ilvl="3" w:tentative="0">
      <w:start w:val="0"/>
      <w:numFmt w:val="bullet"/>
      <w:lvlText w:val="•"/>
      <w:lvlJc w:val="left"/>
      <w:pPr>
        <w:ind w:left="2255" w:hanging="360"/>
      </w:pPr>
      <w:rPr>
        <w:rFonts w:hint="default"/>
        <w:lang w:val="zh-CN" w:eastAsia="zh-CN" w:bidi="zh-CN"/>
      </w:rPr>
    </w:lvl>
    <w:lvl w:ilvl="4" w:tentative="0">
      <w:start w:val="0"/>
      <w:numFmt w:val="bullet"/>
      <w:lvlText w:val="•"/>
      <w:lvlJc w:val="left"/>
      <w:pPr>
        <w:ind w:left="3391" w:hanging="360"/>
      </w:pPr>
      <w:rPr>
        <w:rFonts w:hint="default"/>
        <w:lang w:val="zh-CN" w:eastAsia="zh-CN" w:bidi="zh-CN"/>
      </w:rPr>
    </w:lvl>
    <w:lvl w:ilvl="5" w:tentative="0">
      <w:start w:val="0"/>
      <w:numFmt w:val="bullet"/>
      <w:lvlText w:val="•"/>
      <w:lvlJc w:val="left"/>
      <w:pPr>
        <w:ind w:left="4527" w:hanging="360"/>
      </w:pPr>
      <w:rPr>
        <w:rFonts w:hint="default"/>
        <w:lang w:val="zh-CN" w:eastAsia="zh-CN" w:bidi="zh-CN"/>
      </w:rPr>
    </w:lvl>
    <w:lvl w:ilvl="6" w:tentative="0">
      <w:start w:val="0"/>
      <w:numFmt w:val="bullet"/>
      <w:lvlText w:val="•"/>
      <w:lvlJc w:val="left"/>
      <w:pPr>
        <w:ind w:left="5663" w:hanging="360"/>
      </w:pPr>
      <w:rPr>
        <w:rFonts w:hint="default"/>
        <w:lang w:val="zh-CN" w:eastAsia="zh-CN" w:bidi="zh-CN"/>
      </w:rPr>
    </w:lvl>
    <w:lvl w:ilvl="7" w:tentative="0">
      <w:start w:val="0"/>
      <w:numFmt w:val="bullet"/>
      <w:lvlText w:val="•"/>
      <w:lvlJc w:val="left"/>
      <w:pPr>
        <w:ind w:left="6798" w:hanging="360"/>
      </w:pPr>
      <w:rPr>
        <w:rFonts w:hint="default"/>
        <w:lang w:val="zh-CN" w:eastAsia="zh-CN" w:bidi="zh-CN"/>
      </w:rPr>
    </w:lvl>
    <w:lvl w:ilvl="8" w:tentative="0">
      <w:start w:val="0"/>
      <w:numFmt w:val="bullet"/>
      <w:lvlText w:val="•"/>
      <w:lvlJc w:val="left"/>
      <w:pPr>
        <w:ind w:left="7934" w:hanging="360"/>
      </w:pPr>
      <w:rPr>
        <w:rFonts w:hint="default"/>
        <w:lang w:val="zh-CN" w:eastAsia="zh-CN" w:bidi="zh-CN"/>
      </w:rPr>
    </w:lvl>
  </w:abstractNum>
  <w:abstractNum w:abstractNumId="7">
    <w:nsid w:val="0248C179"/>
    <w:multiLevelType w:val="multilevel"/>
    <w:tmpl w:val="0248C179"/>
    <w:lvl w:ilvl="0" w:tentative="0">
      <w:start w:val="1"/>
      <w:numFmt w:val="decimal"/>
      <w:lvlText w:val="（%1）"/>
      <w:lvlJc w:val="left"/>
      <w:pPr>
        <w:ind w:left="1190" w:hanging="551"/>
        <w:jc w:val="left"/>
      </w:pPr>
      <w:rPr>
        <w:rFonts w:hint="default" w:ascii="宋体" w:hAnsi="宋体" w:eastAsia="宋体" w:cs="宋体"/>
        <w:spacing w:val="-3"/>
        <w:w w:val="100"/>
        <w:sz w:val="20"/>
        <w:szCs w:val="20"/>
        <w:lang w:val="zh-CN" w:eastAsia="zh-CN" w:bidi="zh-CN"/>
      </w:rPr>
    </w:lvl>
    <w:lvl w:ilvl="1" w:tentative="0">
      <w:start w:val="0"/>
      <w:numFmt w:val="bullet"/>
      <w:lvlText w:val="•"/>
      <w:lvlJc w:val="left"/>
      <w:pPr>
        <w:ind w:left="2100" w:hanging="551"/>
      </w:pPr>
      <w:rPr>
        <w:rFonts w:hint="default"/>
        <w:lang w:val="zh-CN" w:eastAsia="zh-CN" w:bidi="zh-CN"/>
      </w:rPr>
    </w:lvl>
    <w:lvl w:ilvl="2" w:tentative="0">
      <w:start w:val="0"/>
      <w:numFmt w:val="bullet"/>
      <w:lvlText w:val="•"/>
      <w:lvlJc w:val="left"/>
      <w:pPr>
        <w:ind w:left="3001" w:hanging="551"/>
      </w:pPr>
      <w:rPr>
        <w:rFonts w:hint="default"/>
        <w:lang w:val="zh-CN" w:eastAsia="zh-CN" w:bidi="zh-CN"/>
      </w:rPr>
    </w:lvl>
    <w:lvl w:ilvl="3" w:tentative="0">
      <w:start w:val="0"/>
      <w:numFmt w:val="bullet"/>
      <w:lvlText w:val="•"/>
      <w:lvlJc w:val="left"/>
      <w:pPr>
        <w:ind w:left="3901" w:hanging="551"/>
      </w:pPr>
      <w:rPr>
        <w:rFonts w:hint="default"/>
        <w:lang w:val="zh-CN" w:eastAsia="zh-CN" w:bidi="zh-CN"/>
      </w:rPr>
    </w:lvl>
    <w:lvl w:ilvl="4" w:tentative="0">
      <w:start w:val="0"/>
      <w:numFmt w:val="bullet"/>
      <w:lvlText w:val="•"/>
      <w:lvlJc w:val="left"/>
      <w:pPr>
        <w:ind w:left="4802" w:hanging="551"/>
      </w:pPr>
      <w:rPr>
        <w:rFonts w:hint="default"/>
        <w:lang w:val="zh-CN" w:eastAsia="zh-CN" w:bidi="zh-CN"/>
      </w:rPr>
    </w:lvl>
    <w:lvl w:ilvl="5" w:tentative="0">
      <w:start w:val="0"/>
      <w:numFmt w:val="bullet"/>
      <w:lvlText w:val="•"/>
      <w:lvlJc w:val="left"/>
      <w:pPr>
        <w:ind w:left="5703" w:hanging="551"/>
      </w:pPr>
      <w:rPr>
        <w:rFonts w:hint="default"/>
        <w:lang w:val="zh-CN" w:eastAsia="zh-CN" w:bidi="zh-CN"/>
      </w:rPr>
    </w:lvl>
    <w:lvl w:ilvl="6" w:tentative="0">
      <w:start w:val="0"/>
      <w:numFmt w:val="bullet"/>
      <w:lvlText w:val="•"/>
      <w:lvlJc w:val="left"/>
      <w:pPr>
        <w:ind w:left="6603" w:hanging="551"/>
      </w:pPr>
      <w:rPr>
        <w:rFonts w:hint="default"/>
        <w:lang w:val="zh-CN" w:eastAsia="zh-CN" w:bidi="zh-CN"/>
      </w:rPr>
    </w:lvl>
    <w:lvl w:ilvl="7" w:tentative="0">
      <w:start w:val="0"/>
      <w:numFmt w:val="bullet"/>
      <w:lvlText w:val="•"/>
      <w:lvlJc w:val="left"/>
      <w:pPr>
        <w:ind w:left="7504" w:hanging="551"/>
      </w:pPr>
      <w:rPr>
        <w:rFonts w:hint="default"/>
        <w:lang w:val="zh-CN" w:eastAsia="zh-CN" w:bidi="zh-CN"/>
      </w:rPr>
    </w:lvl>
    <w:lvl w:ilvl="8" w:tentative="0">
      <w:start w:val="0"/>
      <w:numFmt w:val="bullet"/>
      <w:lvlText w:val="•"/>
      <w:lvlJc w:val="left"/>
      <w:pPr>
        <w:ind w:left="8404" w:hanging="551"/>
      </w:pPr>
      <w:rPr>
        <w:rFonts w:hint="default"/>
        <w:lang w:val="zh-CN" w:eastAsia="zh-CN" w:bidi="zh-CN"/>
      </w:rPr>
    </w:lvl>
  </w:abstractNum>
  <w:abstractNum w:abstractNumId="8">
    <w:nsid w:val="03D62ECE"/>
    <w:multiLevelType w:val="multilevel"/>
    <w:tmpl w:val="03D62ECE"/>
    <w:lvl w:ilvl="0" w:tentative="0">
      <w:start w:val="1"/>
      <w:numFmt w:val="decimal"/>
      <w:lvlText w:val="（%1）"/>
      <w:lvlJc w:val="left"/>
      <w:pPr>
        <w:ind w:left="1190" w:hanging="551"/>
        <w:jc w:val="left"/>
      </w:pPr>
      <w:rPr>
        <w:rFonts w:hint="default" w:ascii="宋体" w:hAnsi="宋体" w:eastAsia="宋体" w:cs="宋体"/>
        <w:spacing w:val="-3"/>
        <w:w w:val="100"/>
        <w:sz w:val="20"/>
        <w:szCs w:val="20"/>
        <w:lang w:val="zh-CN" w:eastAsia="zh-CN" w:bidi="zh-CN"/>
      </w:rPr>
    </w:lvl>
    <w:lvl w:ilvl="1" w:tentative="0">
      <w:start w:val="0"/>
      <w:numFmt w:val="bullet"/>
      <w:lvlText w:val="•"/>
      <w:lvlJc w:val="left"/>
      <w:pPr>
        <w:ind w:left="2100" w:hanging="551"/>
      </w:pPr>
      <w:rPr>
        <w:rFonts w:hint="default"/>
        <w:lang w:val="zh-CN" w:eastAsia="zh-CN" w:bidi="zh-CN"/>
      </w:rPr>
    </w:lvl>
    <w:lvl w:ilvl="2" w:tentative="0">
      <w:start w:val="0"/>
      <w:numFmt w:val="bullet"/>
      <w:lvlText w:val="•"/>
      <w:lvlJc w:val="left"/>
      <w:pPr>
        <w:ind w:left="3001" w:hanging="551"/>
      </w:pPr>
      <w:rPr>
        <w:rFonts w:hint="default"/>
        <w:lang w:val="zh-CN" w:eastAsia="zh-CN" w:bidi="zh-CN"/>
      </w:rPr>
    </w:lvl>
    <w:lvl w:ilvl="3" w:tentative="0">
      <w:start w:val="0"/>
      <w:numFmt w:val="bullet"/>
      <w:lvlText w:val="•"/>
      <w:lvlJc w:val="left"/>
      <w:pPr>
        <w:ind w:left="3901" w:hanging="551"/>
      </w:pPr>
      <w:rPr>
        <w:rFonts w:hint="default"/>
        <w:lang w:val="zh-CN" w:eastAsia="zh-CN" w:bidi="zh-CN"/>
      </w:rPr>
    </w:lvl>
    <w:lvl w:ilvl="4" w:tentative="0">
      <w:start w:val="0"/>
      <w:numFmt w:val="bullet"/>
      <w:lvlText w:val="•"/>
      <w:lvlJc w:val="left"/>
      <w:pPr>
        <w:ind w:left="4802" w:hanging="551"/>
      </w:pPr>
      <w:rPr>
        <w:rFonts w:hint="default"/>
        <w:lang w:val="zh-CN" w:eastAsia="zh-CN" w:bidi="zh-CN"/>
      </w:rPr>
    </w:lvl>
    <w:lvl w:ilvl="5" w:tentative="0">
      <w:start w:val="0"/>
      <w:numFmt w:val="bullet"/>
      <w:lvlText w:val="•"/>
      <w:lvlJc w:val="left"/>
      <w:pPr>
        <w:ind w:left="5703" w:hanging="551"/>
      </w:pPr>
      <w:rPr>
        <w:rFonts w:hint="default"/>
        <w:lang w:val="zh-CN" w:eastAsia="zh-CN" w:bidi="zh-CN"/>
      </w:rPr>
    </w:lvl>
    <w:lvl w:ilvl="6" w:tentative="0">
      <w:start w:val="0"/>
      <w:numFmt w:val="bullet"/>
      <w:lvlText w:val="•"/>
      <w:lvlJc w:val="left"/>
      <w:pPr>
        <w:ind w:left="6603" w:hanging="551"/>
      </w:pPr>
      <w:rPr>
        <w:rFonts w:hint="default"/>
        <w:lang w:val="zh-CN" w:eastAsia="zh-CN" w:bidi="zh-CN"/>
      </w:rPr>
    </w:lvl>
    <w:lvl w:ilvl="7" w:tentative="0">
      <w:start w:val="0"/>
      <w:numFmt w:val="bullet"/>
      <w:lvlText w:val="•"/>
      <w:lvlJc w:val="left"/>
      <w:pPr>
        <w:ind w:left="7504" w:hanging="551"/>
      </w:pPr>
      <w:rPr>
        <w:rFonts w:hint="default"/>
        <w:lang w:val="zh-CN" w:eastAsia="zh-CN" w:bidi="zh-CN"/>
      </w:rPr>
    </w:lvl>
    <w:lvl w:ilvl="8" w:tentative="0">
      <w:start w:val="0"/>
      <w:numFmt w:val="bullet"/>
      <w:lvlText w:val="•"/>
      <w:lvlJc w:val="left"/>
      <w:pPr>
        <w:ind w:left="8404" w:hanging="551"/>
      </w:pPr>
      <w:rPr>
        <w:rFonts w:hint="default"/>
        <w:lang w:val="zh-CN" w:eastAsia="zh-CN" w:bidi="zh-CN"/>
      </w:rPr>
    </w:lvl>
  </w:abstractNum>
  <w:abstractNum w:abstractNumId="9">
    <w:nsid w:val="25B654F3"/>
    <w:multiLevelType w:val="multilevel"/>
    <w:tmpl w:val="25B654F3"/>
    <w:lvl w:ilvl="0" w:tentative="0">
      <w:start w:val="1"/>
      <w:numFmt w:val="decimal"/>
      <w:lvlText w:val="（%1）"/>
      <w:lvlJc w:val="left"/>
      <w:pPr>
        <w:ind w:left="220" w:hanging="551"/>
        <w:jc w:val="left"/>
      </w:pPr>
      <w:rPr>
        <w:rFonts w:hint="default" w:ascii="宋体" w:hAnsi="宋体" w:eastAsia="宋体" w:cs="宋体"/>
        <w:spacing w:val="-37"/>
        <w:w w:val="100"/>
        <w:sz w:val="20"/>
        <w:szCs w:val="20"/>
        <w:lang w:val="zh-CN" w:eastAsia="zh-CN" w:bidi="zh-CN"/>
      </w:rPr>
    </w:lvl>
    <w:lvl w:ilvl="1" w:tentative="0">
      <w:start w:val="0"/>
      <w:numFmt w:val="bullet"/>
      <w:lvlText w:val="•"/>
      <w:lvlJc w:val="left"/>
      <w:pPr>
        <w:ind w:left="1218" w:hanging="551"/>
      </w:pPr>
      <w:rPr>
        <w:rFonts w:hint="default"/>
        <w:lang w:val="zh-CN" w:eastAsia="zh-CN" w:bidi="zh-CN"/>
      </w:rPr>
    </w:lvl>
    <w:lvl w:ilvl="2" w:tentative="0">
      <w:start w:val="0"/>
      <w:numFmt w:val="bullet"/>
      <w:lvlText w:val="•"/>
      <w:lvlJc w:val="left"/>
      <w:pPr>
        <w:ind w:left="2217" w:hanging="551"/>
      </w:pPr>
      <w:rPr>
        <w:rFonts w:hint="default"/>
        <w:lang w:val="zh-CN" w:eastAsia="zh-CN" w:bidi="zh-CN"/>
      </w:rPr>
    </w:lvl>
    <w:lvl w:ilvl="3" w:tentative="0">
      <w:start w:val="0"/>
      <w:numFmt w:val="bullet"/>
      <w:lvlText w:val="•"/>
      <w:lvlJc w:val="left"/>
      <w:pPr>
        <w:ind w:left="3215" w:hanging="551"/>
      </w:pPr>
      <w:rPr>
        <w:rFonts w:hint="default"/>
        <w:lang w:val="zh-CN" w:eastAsia="zh-CN" w:bidi="zh-CN"/>
      </w:rPr>
    </w:lvl>
    <w:lvl w:ilvl="4" w:tentative="0">
      <w:start w:val="0"/>
      <w:numFmt w:val="bullet"/>
      <w:lvlText w:val="•"/>
      <w:lvlJc w:val="left"/>
      <w:pPr>
        <w:ind w:left="4214" w:hanging="551"/>
      </w:pPr>
      <w:rPr>
        <w:rFonts w:hint="default"/>
        <w:lang w:val="zh-CN" w:eastAsia="zh-CN" w:bidi="zh-CN"/>
      </w:rPr>
    </w:lvl>
    <w:lvl w:ilvl="5" w:tentative="0">
      <w:start w:val="0"/>
      <w:numFmt w:val="bullet"/>
      <w:lvlText w:val="•"/>
      <w:lvlJc w:val="left"/>
      <w:pPr>
        <w:ind w:left="5213" w:hanging="551"/>
      </w:pPr>
      <w:rPr>
        <w:rFonts w:hint="default"/>
        <w:lang w:val="zh-CN" w:eastAsia="zh-CN" w:bidi="zh-CN"/>
      </w:rPr>
    </w:lvl>
    <w:lvl w:ilvl="6" w:tentative="0">
      <w:start w:val="0"/>
      <w:numFmt w:val="bullet"/>
      <w:lvlText w:val="•"/>
      <w:lvlJc w:val="left"/>
      <w:pPr>
        <w:ind w:left="6211" w:hanging="551"/>
      </w:pPr>
      <w:rPr>
        <w:rFonts w:hint="default"/>
        <w:lang w:val="zh-CN" w:eastAsia="zh-CN" w:bidi="zh-CN"/>
      </w:rPr>
    </w:lvl>
    <w:lvl w:ilvl="7" w:tentative="0">
      <w:start w:val="0"/>
      <w:numFmt w:val="bullet"/>
      <w:lvlText w:val="•"/>
      <w:lvlJc w:val="left"/>
      <w:pPr>
        <w:ind w:left="7210" w:hanging="551"/>
      </w:pPr>
      <w:rPr>
        <w:rFonts w:hint="default"/>
        <w:lang w:val="zh-CN" w:eastAsia="zh-CN" w:bidi="zh-CN"/>
      </w:rPr>
    </w:lvl>
    <w:lvl w:ilvl="8" w:tentative="0">
      <w:start w:val="0"/>
      <w:numFmt w:val="bullet"/>
      <w:lvlText w:val="•"/>
      <w:lvlJc w:val="left"/>
      <w:pPr>
        <w:ind w:left="8208" w:hanging="551"/>
      </w:pPr>
      <w:rPr>
        <w:rFonts w:hint="default"/>
        <w:lang w:val="zh-CN" w:eastAsia="zh-CN" w:bidi="zh-CN"/>
      </w:rPr>
    </w:lvl>
  </w:abstractNum>
  <w:abstractNum w:abstractNumId="10">
    <w:nsid w:val="26039466"/>
    <w:multiLevelType w:val="multilevel"/>
    <w:tmpl w:val="26039466"/>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sz w:val="22"/>
        <w:szCs w:val="22"/>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1">
    <w:nsid w:val="2A8F537B"/>
    <w:multiLevelType w:val="multilevel"/>
    <w:tmpl w:val="2A8F537B"/>
    <w:lvl w:ilvl="0" w:tentative="0">
      <w:start w:val="1"/>
      <w:numFmt w:val="decimal"/>
      <w:lvlText w:val="（%1）"/>
      <w:lvlJc w:val="left"/>
      <w:pPr>
        <w:ind w:left="599"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104" w:hanging="525"/>
      </w:pPr>
      <w:rPr>
        <w:rFonts w:hint="default"/>
        <w:lang w:val="zh-CN" w:eastAsia="zh-CN" w:bidi="zh-CN"/>
      </w:rPr>
    </w:lvl>
    <w:lvl w:ilvl="2" w:tentative="0">
      <w:start w:val="0"/>
      <w:numFmt w:val="bullet"/>
      <w:lvlText w:val="•"/>
      <w:lvlJc w:val="left"/>
      <w:pPr>
        <w:ind w:left="1609" w:hanging="525"/>
      </w:pPr>
      <w:rPr>
        <w:rFonts w:hint="default"/>
        <w:lang w:val="zh-CN" w:eastAsia="zh-CN" w:bidi="zh-CN"/>
      </w:rPr>
    </w:lvl>
    <w:lvl w:ilvl="3" w:tentative="0">
      <w:start w:val="0"/>
      <w:numFmt w:val="bullet"/>
      <w:lvlText w:val="•"/>
      <w:lvlJc w:val="left"/>
      <w:pPr>
        <w:ind w:left="2113" w:hanging="525"/>
      </w:pPr>
      <w:rPr>
        <w:rFonts w:hint="default"/>
        <w:lang w:val="zh-CN" w:eastAsia="zh-CN" w:bidi="zh-CN"/>
      </w:rPr>
    </w:lvl>
    <w:lvl w:ilvl="4" w:tentative="0">
      <w:start w:val="0"/>
      <w:numFmt w:val="bullet"/>
      <w:lvlText w:val="•"/>
      <w:lvlJc w:val="left"/>
      <w:pPr>
        <w:ind w:left="2618" w:hanging="525"/>
      </w:pPr>
      <w:rPr>
        <w:rFonts w:hint="default"/>
        <w:lang w:val="zh-CN" w:eastAsia="zh-CN" w:bidi="zh-CN"/>
      </w:rPr>
    </w:lvl>
    <w:lvl w:ilvl="5" w:tentative="0">
      <w:start w:val="0"/>
      <w:numFmt w:val="bullet"/>
      <w:lvlText w:val="•"/>
      <w:lvlJc w:val="left"/>
      <w:pPr>
        <w:ind w:left="3123" w:hanging="525"/>
      </w:pPr>
      <w:rPr>
        <w:rFonts w:hint="default"/>
        <w:lang w:val="zh-CN" w:eastAsia="zh-CN" w:bidi="zh-CN"/>
      </w:rPr>
    </w:lvl>
    <w:lvl w:ilvl="6" w:tentative="0">
      <w:start w:val="0"/>
      <w:numFmt w:val="bullet"/>
      <w:lvlText w:val="•"/>
      <w:lvlJc w:val="left"/>
      <w:pPr>
        <w:ind w:left="3627" w:hanging="525"/>
      </w:pPr>
      <w:rPr>
        <w:rFonts w:hint="default"/>
        <w:lang w:val="zh-CN" w:eastAsia="zh-CN" w:bidi="zh-CN"/>
      </w:rPr>
    </w:lvl>
    <w:lvl w:ilvl="7" w:tentative="0">
      <w:start w:val="0"/>
      <w:numFmt w:val="bullet"/>
      <w:lvlText w:val="•"/>
      <w:lvlJc w:val="left"/>
      <w:pPr>
        <w:ind w:left="4132" w:hanging="525"/>
      </w:pPr>
      <w:rPr>
        <w:rFonts w:hint="default"/>
        <w:lang w:val="zh-CN" w:eastAsia="zh-CN" w:bidi="zh-CN"/>
      </w:rPr>
    </w:lvl>
    <w:lvl w:ilvl="8" w:tentative="0">
      <w:start w:val="0"/>
      <w:numFmt w:val="bullet"/>
      <w:lvlText w:val="•"/>
      <w:lvlJc w:val="left"/>
      <w:pPr>
        <w:ind w:left="4637" w:hanging="525"/>
      </w:pPr>
      <w:rPr>
        <w:rFonts w:hint="default"/>
        <w:lang w:val="zh-CN" w:eastAsia="zh-CN" w:bidi="zh-CN"/>
      </w:rPr>
    </w:lvl>
  </w:abstractNum>
  <w:abstractNum w:abstractNumId="12">
    <w:nsid w:val="4AC5FFFE"/>
    <w:multiLevelType w:val="singleLevel"/>
    <w:tmpl w:val="4AC5FFFE"/>
    <w:lvl w:ilvl="0" w:tentative="0">
      <w:start w:val="1"/>
      <w:numFmt w:val="decimal"/>
      <w:lvlText w:val="%1."/>
      <w:lvlJc w:val="left"/>
      <w:pPr>
        <w:tabs>
          <w:tab w:val="left" w:pos="312"/>
        </w:tabs>
      </w:pPr>
    </w:lvl>
  </w:abstractNum>
  <w:abstractNum w:abstractNumId="13">
    <w:nsid w:val="4D4DC07F"/>
    <w:multiLevelType w:val="multilevel"/>
    <w:tmpl w:val="4D4DC07F"/>
    <w:lvl w:ilvl="0" w:tentative="0">
      <w:start w:val="1"/>
      <w:numFmt w:val="decimal"/>
      <w:lvlText w:val="%1."/>
      <w:lvlJc w:val="left"/>
      <w:pPr>
        <w:ind w:left="220" w:hanging="361"/>
        <w:jc w:val="left"/>
      </w:pPr>
      <w:rPr>
        <w:rFonts w:hint="default" w:ascii="Times New Roman" w:hAnsi="Times New Roman" w:eastAsia="Times New Roman" w:cs="Times New Roman"/>
        <w:spacing w:val="-8"/>
        <w:w w:val="100"/>
        <w:sz w:val="22"/>
        <w:szCs w:val="22"/>
        <w:lang w:val="zh-CN" w:eastAsia="zh-CN" w:bidi="zh-CN"/>
      </w:rPr>
    </w:lvl>
    <w:lvl w:ilvl="1" w:tentative="0">
      <w:start w:val="0"/>
      <w:numFmt w:val="bullet"/>
      <w:lvlText w:val="•"/>
      <w:lvlJc w:val="left"/>
      <w:pPr>
        <w:ind w:left="1218" w:hanging="361"/>
      </w:pPr>
      <w:rPr>
        <w:rFonts w:hint="default"/>
        <w:lang w:val="zh-CN" w:eastAsia="zh-CN" w:bidi="zh-CN"/>
      </w:rPr>
    </w:lvl>
    <w:lvl w:ilvl="2" w:tentative="0">
      <w:start w:val="0"/>
      <w:numFmt w:val="bullet"/>
      <w:lvlText w:val="•"/>
      <w:lvlJc w:val="left"/>
      <w:pPr>
        <w:ind w:left="2217" w:hanging="361"/>
      </w:pPr>
      <w:rPr>
        <w:rFonts w:hint="default"/>
        <w:lang w:val="zh-CN" w:eastAsia="zh-CN" w:bidi="zh-CN"/>
      </w:rPr>
    </w:lvl>
    <w:lvl w:ilvl="3" w:tentative="0">
      <w:start w:val="0"/>
      <w:numFmt w:val="bullet"/>
      <w:lvlText w:val="•"/>
      <w:lvlJc w:val="left"/>
      <w:pPr>
        <w:ind w:left="3215" w:hanging="361"/>
      </w:pPr>
      <w:rPr>
        <w:rFonts w:hint="default"/>
        <w:lang w:val="zh-CN" w:eastAsia="zh-CN" w:bidi="zh-CN"/>
      </w:rPr>
    </w:lvl>
    <w:lvl w:ilvl="4" w:tentative="0">
      <w:start w:val="0"/>
      <w:numFmt w:val="bullet"/>
      <w:lvlText w:val="•"/>
      <w:lvlJc w:val="left"/>
      <w:pPr>
        <w:ind w:left="4214" w:hanging="361"/>
      </w:pPr>
      <w:rPr>
        <w:rFonts w:hint="default"/>
        <w:lang w:val="zh-CN" w:eastAsia="zh-CN" w:bidi="zh-CN"/>
      </w:rPr>
    </w:lvl>
    <w:lvl w:ilvl="5" w:tentative="0">
      <w:start w:val="0"/>
      <w:numFmt w:val="bullet"/>
      <w:lvlText w:val="•"/>
      <w:lvlJc w:val="left"/>
      <w:pPr>
        <w:ind w:left="5213" w:hanging="361"/>
      </w:pPr>
      <w:rPr>
        <w:rFonts w:hint="default"/>
        <w:lang w:val="zh-CN" w:eastAsia="zh-CN" w:bidi="zh-CN"/>
      </w:rPr>
    </w:lvl>
    <w:lvl w:ilvl="6" w:tentative="0">
      <w:start w:val="0"/>
      <w:numFmt w:val="bullet"/>
      <w:lvlText w:val="•"/>
      <w:lvlJc w:val="left"/>
      <w:pPr>
        <w:ind w:left="6211" w:hanging="361"/>
      </w:pPr>
      <w:rPr>
        <w:rFonts w:hint="default"/>
        <w:lang w:val="zh-CN" w:eastAsia="zh-CN" w:bidi="zh-CN"/>
      </w:rPr>
    </w:lvl>
    <w:lvl w:ilvl="7" w:tentative="0">
      <w:start w:val="0"/>
      <w:numFmt w:val="bullet"/>
      <w:lvlText w:val="•"/>
      <w:lvlJc w:val="left"/>
      <w:pPr>
        <w:ind w:left="7210" w:hanging="361"/>
      </w:pPr>
      <w:rPr>
        <w:rFonts w:hint="default"/>
        <w:lang w:val="zh-CN" w:eastAsia="zh-CN" w:bidi="zh-CN"/>
      </w:rPr>
    </w:lvl>
    <w:lvl w:ilvl="8" w:tentative="0">
      <w:start w:val="0"/>
      <w:numFmt w:val="bullet"/>
      <w:lvlText w:val="•"/>
      <w:lvlJc w:val="left"/>
      <w:pPr>
        <w:ind w:left="8208" w:hanging="361"/>
      </w:pPr>
      <w:rPr>
        <w:rFonts w:hint="default"/>
        <w:lang w:val="zh-CN" w:eastAsia="zh-CN" w:bidi="zh-CN"/>
      </w:rPr>
    </w:lvl>
  </w:abstractNum>
  <w:abstractNum w:abstractNumId="14">
    <w:nsid w:val="59ADCABA"/>
    <w:multiLevelType w:val="multilevel"/>
    <w:tmpl w:val="59ADCABA"/>
    <w:lvl w:ilvl="0" w:tentative="0">
      <w:start w:val="1"/>
      <w:numFmt w:val="decimal"/>
      <w:lvlText w:val="%1."/>
      <w:lvlJc w:val="left"/>
      <w:pPr>
        <w:ind w:left="570" w:hanging="351"/>
        <w:jc w:val="left"/>
      </w:pPr>
      <w:rPr>
        <w:rFonts w:hint="default" w:ascii="Times New Roman" w:hAnsi="Times New Roman" w:eastAsia="Times New Roman" w:cs="Times New Roman"/>
        <w:spacing w:val="0"/>
        <w:w w:val="100"/>
        <w:sz w:val="28"/>
        <w:szCs w:val="28"/>
        <w:lang w:val="zh-CN" w:eastAsia="zh-CN" w:bidi="zh-CN"/>
      </w:rPr>
    </w:lvl>
    <w:lvl w:ilvl="1" w:tentative="0">
      <w:start w:val="1"/>
      <w:numFmt w:val="decimal"/>
      <w:lvlText w:val="%1.%2"/>
      <w:lvlJc w:val="left"/>
      <w:pPr>
        <w:ind w:left="709" w:hanging="490"/>
        <w:jc w:val="left"/>
      </w:pPr>
      <w:rPr>
        <w:rFonts w:hint="default" w:ascii="Times New Roman" w:hAnsi="Times New Roman" w:eastAsia="Times New Roman" w:cs="Times New Roman"/>
        <w:spacing w:val="-1"/>
        <w:w w:val="100"/>
        <w:sz w:val="28"/>
        <w:szCs w:val="28"/>
        <w:lang w:val="zh-CN" w:eastAsia="zh-CN" w:bidi="zh-CN"/>
      </w:rPr>
    </w:lvl>
    <w:lvl w:ilvl="2" w:tentative="0">
      <w:start w:val="1"/>
      <w:numFmt w:val="decimal"/>
      <w:lvlText w:val="%1.%2.%3"/>
      <w:lvlJc w:val="left"/>
      <w:pPr>
        <w:ind w:left="220" w:hanging="550"/>
        <w:jc w:val="left"/>
      </w:pPr>
      <w:rPr>
        <w:rFonts w:hint="default" w:ascii="Times New Roman" w:hAnsi="Times New Roman" w:eastAsia="Times New Roman" w:cs="Times New Roman"/>
        <w:spacing w:val="-1"/>
        <w:w w:val="100"/>
        <w:sz w:val="22"/>
        <w:szCs w:val="22"/>
        <w:lang w:val="zh-CN" w:eastAsia="zh-CN" w:bidi="zh-CN"/>
      </w:rPr>
    </w:lvl>
    <w:lvl w:ilvl="3" w:tentative="0">
      <w:start w:val="0"/>
      <w:numFmt w:val="bullet"/>
      <w:lvlText w:val="•"/>
      <w:lvlJc w:val="left"/>
      <w:pPr>
        <w:ind w:left="700" w:hanging="550"/>
      </w:pPr>
      <w:rPr>
        <w:rFonts w:hint="default"/>
        <w:lang w:val="zh-CN" w:eastAsia="zh-CN" w:bidi="zh-CN"/>
      </w:rPr>
    </w:lvl>
    <w:lvl w:ilvl="4" w:tentative="0">
      <w:start w:val="0"/>
      <w:numFmt w:val="bullet"/>
      <w:lvlText w:val="•"/>
      <w:lvlJc w:val="left"/>
      <w:pPr>
        <w:ind w:left="1140" w:hanging="550"/>
      </w:pPr>
      <w:rPr>
        <w:rFonts w:hint="default"/>
        <w:lang w:val="zh-CN" w:eastAsia="zh-CN" w:bidi="zh-CN"/>
      </w:rPr>
    </w:lvl>
    <w:lvl w:ilvl="5" w:tentative="0">
      <w:start w:val="0"/>
      <w:numFmt w:val="bullet"/>
      <w:lvlText w:val="•"/>
      <w:lvlJc w:val="left"/>
      <w:pPr>
        <w:ind w:left="1180" w:hanging="550"/>
      </w:pPr>
      <w:rPr>
        <w:rFonts w:hint="default"/>
        <w:lang w:val="zh-CN" w:eastAsia="zh-CN" w:bidi="zh-CN"/>
      </w:rPr>
    </w:lvl>
    <w:lvl w:ilvl="6" w:tentative="0">
      <w:start w:val="0"/>
      <w:numFmt w:val="bullet"/>
      <w:lvlText w:val="•"/>
      <w:lvlJc w:val="left"/>
      <w:pPr>
        <w:ind w:left="2985" w:hanging="550"/>
      </w:pPr>
      <w:rPr>
        <w:rFonts w:hint="default"/>
        <w:lang w:val="zh-CN" w:eastAsia="zh-CN" w:bidi="zh-CN"/>
      </w:rPr>
    </w:lvl>
    <w:lvl w:ilvl="7" w:tentative="0">
      <w:start w:val="0"/>
      <w:numFmt w:val="bullet"/>
      <w:lvlText w:val="•"/>
      <w:lvlJc w:val="left"/>
      <w:pPr>
        <w:ind w:left="4790" w:hanging="550"/>
      </w:pPr>
      <w:rPr>
        <w:rFonts w:hint="default"/>
        <w:lang w:val="zh-CN" w:eastAsia="zh-CN" w:bidi="zh-CN"/>
      </w:rPr>
    </w:lvl>
    <w:lvl w:ilvl="8" w:tentative="0">
      <w:start w:val="0"/>
      <w:numFmt w:val="bullet"/>
      <w:lvlText w:val="•"/>
      <w:lvlJc w:val="left"/>
      <w:pPr>
        <w:ind w:left="6595" w:hanging="550"/>
      </w:pPr>
      <w:rPr>
        <w:rFonts w:hint="default"/>
        <w:lang w:val="zh-CN" w:eastAsia="zh-CN" w:bidi="zh-CN"/>
      </w:rPr>
    </w:lvl>
  </w:abstractNum>
  <w:abstractNum w:abstractNumId="15">
    <w:nsid w:val="5A241D34"/>
    <w:multiLevelType w:val="multilevel"/>
    <w:tmpl w:val="5A241D34"/>
    <w:lvl w:ilvl="0" w:tentative="0">
      <w:start w:val="1"/>
      <w:numFmt w:val="decimal"/>
      <w:lvlText w:val="%1."/>
      <w:lvlJc w:val="left"/>
      <w:pPr>
        <w:ind w:left="520" w:hanging="300"/>
        <w:jc w:val="left"/>
      </w:pPr>
      <w:rPr>
        <w:rFonts w:hint="default" w:ascii="Times New Roman" w:hAnsi="Times New Roman" w:eastAsia="Times New Roman" w:cs="Times New Roman"/>
        <w:w w:val="100"/>
        <w:sz w:val="24"/>
        <w:szCs w:val="24"/>
        <w:lang w:val="zh-CN" w:eastAsia="zh-CN" w:bidi="zh-CN"/>
      </w:rPr>
    </w:lvl>
    <w:lvl w:ilvl="1" w:tentative="0">
      <w:start w:val="1"/>
      <w:numFmt w:val="decimal"/>
      <w:lvlText w:val="%1.%2"/>
      <w:lvlJc w:val="left"/>
      <w:pPr>
        <w:ind w:left="640" w:hanging="420"/>
        <w:jc w:val="left"/>
      </w:pPr>
      <w:rPr>
        <w:rFonts w:hint="default" w:ascii="Times New Roman" w:hAnsi="Times New Roman" w:eastAsia="Times New Roman" w:cs="Times New Roman"/>
        <w:w w:val="100"/>
        <w:sz w:val="24"/>
        <w:szCs w:val="24"/>
        <w:lang w:val="zh-CN" w:eastAsia="zh-CN" w:bidi="zh-CN"/>
      </w:rPr>
    </w:lvl>
    <w:lvl w:ilvl="2" w:tentative="0">
      <w:start w:val="1"/>
      <w:numFmt w:val="decimal"/>
      <w:lvlText w:val="%1.%2.%3"/>
      <w:lvlJc w:val="left"/>
      <w:pPr>
        <w:ind w:left="1165" w:hanging="526"/>
        <w:jc w:val="left"/>
      </w:pPr>
      <w:rPr>
        <w:rFonts w:hint="default" w:ascii="Times New Roman" w:hAnsi="Times New Roman" w:eastAsia="Times New Roman" w:cs="Times New Roman"/>
        <w:spacing w:val="0"/>
        <w:w w:val="99"/>
        <w:sz w:val="21"/>
        <w:szCs w:val="21"/>
        <w:lang w:val="zh-CN" w:eastAsia="zh-CN" w:bidi="zh-CN"/>
      </w:rPr>
    </w:lvl>
    <w:lvl w:ilvl="3" w:tentative="0">
      <w:start w:val="0"/>
      <w:numFmt w:val="bullet"/>
      <w:lvlText w:val="•"/>
      <w:lvlJc w:val="left"/>
      <w:pPr>
        <w:ind w:left="1160" w:hanging="526"/>
      </w:pPr>
      <w:rPr>
        <w:rFonts w:hint="default"/>
        <w:lang w:val="zh-CN" w:eastAsia="zh-CN" w:bidi="zh-CN"/>
      </w:rPr>
    </w:lvl>
    <w:lvl w:ilvl="4" w:tentative="0">
      <w:start w:val="0"/>
      <w:numFmt w:val="bullet"/>
      <w:lvlText w:val="•"/>
      <w:lvlJc w:val="left"/>
      <w:pPr>
        <w:ind w:left="2452" w:hanging="526"/>
      </w:pPr>
      <w:rPr>
        <w:rFonts w:hint="default"/>
        <w:lang w:val="zh-CN" w:eastAsia="zh-CN" w:bidi="zh-CN"/>
      </w:rPr>
    </w:lvl>
    <w:lvl w:ilvl="5" w:tentative="0">
      <w:start w:val="0"/>
      <w:numFmt w:val="bullet"/>
      <w:lvlText w:val="•"/>
      <w:lvlJc w:val="left"/>
      <w:pPr>
        <w:ind w:left="3744" w:hanging="526"/>
      </w:pPr>
      <w:rPr>
        <w:rFonts w:hint="default"/>
        <w:lang w:val="zh-CN" w:eastAsia="zh-CN" w:bidi="zh-CN"/>
      </w:rPr>
    </w:lvl>
    <w:lvl w:ilvl="6" w:tentative="0">
      <w:start w:val="0"/>
      <w:numFmt w:val="bullet"/>
      <w:lvlText w:val="•"/>
      <w:lvlJc w:val="left"/>
      <w:pPr>
        <w:ind w:left="5036" w:hanging="526"/>
      </w:pPr>
      <w:rPr>
        <w:rFonts w:hint="default"/>
        <w:lang w:val="zh-CN" w:eastAsia="zh-CN" w:bidi="zh-CN"/>
      </w:rPr>
    </w:lvl>
    <w:lvl w:ilvl="7" w:tentative="0">
      <w:start w:val="0"/>
      <w:numFmt w:val="bullet"/>
      <w:lvlText w:val="•"/>
      <w:lvlJc w:val="left"/>
      <w:pPr>
        <w:ind w:left="6329" w:hanging="526"/>
      </w:pPr>
      <w:rPr>
        <w:rFonts w:hint="default"/>
        <w:lang w:val="zh-CN" w:eastAsia="zh-CN" w:bidi="zh-CN"/>
      </w:rPr>
    </w:lvl>
    <w:lvl w:ilvl="8" w:tentative="0">
      <w:start w:val="0"/>
      <w:numFmt w:val="bullet"/>
      <w:lvlText w:val="•"/>
      <w:lvlJc w:val="left"/>
      <w:pPr>
        <w:ind w:left="7621" w:hanging="526"/>
      </w:pPr>
      <w:rPr>
        <w:rFonts w:hint="default"/>
        <w:lang w:val="zh-CN" w:eastAsia="zh-CN" w:bidi="zh-CN"/>
      </w:rPr>
    </w:lvl>
  </w:abstractNum>
  <w:abstractNum w:abstractNumId="16">
    <w:nsid w:val="72183CF9"/>
    <w:multiLevelType w:val="multilevel"/>
    <w:tmpl w:val="72183CF9"/>
    <w:lvl w:ilvl="0" w:tentative="0">
      <w:start w:val="1"/>
      <w:numFmt w:val="decimal"/>
      <w:lvlText w:val="（%1）"/>
      <w:lvlJc w:val="left"/>
      <w:pPr>
        <w:ind w:left="1190" w:hanging="551"/>
        <w:jc w:val="left"/>
      </w:pPr>
      <w:rPr>
        <w:rFonts w:hint="default" w:ascii="宋体" w:hAnsi="宋体" w:eastAsia="宋体" w:cs="宋体"/>
        <w:spacing w:val="-3"/>
        <w:w w:val="100"/>
        <w:sz w:val="20"/>
        <w:szCs w:val="20"/>
        <w:lang w:val="zh-CN" w:eastAsia="zh-CN" w:bidi="zh-CN"/>
      </w:rPr>
    </w:lvl>
    <w:lvl w:ilvl="1" w:tentative="0">
      <w:start w:val="0"/>
      <w:numFmt w:val="bullet"/>
      <w:lvlText w:val="•"/>
      <w:lvlJc w:val="left"/>
      <w:pPr>
        <w:ind w:left="2100" w:hanging="551"/>
      </w:pPr>
      <w:rPr>
        <w:rFonts w:hint="default"/>
        <w:lang w:val="zh-CN" w:eastAsia="zh-CN" w:bidi="zh-CN"/>
      </w:rPr>
    </w:lvl>
    <w:lvl w:ilvl="2" w:tentative="0">
      <w:start w:val="0"/>
      <w:numFmt w:val="bullet"/>
      <w:lvlText w:val="•"/>
      <w:lvlJc w:val="left"/>
      <w:pPr>
        <w:ind w:left="3001" w:hanging="551"/>
      </w:pPr>
      <w:rPr>
        <w:rFonts w:hint="default"/>
        <w:lang w:val="zh-CN" w:eastAsia="zh-CN" w:bidi="zh-CN"/>
      </w:rPr>
    </w:lvl>
    <w:lvl w:ilvl="3" w:tentative="0">
      <w:start w:val="0"/>
      <w:numFmt w:val="bullet"/>
      <w:lvlText w:val="•"/>
      <w:lvlJc w:val="left"/>
      <w:pPr>
        <w:ind w:left="3901" w:hanging="551"/>
      </w:pPr>
      <w:rPr>
        <w:rFonts w:hint="default"/>
        <w:lang w:val="zh-CN" w:eastAsia="zh-CN" w:bidi="zh-CN"/>
      </w:rPr>
    </w:lvl>
    <w:lvl w:ilvl="4" w:tentative="0">
      <w:start w:val="0"/>
      <w:numFmt w:val="bullet"/>
      <w:lvlText w:val="•"/>
      <w:lvlJc w:val="left"/>
      <w:pPr>
        <w:ind w:left="4802" w:hanging="551"/>
      </w:pPr>
      <w:rPr>
        <w:rFonts w:hint="default"/>
        <w:lang w:val="zh-CN" w:eastAsia="zh-CN" w:bidi="zh-CN"/>
      </w:rPr>
    </w:lvl>
    <w:lvl w:ilvl="5" w:tentative="0">
      <w:start w:val="0"/>
      <w:numFmt w:val="bullet"/>
      <w:lvlText w:val="•"/>
      <w:lvlJc w:val="left"/>
      <w:pPr>
        <w:ind w:left="5703" w:hanging="551"/>
      </w:pPr>
      <w:rPr>
        <w:rFonts w:hint="default"/>
        <w:lang w:val="zh-CN" w:eastAsia="zh-CN" w:bidi="zh-CN"/>
      </w:rPr>
    </w:lvl>
    <w:lvl w:ilvl="6" w:tentative="0">
      <w:start w:val="0"/>
      <w:numFmt w:val="bullet"/>
      <w:lvlText w:val="•"/>
      <w:lvlJc w:val="left"/>
      <w:pPr>
        <w:ind w:left="6603" w:hanging="551"/>
      </w:pPr>
      <w:rPr>
        <w:rFonts w:hint="default"/>
        <w:lang w:val="zh-CN" w:eastAsia="zh-CN" w:bidi="zh-CN"/>
      </w:rPr>
    </w:lvl>
    <w:lvl w:ilvl="7" w:tentative="0">
      <w:start w:val="0"/>
      <w:numFmt w:val="bullet"/>
      <w:lvlText w:val="•"/>
      <w:lvlJc w:val="left"/>
      <w:pPr>
        <w:ind w:left="7504" w:hanging="551"/>
      </w:pPr>
      <w:rPr>
        <w:rFonts w:hint="default"/>
        <w:lang w:val="zh-CN" w:eastAsia="zh-CN" w:bidi="zh-CN"/>
      </w:rPr>
    </w:lvl>
    <w:lvl w:ilvl="8" w:tentative="0">
      <w:start w:val="0"/>
      <w:numFmt w:val="bullet"/>
      <w:lvlText w:val="•"/>
      <w:lvlJc w:val="left"/>
      <w:pPr>
        <w:ind w:left="8404" w:hanging="551"/>
      </w:pPr>
      <w:rPr>
        <w:rFonts w:hint="default"/>
        <w:lang w:val="zh-CN" w:eastAsia="zh-CN" w:bidi="zh-CN"/>
      </w:rPr>
    </w:lvl>
  </w:abstractNum>
  <w:num w:numId="1">
    <w:abstractNumId w:val="6"/>
  </w:num>
  <w:num w:numId="2">
    <w:abstractNumId w:val="10"/>
  </w:num>
  <w:num w:numId="3">
    <w:abstractNumId w:val="4"/>
  </w:num>
  <w:num w:numId="4">
    <w:abstractNumId w:val="14"/>
  </w:num>
  <w:num w:numId="5">
    <w:abstractNumId w:val="2"/>
  </w:num>
  <w:num w:numId="6">
    <w:abstractNumId w:val="1"/>
  </w:num>
  <w:num w:numId="7">
    <w:abstractNumId w:val="8"/>
  </w:num>
  <w:num w:numId="8">
    <w:abstractNumId w:val="9"/>
  </w:num>
  <w:num w:numId="9">
    <w:abstractNumId w:val="16"/>
  </w:num>
  <w:num w:numId="10">
    <w:abstractNumId w:val="7"/>
  </w:num>
  <w:num w:numId="11">
    <w:abstractNumId w:val="0"/>
  </w:num>
  <w:num w:numId="12">
    <w:abstractNumId w:val="11"/>
  </w:num>
  <w:num w:numId="13">
    <w:abstractNumId w:val="15"/>
  </w:num>
  <w:num w:numId="14">
    <w:abstractNumId w:val="3"/>
  </w:num>
  <w:num w:numId="15">
    <w:abstractNumId w:val="13"/>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ODYwNDc2YmE2YzJmMTU2ZGU4ODk1ZTMxMDAyMjA2NGMifQ=="/>
    <w:docVar w:name="KSO_WPS_MARK_KEY" w:val="2b04e0ce-a264-4832-ac14-5293ee684e8a"/>
  </w:docVars>
  <w:rsids>
    <w:rsidRoot w:val="001D7C1D"/>
    <w:rsid w:val="000D172E"/>
    <w:rsid w:val="001D7C1D"/>
    <w:rsid w:val="00472379"/>
    <w:rsid w:val="006B23AF"/>
    <w:rsid w:val="00A86B0B"/>
    <w:rsid w:val="00B203F0"/>
    <w:rsid w:val="00C30D19"/>
    <w:rsid w:val="01521C8D"/>
    <w:rsid w:val="024E1B14"/>
    <w:rsid w:val="040C6223"/>
    <w:rsid w:val="0523406D"/>
    <w:rsid w:val="057B4657"/>
    <w:rsid w:val="06A731B5"/>
    <w:rsid w:val="071D3B22"/>
    <w:rsid w:val="077E591E"/>
    <w:rsid w:val="07BD6921"/>
    <w:rsid w:val="07DD588F"/>
    <w:rsid w:val="08D828DC"/>
    <w:rsid w:val="0934172D"/>
    <w:rsid w:val="0A776D93"/>
    <w:rsid w:val="0C4243F7"/>
    <w:rsid w:val="126D78CD"/>
    <w:rsid w:val="13833F28"/>
    <w:rsid w:val="158521DA"/>
    <w:rsid w:val="17D34A4C"/>
    <w:rsid w:val="19F33BB6"/>
    <w:rsid w:val="1F9B46E5"/>
    <w:rsid w:val="214B5E8D"/>
    <w:rsid w:val="224D0E5E"/>
    <w:rsid w:val="22DD4148"/>
    <w:rsid w:val="23781648"/>
    <w:rsid w:val="249C2A6C"/>
    <w:rsid w:val="2A49364F"/>
    <w:rsid w:val="2A9036A3"/>
    <w:rsid w:val="2B42015E"/>
    <w:rsid w:val="2EE07BB8"/>
    <w:rsid w:val="30DE0B7D"/>
    <w:rsid w:val="311032BF"/>
    <w:rsid w:val="32847973"/>
    <w:rsid w:val="345D5BC3"/>
    <w:rsid w:val="34661F45"/>
    <w:rsid w:val="362B3211"/>
    <w:rsid w:val="369E6933"/>
    <w:rsid w:val="389D2582"/>
    <w:rsid w:val="390B515D"/>
    <w:rsid w:val="39225359"/>
    <w:rsid w:val="39682B0D"/>
    <w:rsid w:val="39D64B98"/>
    <w:rsid w:val="3AA81151"/>
    <w:rsid w:val="3BFB3258"/>
    <w:rsid w:val="3CB84E6A"/>
    <w:rsid w:val="41DC61E3"/>
    <w:rsid w:val="41F16F42"/>
    <w:rsid w:val="43686156"/>
    <w:rsid w:val="436D48FB"/>
    <w:rsid w:val="43CA157C"/>
    <w:rsid w:val="44454F59"/>
    <w:rsid w:val="44C0783F"/>
    <w:rsid w:val="44D4660E"/>
    <w:rsid w:val="484C5168"/>
    <w:rsid w:val="4EBA0FC6"/>
    <w:rsid w:val="510F23BD"/>
    <w:rsid w:val="51C00912"/>
    <w:rsid w:val="54641595"/>
    <w:rsid w:val="54F61E7F"/>
    <w:rsid w:val="561142D1"/>
    <w:rsid w:val="57E34D6D"/>
    <w:rsid w:val="5C49251E"/>
    <w:rsid w:val="5D1039FD"/>
    <w:rsid w:val="60356DDD"/>
    <w:rsid w:val="6573157A"/>
    <w:rsid w:val="65C07167"/>
    <w:rsid w:val="67FF270F"/>
    <w:rsid w:val="680C28B1"/>
    <w:rsid w:val="6AD77F57"/>
    <w:rsid w:val="6D336DE0"/>
    <w:rsid w:val="707B3647"/>
    <w:rsid w:val="72034248"/>
    <w:rsid w:val="74635F66"/>
    <w:rsid w:val="75B65DC2"/>
    <w:rsid w:val="77F56B1B"/>
    <w:rsid w:val="78CB123E"/>
    <w:rsid w:val="7A6A57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黑体" w:hAnsi="黑体" w:eastAsia="黑体" w:cs="黑体"/>
      <w:sz w:val="22"/>
      <w:szCs w:val="22"/>
      <w:lang w:val="zh-CN" w:eastAsia="zh-CN" w:bidi="zh-CN"/>
    </w:rPr>
  </w:style>
  <w:style w:type="paragraph" w:styleId="4">
    <w:name w:val="heading 1"/>
    <w:basedOn w:val="1"/>
    <w:next w:val="1"/>
    <w:qFormat/>
    <w:uiPriority w:val="1"/>
    <w:pPr>
      <w:spacing w:before="54"/>
      <w:ind w:left="755" w:right="772"/>
      <w:jc w:val="center"/>
      <w:outlineLvl w:val="0"/>
    </w:pPr>
    <w:rPr>
      <w:rFonts w:ascii="宋体" w:hAnsi="宋体" w:eastAsia="宋体" w:cs="宋体"/>
      <w:b/>
      <w:bCs/>
      <w:sz w:val="32"/>
      <w:szCs w:val="32"/>
    </w:rPr>
  </w:style>
  <w:style w:type="paragraph" w:styleId="5">
    <w:name w:val="heading 2"/>
    <w:basedOn w:val="1"/>
    <w:next w:val="1"/>
    <w:qFormat/>
    <w:uiPriority w:val="1"/>
    <w:pPr>
      <w:ind w:right="20"/>
      <w:jc w:val="center"/>
      <w:outlineLvl w:val="1"/>
    </w:pPr>
    <w:rPr>
      <w:sz w:val="32"/>
      <w:szCs w:val="32"/>
      <w:u w:val="single" w:color="000000"/>
    </w:rPr>
  </w:style>
  <w:style w:type="paragraph" w:styleId="6">
    <w:name w:val="heading 3"/>
    <w:basedOn w:val="1"/>
    <w:next w:val="1"/>
    <w:qFormat/>
    <w:uiPriority w:val="1"/>
    <w:pPr>
      <w:spacing w:before="198"/>
      <w:ind w:left="294"/>
      <w:outlineLvl w:val="2"/>
    </w:pPr>
    <w:rPr>
      <w:rFonts w:ascii="宋体" w:hAnsi="宋体" w:eastAsia="宋体" w:cs="宋体"/>
      <w:b/>
      <w:bCs/>
      <w:sz w:val="30"/>
      <w:szCs w:val="30"/>
    </w:rPr>
  </w:style>
  <w:style w:type="paragraph" w:styleId="7">
    <w:name w:val="heading 4"/>
    <w:basedOn w:val="1"/>
    <w:next w:val="1"/>
    <w:qFormat/>
    <w:uiPriority w:val="1"/>
    <w:pPr>
      <w:ind w:right="19"/>
      <w:jc w:val="center"/>
      <w:outlineLvl w:val="3"/>
    </w:pPr>
    <w:rPr>
      <w:rFonts w:ascii="宋体" w:hAnsi="宋体" w:eastAsia="宋体" w:cs="宋体"/>
      <w:b/>
      <w:bCs/>
      <w:sz w:val="28"/>
      <w:szCs w:val="28"/>
    </w:rPr>
  </w:style>
  <w:style w:type="paragraph" w:styleId="8">
    <w:name w:val="heading 5"/>
    <w:basedOn w:val="1"/>
    <w:next w:val="1"/>
    <w:qFormat/>
    <w:uiPriority w:val="1"/>
    <w:pPr>
      <w:ind w:left="640" w:hanging="490"/>
      <w:outlineLvl w:val="4"/>
    </w:pPr>
    <w:rPr>
      <w:sz w:val="28"/>
      <w:szCs w:val="28"/>
    </w:rPr>
  </w:style>
  <w:style w:type="paragraph" w:styleId="9">
    <w:name w:val="heading 6"/>
    <w:basedOn w:val="1"/>
    <w:next w:val="1"/>
    <w:qFormat/>
    <w:uiPriority w:val="1"/>
    <w:pPr>
      <w:ind w:left="1061" w:hanging="361"/>
      <w:outlineLvl w:val="5"/>
    </w:pPr>
    <w:rPr>
      <w:b/>
      <w:bCs/>
      <w:sz w:val="24"/>
      <w:szCs w:val="24"/>
    </w:rPr>
  </w:style>
  <w:style w:type="paragraph" w:styleId="10">
    <w:name w:val="heading 7"/>
    <w:basedOn w:val="1"/>
    <w:next w:val="1"/>
    <w:qFormat/>
    <w:uiPriority w:val="1"/>
    <w:pPr>
      <w:ind w:left="220"/>
      <w:outlineLvl w:val="6"/>
    </w:pPr>
    <w:rPr>
      <w:rFonts w:ascii="宋体" w:hAnsi="宋体" w:eastAsia="宋体" w:cs="宋体"/>
      <w:sz w:val="24"/>
      <w:szCs w:val="24"/>
    </w:rPr>
  </w:style>
  <w:style w:type="paragraph" w:styleId="11">
    <w:name w:val="heading 8"/>
    <w:basedOn w:val="1"/>
    <w:next w:val="1"/>
    <w:qFormat/>
    <w:uiPriority w:val="1"/>
    <w:pPr>
      <w:spacing w:before="1"/>
      <w:ind w:left="640" w:right="1171"/>
      <w:outlineLvl w:val="7"/>
    </w:pPr>
    <w:rPr>
      <w:rFonts w:ascii="宋体" w:hAnsi="宋体" w:eastAsia="宋体" w:cs="宋体"/>
      <w:b/>
      <w:bCs/>
      <w:u w:val="single" w:color="000000"/>
    </w:rPr>
  </w:style>
  <w:style w:type="paragraph" w:styleId="12">
    <w:name w:val="heading 9"/>
    <w:basedOn w:val="1"/>
    <w:next w:val="1"/>
    <w:qFormat/>
    <w:uiPriority w:val="1"/>
    <w:pPr>
      <w:spacing w:before="157"/>
      <w:ind w:left="220" w:firstLine="420"/>
      <w:outlineLvl w:val="8"/>
    </w:pPr>
    <w:rPr>
      <w:rFonts w:ascii="宋体" w:hAnsi="宋体" w:eastAsia="宋体" w:cs="宋体"/>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rPr>
      <w:rFonts w:ascii="宋体" w:hAnsi="宋体" w:eastAsia="宋体" w:cs="宋体"/>
      <w:sz w:val="21"/>
      <w:szCs w:val="21"/>
    </w:rPr>
  </w:style>
  <w:style w:type="paragraph" w:styleId="3">
    <w:name w:val="Title"/>
    <w:basedOn w:val="1"/>
    <w:next w:val="1"/>
    <w:qFormat/>
    <w:uiPriority w:val="10"/>
    <w:pPr>
      <w:spacing w:before="240" w:after="60"/>
      <w:jc w:val="center"/>
      <w:outlineLvl w:val="1"/>
    </w:pPr>
    <w:rPr>
      <w:rFonts w:ascii="Cambria" w:hAnsi="Cambria"/>
      <w:b/>
      <w:bCs/>
    </w:rPr>
  </w:style>
  <w:style w:type="paragraph" w:styleId="13">
    <w:name w:val="Balloon Text"/>
    <w:basedOn w:val="1"/>
    <w:link w:val="25"/>
    <w:qFormat/>
    <w:uiPriority w:val="0"/>
    <w:rPr>
      <w:sz w:val="18"/>
      <w:szCs w:val="18"/>
    </w:rPr>
  </w:style>
  <w:style w:type="paragraph" w:styleId="14">
    <w:name w:val="footer"/>
    <w:basedOn w:val="1"/>
    <w:qFormat/>
    <w:uiPriority w:val="0"/>
    <w:pPr>
      <w:tabs>
        <w:tab w:val="center" w:pos="4153"/>
        <w:tab w:val="right" w:pos="8306"/>
      </w:tabs>
      <w:snapToGrid w:val="0"/>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toc 1"/>
    <w:basedOn w:val="1"/>
    <w:next w:val="1"/>
    <w:qFormat/>
    <w:uiPriority w:val="1"/>
    <w:pPr>
      <w:spacing w:before="186"/>
      <w:ind w:left="220"/>
    </w:pPr>
    <w:rPr>
      <w:rFonts w:ascii="宋体" w:hAnsi="宋体" w:eastAsia="宋体" w:cs="宋体"/>
      <w:sz w:val="28"/>
      <w:szCs w:val="28"/>
    </w:rPr>
  </w:style>
  <w:style w:type="character" w:styleId="19">
    <w:name w:val="Strong"/>
    <w:basedOn w:val="18"/>
    <w:qFormat/>
    <w:uiPriority w:val="0"/>
    <w:rPr>
      <w:b/>
    </w:rPr>
  </w:style>
  <w:style w:type="table" w:customStyle="1" w:styleId="20">
    <w:name w:val="Table Normal"/>
    <w:semiHidden/>
    <w:unhideWhenUsed/>
    <w:qFormat/>
    <w:uiPriority w:val="2"/>
    <w:tblPr>
      <w:tblCellMar>
        <w:top w:w="0" w:type="dxa"/>
        <w:left w:w="0" w:type="dxa"/>
        <w:bottom w:w="0" w:type="dxa"/>
        <w:right w:w="0" w:type="dxa"/>
      </w:tblCellMar>
    </w:tblPr>
  </w:style>
  <w:style w:type="paragraph" w:styleId="21">
    <w:name w:val="List Paragraph"/>
    <w:basedOn w:val="1"/>
    <w:qFormat/>
    <w:uiPriority w:val="1"/>
    <w:pPr>
      <w:ind w:left="220" w:hanging="420"/>
    </w:pPr>
    <w:rPr>
      <w:rFonts w:ascii="宋体" w:hAnsi="宋体" w:eastAsia="宋体" w:cs="宋体"/>
    </w:rPr>
  </w:style>
  <w:style w:type="paragraph" w:customStyle="1" w:styleId="22">
    <w:name w:val="Table Paragraph"/>
    <w:basedOn w:val="1"/>
    <w:qFormat/>
    <w:uiPriority w:val="1"/>
  </w:style>
  <w:style w:type="character" w:customStyle="1" w:styleId="23">
    <w:name w:val="font131"/>
    <w:basedOn w:val="18"/>
    <w:qFormat/>
    <w:uiPriority w:val="0"/>
    <w:rPr>
      <w:rFonts w:ascii="Calibri" w:hAnsi="Calibri" w:cs="Calibri"/>
      <w:color w:val="000000"/>
      <w:sz w:val="16"/>
      <w:szCs w:val="16"/>
      <w:u w:val="none"/>
    </w:rPr>
  </w:style>
  <w:style w:type="character" w:customStyle="1" w:styleId="24">
    <w:name w:val="font111"/>
    <w:basedOn w:val="18"/>
    <w:qFormat/>
    <w:uiPriority w:val="0"/>
    <w:rPr>
      <w:rFonts w:hint="default" w:ascii="Calibri" w:hAnsi="Calibri" w:cs="Calibri"/>
      <w:color w:val="000000"/>
      <w:sz w:val="16"/>
      <w:szCs w:val="16"/>
      <w:u w:val="none"/>
    </w:rPr>
  </w:style>
  <w:style w:type="character" w:customStyle="1" w:styleId="25">
    <w:name w:val="批注框文本 Char"/>
    <w:basedOn w:val="18"/>
    <w:link w:val="13"/>
    <w:qFormat/>
    <w:uiPriority w:val="0"/>
    <w:rPr>
      <w:rFonts w:ascii="黑体" w:hAnsi="黑体" w:eastAsia="黑体" w:cs="黑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6"/>
    <customShpInfo spid="_x0000_s2055"/>
    <customShpInfo spid="_x0000_s2054"/>
    <customShpInfo spid="_x0000_s2053"/>
    <customShpInfo spid="_x0000_s2052"/>
    <customShpInfo spid="_x0000_s2051"/>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19821</Words>
  <Characters>23241</Characters>
  <Lines>193</Lines>
  <Paragraphs>54</Paragraphs>
  <TotalTime>1</TotalTime>
  <ScaleCrop>false</ScaleCrop>
  <LinksUpToDate>false</LinksUpToDate>
  <CharactersWithSpaces>24463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2022-08-16T01:12:00Z</dcterms:created>
  <dc:creator>走在时间的旅途中</dc:creator>
  <cp:lastModifiedBy>So</cp:lastModifiedBy>
  <cp:lastPrinted>2023-01-28T01:37:00Z</cp:lastPrinted>
  <dcterms:modified xsi:type="dcterms:W3CDTF">2023-01-28T02:13:19Z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2022-08-08T00:00:00Z</vt:filetime>
  </property>
  <property fmtid="{D5CDD505-2E9C-101B-9397-08002B2CF9AE}" pid="3" name="Creator">
    <vt:lpwstr>WPS 文字</vt:lpwstr>
  </property>
  <property fmtid="{D5CDD505-2E9C-101B-9397-08002B2CF9AE}" pid="4" name="LastSaved">
    <vt:filetime>2022-08-16T00:00:00Z</vt:filetime>
  </property>
  <property fmtid="{D5CDD505-2E9C-101B-9397-08002B2CF9AE}" pid="5" name="KSOProductBuildVer">
    <vt:lpwstr>2052-11.1.0.12980</vt:lpwstr>
  </property>
  <property fmtid="{D5CDD505-2E9C-101B-9397-08002B2CF9AE}" pid="6" name="ICV">
    <vt:lpwstr>C866F5697EF9455787D3BB34CD4BB7D6</vt:lpwstr>
  </property>
</Properties>
</file>