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Times New Roman" w:hAnsi="Times New Roman" w:eastAsia="宋体" w:cs="Times New Roman"/>
          <w:sz w:val="24"/>
        </w:rPr>
      </w:pPr>
    </w:p>
    <w:p>
      <w:pPr>
        <w:widowControl/>
        <w:jc w:val="center"/>
        <w:rPr>
          <w:rFonts w:ascii="Times New Roman" w:hAnsi="Times New Roman" w:cs="Times New Roman"/>
          <w:sz w:val="36"/>
          <w:szCs w:val="36"/>
        </w:rPr>
      </w:pPr>
      <w:bookmarkStart w:id="0" w:name="_Hlk141167411"/>
      <w:bookmarkStart w:id="1" w:name="_Hlk141087490"/>
      <w:r>
        <w:rPr>
          <w:rFonts w:hint="eastAsia" w:ascii="Times New Roman" w:hAnsi="Times New Roman" w:cs="Times New Roman"/>
          <w:sz w:val="36"/>
          <w:szCs w:val="36"/>
        </w:rPr>
        <w:t>合肥管理处2023年部分桥梁专项检测项目</w:t>
      </w:r>
      <w:bookmarkEnd w:id="0"/>
      <w:r>
        <w:rPr>
          <w:rFonts w:hint="eastAsia" w:ascii="Times New Roman" w:hAnsi="Times New Roman" w:cs="Times New Roman"/>
          <w:sz w:val="36"/>
          <w:szCs w:val="36"/>
        </w:rPr>
        <w:t>董铺水库桥体外预应力索专项检测磁通量传感器采购</w:t>
      </w:r>
      <w:bookmarkEnd w:id="1"/>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3"/>
        <w:outlineLvl w:val="9"/>
        <w:rPr>
          <w:rFonts w:ascii="Times New Roman" w:hAnsi="Times New Roman" w:cs="Times New Roman"/>
          <w:szCs w:val="21"/>
        </w:rPr>
      </w:pPr>
      <w:bookmarkStart w:id="226" w:name="_GoBack"/>
      <w:bookmarkEnd w:id="226"/>
    </w:p>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  比  文</w:t>
      </w:r>
      <w:r>
        <w:rPr>
          <w:rFonts w:hint="eastAsia" w:ascii="Times New Roman" w:hAnsi="Times New Roman" w:eastAsia="黑体" w:cs="Times New Roman"/>
          <w:sz w:val="72"/>
          <w:szCs w:val="72"/>
        </w:rPr>
        <w:t xml:space="preserve"> </w:t>
      </w:r>
      <w:r>
        <w:rPr>
          <w:rFonts w:ascii="Times New Roman" w:hAnsi="Times New Roman" w:eastAsia="黑体" w:cs="Times New Roman"/>
          <w:sz w:val="72"/>
          <w:szCs w:val="72"/>
        </w:rPr>
        <w:t>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jc w:val="center"/>
        <w:rPr>
          <w:rFonts w:ascii="Times New Roman" w:hAnsi="Times New Roman" w:cs="Times New Roman"/>
          <w:szCs w:val="21"/>
        </w:rPr>
      </w:pPr>
    </w:p>
    <w:p>
      <w:pPr>
        <w:snapToGrid w:val="0"/>
        <w:jc w:val="center"/>
        <w:rPr>
          <w:rFonts w:ascii="Times New Roman" w:hAnsi="Times New Roman" w:eastAsia="黑体" w:cs="Times New Roman"/>
          <w:sz w:val="32"/>
          <w:szCs w:val="32"/>
        </w:rPr>
      </w:pPr>
      <w:r>
        <w:rPr>
          <w:rFonts w:ascii="Times New Roman" w:hAnsi="Times New Roman" w:eastAsia="黑体" w:cs="Times New Roman"/>
          <w:sz w:val="32"/>
          <w:szCs w:val="32"/>
        </w:rPr>
        <w:t>采 购 人：</w:t>
      </w:r>
      <w:r>
        <w:rPr>
          <w:rFonts w:hint="eastAsia" w:ascii="Times New Roman" w:hAnsi="Times New Roman" w:eastAsia="黑体" w:cs="Times New Roman"/>
          <w:sz w:val="32"/>
          <w:szCs w:val="32"/>
          <w:u w:val="single"/>
        </w:rPr>
        <w:t>安徽省高速公路试验检测科研中心有限公司</w:t>
      </w:r>
    </w:p>
    <w:p>
      <w:pPr>
        <w:snapToGrid w:val="0"/>
        <w:ind w:left="1896" w:leftChars="903"/>
        <w:jc w:val="center"/>
        <w:rPr>
          <w:rFonts w:ascii="Times New Roman" w:hAnsi="Times New Roman" w:cs="Times New Roman"/>
          <w:sz w:val="32"/>
          <w:szCs w:val="32"/>
        </w:rPr>
      </w:pPr>
    </w:p>
    <w:p>
      <w:pPr>
        <w:snapToGrid w:val="0"/>
        <w:jc w:val="center"/>
        <w:rPr>
          <w:rFonts w:ascii="Times New Roman" w:hAnsi="Times New Roman" w:eastAsia="黑体" w:cs="Times New Roman"/>
          <w:sz w:val="32"/>
          <w:szCs w:val="32"/>
        </w:rPr>
      </w:pPr>
      <w:r>
        <w:rPr>
          <w:rFonts w:ascii="Times New Roman" w:hAnsi="Times New Roman" w:eastAsia="黑体" w:cs="Times New Roman"/>
          <w:sz w:val="32"/>
          <w:szCs w:val="32"/>
        </w:rPr>
        <w:t>日期</w:t>
      </w:r>
      <w:r>
        <w:rPr>
          <w:rFonts w:ascii="Times New Roman" w:hAnsi="Times New Roman" w:cs="Times New Roman"/>
          <w:sz w:val="32"/>
          <w:szCs w:val="32"/>
        </w:rPr>
        <w:t>：</w:t>
      </w:r>
      <w:r>
        <w:rPr>
          <w:rFonts w:hint="eastAsia" w:ascii="Times New Roman" w:hAnsi="Times New Roman" w:cs="Times New Roman"/>
          <w:sz w:val="32"/>
          <w:szCs w:val="32"/>
          <w:u w:val="single"/>
        </w:rPr>
        <w:t xml:space="preserve"> </w:t>
      </w:r>
      <w:r>
        <w:rPr>
          <w:rFonts w:hint="eastAsia" w:ascii="Times New Roman" w:hAnsi="Times New Roman" w:eastAsia="黑体" w:cs="Times New Roman"/>
          <w:sz w:val="32"/>
          <w:szCs w:val="32"/>
          <w:u w:val="single"/>
        </w:rPr>
        <w:t>2023</w:t>
      </w:r>
      <w:r>
        <w:rPr>
          <w:rFonts w:ascii="Times New Roman" w:hAnsi="Times New Roman" w:eastAsia="黑体" w:cs="Times New Roman"/>
          <w:sz w:val="32"/>
          <w:szCs w:val="32"/>
        </w:rPr>
        <w:t>年</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7</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rPr>
        <w:t>月</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u w:val="single"/>
        </w:rPr>
        <w:t>31</w:t>
      </w:r>
      <w:r>
        <w:rPr>
          <w:rFonts w:hint="eastAsia" w:ascii="Times New Roman" w:hAnsi="Times New Roman" w:eastAsia="黑体" w:cs="Times New Roman"/>
          <w:sz w:val="32"/>
          <w:szCs w:val="32"/>
          <w:u w:val="single"/>
        </w:rPr>
        <w:t xml:space="preserve"> </w:t>
      </w:r>
      <w:r>
        <w:rPr>
          <w:rFonts w:ascii="Times New Roman" w:hAnsi="Times New Roman" w:eastAsia="黑体" w:cs="Times New Roman"/>
          <w:sz w:val="32"/>
          <w:szCs w:val="32"/>
        </w:rPr>
        <w:t>日</w:t>
      </w:r>
    </w:p>
    <w:p>
      <w:pPr>
        <w:ind w:left="1896" w:leftChars="903"/>
        <w:rPr>
          <w:rFonts w:ascii="Times New Roman" w:hAnsi="Times New Roman" w:eastAsia="宋体" w:cs="Times New Roman"/>
          <w:color w:val="0000FF"/>
          <w:sz w:val="24"/>
        </w:rPr>
        <w:sectPr>
          <w:pgSz w:w="11906" w:h="16838"/>
          <w:pgMar w:top="1440" w:right="1800" w:bottom="1440" w:left="1800" w:header="851" w:footer="992" w:gutter="0"/>
          <w:cols w:space="425" w:num="1"/>
          <w:docGrid w:type="lines" w:linePitch="312" w:charSpace="0"/>
        </w:sectPr>
      </w:pPr>
    </w:p>
    <w:sdt>
      <w:sdtPr>
        <w:rPr>
          <w:rFonts w:ascii="宋体" w:hAnsi="宋体" w:eastAsia="宋体"/>
          <w:kern w:val="0"/>
          <w:sz w:val="20"/>
          <w:szCs w:val="20"/>
        </w:rPr>
        <w:id w:val="147482575"/>
        <w:docPartObj>
          <w:docPartGallery w:val="Table of Contents"/>
          <w:docPartUnique/>
        </w:docPartObj>
      </w:sdtPr>
      <w:sdtEndPr>
        <w:rPr>
          <w:rFonts w:asciiTheme="minorHAnsi" w:hAnsiTheme="minorHAnsi" w:eastAsiaTheme="minorEastAsia"/>
          <w:kern w:val="0"/>
          <w:sz w:val="20"/>
          <w:szCs w:val="20"/>
        </w:rPr>
      </w:sdtEndPr>
      <w:sdtContent>
        <w:p>
          <w:pPr>
            <w:jc w:val="center"/>
            <w:rPr>
              <w:rFonts w:ascii="Times New Roman" w:hAnsi="Times New Roman" w:cs="Times New Roman"/>
              <w:sz w:val="28"/>
              <w:szCs w:val="28"/>
            </w:rPr>
          </w:pPr>
          <w:r>
            <w:rPr>
              <w:rFonts w:ascii="Times New Roman" w:hAnsi="Times New Roman" w:eastAsia="宋体" w:cs="Times New Roman"/>
              <w:sz w:val="28"/>
              <w:szCs w:val="28"/>
            </w:rPr>
            <w:t>目录</w:t>
          </w:r>
        </w:p>
        <w:p>
          <w:pPr>
            <w:pStyle w:val="36"/>
            <w:tabs>
              <w:tab w:val="right" w:leader="dot" w:pos="8312"/>
            </w:tabs>
            <w:spacing w:line="360" w:lineRule="auto"/>
            <w:rPr>
              <w:rFonts w:ascii="Times New Roman" w:hAnsi="Times New Roman" w:cs="Times New Roman"/>
              <w:sz w:val="28"/>
              <w:szCs w:val="28"/>
            </w:rPr>
          </w:pPr>
          <w:r>
            <w:fldChar w:fldCharType="begin"/>
          </w:r>
          <w:r>
            <w:instrText xml:space="preserve"> HYPERLINK \l "_Toc29394_WPSOffice_Level1" </w:instrText>
          </w:r>
          <w:r>
            <w:fldChar w:fldCharType="separate"/>
          </w:r>
          <w:r>
            <w:rPr>
              <w:rFonts w:ascii="Times New Roman" w:hAnsi="Times New Roman" w:eastAsia="宋体" w:cs="Times New Roman"/>
              <w:sz w:val="28"/>
              <w:szCs w:val="28"/>
            </w:rPr>
            <w:t>第一章 采购公告</w:t>
          </w:r>
          <w:r>
            <w:rPr>
              <w:rFonts w:ascii="Times New Roman" w:hAnsi="Times New Roman" w:cs="Times New Roman"/>
              <w:sz w:val="28"/>
              <w:szCs w:val="28"/>
            </w:rPr>
            <w:tab/>
          </w:r>
          <w:r>
            <w:rPr>
              <w:rFonts w:hint="eastAsia" w:ascii="Times New Roman" w:hAnsi="Times New Roman" w:cs="Times New Roman"/>
              <w:sz w:val="28"/>
              <w:szCs w:val="28"/>
            </w:rPr>
            <w:t>1</w:t>
          </w:r>
          <w:r>
            <w:rPr>
              <w:rFonts w:hint="eastAsia" w:ascii="Times New Roman" w:hAnsi="Times New Roman" w:cs="Times New Roman"/>
              <w:sz w:val="28"/>
              <w:szCs w:val="28"/>
            </w:rPr>
            <w:fldChar w:fldCharType="end"/>
          </w:r>
        </w:p>
        <w:p>
          <w:pPr>
            <w:pStyle w:val="36"/>
            <w:tabs>
              <w:tab w:val="right" w:leader="dot" w:pos="8312"/>
            </w:tabs>
            <w:spacing w:line="360" w:lineRule="auto"/>
            <w:rPr>
              <w:rFonts w:ascii="Times New Roman" w:hAnsi="Times New Roman" w:cs="Times New Roman"/>
              <w:sz w:val="28"/>
              <w:szCs w:val="28"/>
            </w:rPr>
          </w:pPr>
          <w:r>
            <w:fldChar w:fldCharType="begin"/>
          </w:r>
          <w:r>
            <w:instrText xml:space="preserve"> HYPERLINK \l "_Toc5039_WPSOffice_Level1" </w:instrText>
          </w:r>
          <w:r>
            <w:fldChar w:fldCharType="separate"/>
          </w:r>
          <w:r>
            <w:rPr>
              <w:rFonts w:ascii="Times New Roman" w:hAnsi="Times New Roman" w:eastAsia="宋体" w:cs="Times New Roman"/>
              <w:sz w:val="28"/>
              <w:szCs w:val="28"/>
            </w:rPr>
            <w:t>第二章 供应商须知</w:t>
          </w:r>
          <w:r>
            <w:rPr>
              <w:rFonts w:ascii="Times New Roman" w:hAnsi="Times New Roman" w:cs="Times New Roman"/>
              <w:sz w:val="28"/>
              <w:szCs w:val="28"/>
            </w:rPr>
            <w:tab/>
          </w:r>
          <w:r>
            <w:rPr>
              <w:rFonts w:ascii="Times New Roman" w:hAnsi="Times New Roman" w:cs="Times New Roman"/>
              <w:sz w:val="28"/>
              <w:szCs w:val="28"/>
            </w:rPr>
            <w:t>4</w:t>
          </w:r>
          <w:r>
            <w:rPr>
              <w:rFonts w:ascii="Times New Roman" w:hAnsi="Times New Roman" w:cs="Times New Roman"/>
              <w:sz w:val="28"/>
              <w:szCs w:val="28"/>
            </w:rPr>
            <w:fldChar w:fldCharType="end"/>
          </w:r>
        </w:p>
        <w:p>
          <w:pPr>
            <w:pStyle w:val="36"/>
            <w:tabs>
              <w:tab w:val="right" w:leader="dot" w:pos="8312"/>
            </w:tabs>
            <w:spacing w:line="360" w:lineRule="auto"/>
            <w:rPr>
              <w:rFonts w:ascii="Times New Roman" w:hAnsi="Times New Roman" w:cs="Times New Roman"/>
              <w:sz w:val="28"/>
              <w:szCs w:val="28"/>
            </w:rPr>
          </w:pPr>
          <w:r>
            <w:fldChar w:fldCharType="begin"/>
          </w:r>
          <w:r>
            <w:instrText xml:space="preserve"> HYPERLINK \l "_Toc14424_WPSOffice_Level1" </w:instrText>
          </w:r>
          <w:r>
            <w:fldChar w:fldCharType="separate"/>
          </w:r>
          <w:r>
            <w:rPr>
              <w:rFonts w:ascii="Times New Roman" w:hAnsi="Times New Roman" w:eastAsia="宋体" w:cs="Times New Roman"/>
              <w:sz w:val="28"/>
              <w:szCs w:val="28"/>
            </w:rPr>
            <w:t>第三章 评审办法</w:t>
          </w:r>
          <w:r>
            <w:rPr>
              <w:rFonts w:ascii="Times New Roman" w:hAnsi="Times New Roman" w:cs="Times New Roman"/>
              <w:sz w:val="28"/>
              <w:szCs w:val="28"/>
            </w:rPr>
            <w:tab/>
          </w:r>
          <w:bookmarkStart w:id="2" w:name="_Toc14424_WPSOffice_Level1Page"/>
          <w:r>
            <w:rPr>
              <w:rFonts w:ascii="Times New Roman" w:hAnsi="Times New Roman" w:cs="Times New Roman"/>
              <w:sz w:val="28"/>
              <w:szCs w:val="28"/>
            </w:rPr>
            <w:t>1</w:t>
          </w:r>
          <w:bookmarkEnd w:id="2"/>
          <w:r>
            <w:rPr>
              <w:rFonts w:ascii="Times New Roman" w:hAnsi="Times New Roman" w:cs="Times New Roman"/>
              <w:sz w:val="28"/>
              <w:szCs w:val="28"/>
            </w:rPr>
            <w:t>1</w:t>
          </w:r>
          <w:r>
            <w:rPr>
              <w:rFonts w:ascii="Times New Roman" w:hAnsi="Times New Roman" w:cs="Times New Roman"/>
              <w:sz w:val="28"/>
              <w:szCs w:val="28"/>
            </w:rPr>
            <w:fldChar w:fldCharType="end"/>
          </w:r>
        </w:p>
        <w:p>
          <w:pPr>
            <w:pStyle w:val="36"/>
            <w:tabs>
              <w:tab w:val="right" w:leader="dot" w:pos="8312"/>
            </w:tabs>
            <w:spacing w:line="360" w:lineRule="auto"/>
            <w:rPr>
              <w:rFonts w:ascii="Times New Roman" w:hAnsi="Times New Roman" w:cs="Times New Roman"/>
              <w:sz w:val="28"/>
              <w:szCs w:val="28"/>
            </w:rPr>
          </w:pPr>
          <w:r>
            <w:fldChar w:fldCharType="begin"/>
          </w:r>
          <w:r>
            <w:instrText xml:space="preserve"> HYPERLINK \l "_Toc3093_WPSOffice_Level1" </w:instrText>
          </w:r>
          <w:r>
            <w:fldChar w:fldCharType="separate"/>
          </w:r>
          <w:r>
            <w:rPr>
              <w:rFonts w:ascii="Times New Roman" w:hAnsi="Times New Roman" w:eastAsia="宋体" w:cs="Times New Roman"/>
              <w:sz w:val="28"/>
              <w:szCs w:val="28"/>
            </w:rPr>
            <w:t>第四章 合同内容</w:t>
          </w:r>
          <w:r>
            <w:rPr>
              <w:rFonts w:ascii="Times New Roman" w:hAnsi="Times New Roman" w:cs="Times New Roman"/>
              <w:sz w:val="28"/>
              <w:szCs w:val="28"/>
            </w:rPr>
            <w:tab/>
          </w:r>
          <w:r>
            <w:rPr>
              <w:rFonts w:hint="eastAsia" w:ascii="Times New Roman" w:hAnsi="Times New Roman" w:cs="Times New Roman"/>
              <w:sz w:val="28"/>
              <w:szCs w:val="28"/>
            </w:rPr>
            <w:t>1</w:t>
          </w:r>
          <w:r>
            <w:rPr>
              <w:rFonts w:ascii="Times New Roman" w:hAnsi="Times New Roman" w:cs="Times New Roman"/>
              <w:sz w:val="28"/>
              <w:szCs w:val="28"/>
            </w:rPr>
            <w:t>5</w:t>
          </w:r>
          <w:r>
            <w:rPr>
              <w:rFonts w:ascii="Times New Roman" w:hAnsi="Times New Roman" w:cs="Times New Roman"/>
              <w:sz w:val="28"/>
              <w:szCs w:val="28"/>
            </w:rPr>
            <w:fldChar w:fldCharType="end"/>
          </w:r>
        </w:p>
        <w:p>
          <w:pPr>
            <w:pStyle w:val="36"/>
            <w:tabs>
              <w:tab w:val="right" w:leader="dot" w:pos="8312"/>
            </w:tabs>
            <w:spacing w:line="360" w:lineRule="auto"/>
            <w:rPr>
              <w:rFonts w:ascii="Times New Roman" w:hAnsi="Times New Roman" w:cs="Times New Roman"/>
              <w:sz w:val="28"/>
              <w:szCs w:val="28"/>
            </w:rPr>
          </w:pPr>
          <w:r>
            <w:fldChar w:fldCharType="begin"/>
          </w:r>
          <w:r>
            <w:instrText xml:space="preserve"> HYPERLINK \l "_Toc29924_WPSOffice_Level1" </w:instrText>
          </w:r>
          <w:r>
            <w:fldChar w:fldCharType="separate"/>
          </w:r>
          <w:r>
            <w:rPr>
              <w:rFonts w:ascii="Times New Roman" w:hAnsi="Times New Roman" w:eastAsia="宋体" w:cs="Times New Roman"/>
              <w:sz w:val="28"/>
              <w:szCs w:val="28"/>
            </w:rPr>
            <w:t>第五章 采购需求及清单</w:t>
          </w:r>
          <w:r>
            <w:rPr>
              <w:rFonts w:ascii="Times New Roman" w:hAnsi="Times New Roman" w:cs="Times New Roman"/>
              <w:sz w:val="28"/>
              <w:szCs w:val="28"/>
            </w:rPr>
            <w:tab/>
          </w:r>
          <w:r>
            <w:rPr>
              <w:rFonts w:hint="eastAsia" w:ascii="Times New Roman" w:hAnsi="Times New Roman" w:cs="Times New Roman"/>
              <w:sz w:val="28"/>
              <w:szCs w:val="28"/>
            </w:rPr>
            <w:t>2</w:t>
          </w:r>
          <w:r>
            <w:rPr>
              <w:rFonts w:hint="eastAsia" w:ascii="Times New Roman" w:hAnsi="Times New Roman" w:cs="Times New Roman"/>
              <w:sz w:val="28"/>
              <w:szCs w:val="28"/>
            </w:rPr>
            <w:fldChar w:fldCharType="end"/>
          </w:r>
          <w:r>
            <w:rPr>
              <w:rFonts w:ascii="Times New Roman" w:hAnsi="Times New Roman" w:cs="Times New Roman"/>
              <w:sz w:val="28"/>
              <w:szCs w:val="28"/>
            </w:rPr>
            <w:t>0</w:t>
          </w:r>
        </w:p>
        <w:p>
          <w:pPr>
            <w:pStyle w:val="36"/>
            <w:tabs>
              <w:tab w:val="right" w:leader="dot" w:pos="8312"/>
            </w:tabs>
            <w:spacing w:line="360" w:lineRule="auto"/>
          </w:pPr>
          <w:r>
            <w:fldChar w:fldCharType="begin"/>
          </w:r>
          <w:r>
            <w:instrText xml:space="preserve"> HYPERLINK \l "_Toc21204_WPSOffice_Level1" </w:instrText>
          </w:r>
          <w:r>
            <w:fldChar w:fldCharType="separate"/>
          </w:r>
          <w:r>
            <w:rPr>
              <w:rFonts w:ascii="Times New Roman" w:hAnsi="Times New Roman" w:eastAsia="宋体" w:cs="Times New Roman"/>
              <w:sz w:val="28"/>
              <w:szCs w:val="28"/>
            </w:rPr>
            <w:t>第六章 响应文件格式</w:t>
          </w:r>
          <w:r>
            <w:rPr>
              <w:rFonts w:ascii="Times New Roman" w:hAnsi="Times New Roman" w:cs="Times New Roman"/>
              <w:sz w:val="28"/>
              <w:szCs w:val="28"/>
            </w:rPr>
            <w:tab/>
          </w:r>
          <w:r>
            <w:rPr>
              <w:rFonts w:hint="eastAsia" w:ascii="Times New Roman" w:hAnsi="Times New Roman" w:cs="Times New Roman"/>
              <w:sz w:val="28"/>
              <w:szCs w:val="28"/>
            </w:rPr>
            <w:t>2</w:t>
          </w:r>
          <w:r>
            <w:rPr>
              <w:rFonts w:ascii="Times New Roman" w:hAnsi="Times New Roman" w:cs="Times New Roman"/>
              <w:sz w:val="28"/>
              <w:szCs w:val="28"/>
            </w:rPr>
            <w:t>2</w:t>
          </w:r>
          <w:r>
            <w:rPr>
              <w:rFonts w:ascii="Times New Roman" w:hAnsi="Times New Roman" w:cs="Times New Roman"/>
              <w:sz w:val="28"/>
              <w:szCs w:val="28"/>
            </w:rPr>
            <w:fldChar w:fldCharType="end"/>
          </w:r>
        </w:p>
        <w:p>
          <w:pPr>
            <w:pStyle w:val="36"/>
            <w:tabs>
              <w:tab w:val="right" w:leader="dot" w:pos="8312"/>
            </w:tabs>
          </w:pPr>
        </w:p>
      </w:sdtContent>
    </w:sdt>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sectPr>
          <w:footerReference r:id="rId3" w:type="default"/>
          <w:pgSz w:w="11906" w:h="16838"/>
          <w:pgMar w:top="1440" w:right="1786" w:bottom="1440" w:left="1300" w:header="851" w:footer="992" w:gutter="0"/>
          <w:pgNumType w:start="1"/>
          <w:cols w:space="720" w:num="1"/>
          <w:docGrid w:type="lines" w:linePitch="312" w:charSpace="0"/>
        </w:sectPr>
      </w:pPr>
      <w:r>
        <w:rPr>
          <w:rFonts w:ascii="Times New Roman" w:hAnsi="Times New Roman" w:eastAsia="宋体" w:cs="Times New Roman"/>
        </w:rPr>
        <w:br w:type="page"/>
      </w:r>
    </w:p>
    <w:p>
      <w:pPr>
        <w:pStyle w:val="4"/>
        <w:spacing w:before="240" w:after="240"/>
        <w:rPr>
          <w:rFonts w:ascii="Times New Roman" w:hAnsi="Times New Roman" w:eastAsia="宋体" w:cs="Times New Roman"/>
        </w:rPr>
      </w:pPr>
      <w:bookmarkStart w:id="3" w:name="_Toc29394_WPSOffice_Level1"/>
      <w:r>
        <w:rPr>
          <w:rFonts w:ascii="Times New Roman" w:hAnsi="Times New Roman" w:eastAsia="宋体" w:cs="Times New Roman"/>
        </w:rPr>
        <w:t>采购公告</w:t>
      </w:r>
      <w:bookmarkEnd w:id="3"/>
    </w:p>
    <w:p>
      <w:pPr>
        <w:pStyle w:val="5"/>
        <w:snapToGrid w:val="0"/>
        <w:spacing w:before="120" w:after="120" w:line="240" w:lineRule="auto"/>
        <w:ind w:firstLine="403"/>
        <w:rPr>
          <w:rFonts w:ascii="Times New Roman" w:hAnsi="Times New Roman" w:eastAsia="黑体" w:cs="Times New Roman"/>
          <w:b w:val="0"/>
          <w:sz w:val="22"/>
          <w:szCs w:val="15"/>
        </w:rPr>
      </w:pPr>
      <w:bookmarkStart w:id="4" w:name="_Toc12765"/>
      <w:bookmarkStart w:id="5" w:name="_Toc10395_WPSOffice_Level2"/>
      <w:bookmarkStart w:id="6" w:name="_Toc24354_WPSOffice_Level2"/>
      <w:bookmarkStart w:id="7" w:name="_Toc525632585"/>
      <w:bookmarkStart w:id="8" w:name="_Toc6496_WPSOffice_Level2"/>
      <w:bookmarkStart w:id="9" w:name="_Toc4489_WPSOffice_Level2"/>
      <w:bookmarkStart w:id="10" w:name="_Toc13871"/>
      <w:r>
        <w:rPr>
          <w:rFonts w:ascii="Times New Roman" w:hAnsi="Times New Roman" w:eastAsia="黑体" w:cs="Times New Roman"/>
          <w:b w:val="0"/>
          <w:sz w:val="22"/>
          <w:szCs w:val="15"/>
        </w:rPr>
        <w:t>项目简介</w:t>
      </w:r>
      <w:bookmarkEnd w:id="4"/>
      <w:bookmarkEnd w:id="5"/>
      <w:bookmarkEnd w:id="6"/>
      <w:bookmarkEnd w:id="7"/>
      <w:bookmarkEnd w:id="8"/>
      <w:bookmarkEnd w:id="9"/>
      <w:bookmarkEnd w:id="10"/>
    </w:p>
    <w:p>
      <w:pPr>
        <w:snapToGrid w:val="0"/>
        <w:spacing w:line="440" w:lineRule="exact"/>
        <w:ind w:left="1680" w:leftChars="200" w:hanging="1260" w:hangingChars="600"/>
        <w:rPr>
          <w:sz w:val="24"/>
        </w:rPr>
      </w:pPr>
      <w:r>
        <w:rPr>
          <w:rFonts w:hint="eastAsia" w:ascii="Times New Roman" w:hAnsi="Times New Roman" w:cs="Times New Roman"/>
          <w:szCs w:val="22"/>
        </w:rPr>
        <w:t>1.1项目名称：</w:t>
      </w:r>
      <w:r>
        <w:rPr>
          <w:rFonts w:hint="eastAsia" w:ascii="Times New Roman" w:hAnsi="Times New Roman" w:cs="Times New Roman"/>
          <w:szCs w:val="22"/>
          <w:u w:val="single"/>
        </w:rPr>
        <w:t>合肥管理处2023年部分桥梁专项检测项目董铺水库桥体外预应力索专项检测磁通量传感器采购</w:t>
      </w:r>
    </w:p>
    <w:p>
      <w:pPr>
        <w:snapToGrid w:val="0"/>
        <w:spacing w:line="440" w:lineRule="exact"/>
        <w:ind w:left="420" w:leftChars="200"/>
        <w:rPr>
          <w:rFonts w:ascii="Times New Roman" w:hAnsi="Times New Roman" w:cs="Times New Roman"/>
          <w:szCs w:val="22"/>
        </w:rPr>
      </w:pPr>
      <w:r>
        <w:rPr>
          <w:rFonts w:hint="eastAsia" w:ascii="Times New Roman" w:hAnsi="Times New Roman" w:cs="Times New Roman"/>
          <w:szCs w:val="22"/>
        </w:rPr>
        <w:t>1.2 采 购 人：</w:t>
      </w:r>
      <w:r>
        <w:rPr>
          <w:rFonts w:hint="eastAsia" w:ascii="Times New Roman" w:hAnsi="Times New Roman" w:cs="Times New Roman"/>
          <w:szCs w:val="22"/>
          <w:u w:val="single"/>
        </w:rPr>
        <w:t>安徽省高速公路试验检测科研中心有限公司（以下简称“高速检测”）</w:t>
      </w:r>
    </w:p>
    <w:p>
      <w:pPr>
        <w:snapToGrid w:val="0"/>
        <w:spacing w:line="440" w:lineRule="exact"/>
        <w:ind w:firstLine="420" w:firstLineChars="200"/>
        <w:rPr>
          <w:rFonts w:ascii="Times New Roman" w:hAnsi="Times New Roman" w:cs="Times New Roman"/>
          <w:szCs w:val="22"/>
          <w:u w:val="single"/>
        </w:rPr>
      </w:pPr>
      <w:r>
        <w:rPr>
          <w:rFonts w:hint="eastAsia" w:ascii="Times New Roman" w:hAnsi="Times New Roman" w:cs="Times New Roman"/>
          <w:szCs w:val="22"/>
        </w:rPr>
        <w:t>1.3 项目概况：</w:t>
      </w:r>
      <w:r>
        <w:rPr>
          <w:rFonts w:hint="eastAsia" w:ascii="Times New Roman" w:hAnsi="Times New Roman" w:cs="Times New Roman"/>
          <w:szCs w:val="22"/>
          <w:u w:val="single"/>
        </w:rPr>
        <w:t>我公司承担了安徽省交通控股集团有限公司和安徽皖通高速公路股份有限公司委托的“合肥管理处2023年部分桥梁专项检测项目服务”，现检测工作即将开展，需对磁通量传感器（含人工现场制作安装调试）、数据采集装置、各类安装辅材等进行采购。</w:t>
      </w:r>
    </w:p>
    <w:p>
      <w:pPr>
        <w:pStyle w:val="5"/>
        <w:snapToGrid w:val="0"/>
        <w:spacing w:line="240" w:lineRule="auto"/>
        <w:ind w:firstLine="403"/>
        <w:rPr>
          <w:rFonts w:ascii="Times New Roman" w:hAnsi="Times New Roman" w:eastAsia="黑体" w:cs="Times New Roman"/>
          <w:b w:val="0"/>
          <w:sz w:val="22"/>
          <w:szCs w:val="15"/>
        </w:rPr>
      </w:pPr>
      <w:bookmarkStart w:id="11" w:name="_Toc10274"/>
      <w:bookmarkStart w:id="12" w:name="_Toc23266_WPSOffice_Level2"/>
      <w:bookmarkStart w:id="13" w:name="_Toc8128_WPSOffice_Level2"/>
      <w:bookmarkStart w:id="14" w:name="_Toc17858_WPSOffice_Level2"/>
      <w:bookmarkStart w:id="15" w:name="_Toc18367_WPSOffice_Level2"/>
      <w:bookmarkStart w:id="16" w:name="_Toc525632586"/>
      <w:bookmarkStart w:id="17" w:name="_Toc18453"/>
      <w:r>
        <w:rPr>
          <w:rFonts w:hint="eastAsia" w:ascii="Times New Roman" w:hAnsi="Times New Roman" w:eastAsia="黑体" w:cs="Times New Roman"/>
          <w:b w:val="0"/>
          <w:sz w:val="22"/>
          <w:szCs w:val="15"/>
        </w:rPr>
        <w:t>采购说明</w:t>
      </w:r>
      <w:bookmarkEnd w:id="11"/>
      <w:bookmarkEnd w:id="12"/>
      <w:bookmarkEnd w:id="13"/>
      <w:bookmarkEnd w:id="14"/>
      <w:bookmarkEnd w:id="15"/>
      <w:bookmarkEnd w:id="16"/>
      <w:bookmarkEnd w:id="17"/>
    </w:p>
    <w:p>
      <w:pPr>
        <w:snapToGrid w:val="0"/>
        <w:spacing w:line="440" w:lineRule="exact"/>
        <w:ind w:firstLine="420" w:firstLineChars="200"/>
        <w:rPr>
          <w:rFonts w:ascii="Times New Roman" w:hAnsi="Times New Roman" w:cs="Times New Roman"/>
          <w:szCs w:val="22"/>
          <w:u w:val="single"/>
        </w:rPr>
      </w:pPr>
      <w:bookmarkStart w:id="18" w:name="_Toc4489_WPSOffice_Level3"/>
      <w:r>
        <w:rPr>
          <w:rFonts w:hint="eastAsia" w:ascii="Times New Roman" w:hAnsi="Times New Roman" w:cs="Times New Roman"/>
          <w:szCs w:val="22"/>
        </w:rPr>
        <w:t>2.1 采购方式：</w:t>
      </w:r>
      <w:bookmarkEnd w:id="18"/>
      <w:r>
        <w:rPr>
          <w:rFonts w:hint="eastAsia" w:ascii="Times New Roman" w:hAnsi="Times New Roman" w:cs="Times New Roman"/>
          <w:szCs w:val="22"/>
          <w:u w:val="single"/>
        </w:rPr>
        <w:t>公开询比采购</w:t>
      </w:r>
    </w:p>
    <w:p>
      <w:pPr>
        <w:snapToGrid w:val="0"/>
        <w:spacing w:line="440" w:lineRule="exact"/>
        <w:ind w:firstLine="420" w:firstLineChars="200"/>
        <w:rPr>
          <w:rFonts w:ascii="Times New Roman" w:hAnsi="Times New Roman" w:cs="Times New Roman"/>
          <w:szCs w:val="22"/>
          <w:u w:val="single"/>
        </w:rPr>
      </w:pPr>
      <w:bookmarkStart w:id="19" w:name="_Toc23266_WPSOffice_Level3"/>
      <w:r>
        <w:rPr>
          <w:rFonts w:hint="eastAsia" w:ascii="Times New Roman" w:hAnsi="Times New Roman" w:cs="Times New Roman"/>
          <w:szCs w:val="22"/>
        </w:rPr>
        <w:t>2.2 资金来源及比例：</w:t>
      </w:r>
      <w:bookmarkEnd w:id="19"/>
      <w:bookmarkStart w:id="20" w:name="_Toc22379_WPSOffice_Level3"/>
      <w:r>
        <w:rPr>
          <w:rFonts w:hint="eastAsia" w:ascii="Times New Roman" w:hAnsi="Times New Roman" w:cs="Times New Roman"/>
          <w:szCs w:val="22"/>
          <w:u w:val="single"/>
        </w:rPr>
        <w:t>100%来自企业自筹</w:t>
      </w:r>
    </w:p>
    <w:p>
      <w:pPr>
        <w:snapToGrid w:val="0"/>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2.3 采购工作内容及要求：</w:t>
      </w:r>
    </w:p>
    <w:p>
      <w:pPr>
        <w:spacing w:line="360" w:lineRule="auto"/>
        <w:ind w:firstLine="420" w:firstLineChars="200"/>
        <w:rPr>
          <w:rFonts w:ascii="Times New Roman" w:hAnsi="Times New Roman" w:cs="Times New Roman"/>
          <w:szCs w:val="22"/>
        </w:rPr>
      </w:pPr>
      <w:r>
        <w:rPr>
          <w:rFonts w:hint="eastAsia" w:ascii="Times New Roman" w:hAnsi="Times New Roman" w:cs="Times New Roman"/>
          <w:szCs w:val="22"/>
        </w:rPr>
        <w:t>（1）采购内容</w:t>
      </w:r>
    </w:p>
    <w:p>
      <w:pPr>
        <w:spacing w:line="360" w:lineRule="auto"/>
        <w:ind w:firstLine="420" w:firstLineChars="200"/>
        <w:rPr>
          <w:rFonts w:ascii="Times New Roman" w:hAnsi="Times New Roman" w:cs="Times New Roman"/>
          <w:szCs w:val="22"/>
        </w:rPr>
      </w:pPr>
      <w:r>
        <w:rPr>
          <w:rFonts w:hint="eastAsia" w:ascii="Times New Roman" w:hAnsi="Times New Roman" w:cs="Times New Roman"/>
          <w:szCs w:val="22"/>
        </w:rPr>
        <w:t>在规定的时间内完成本项目的设备采购，并提供后续质保服务等工作，具体设备采购清单如下表。</w:t>
      </w:r>
    </w:p>
    <w:p>
      <w:pPr>
        <w:jc w:val="center"/>
        <w:rPr>
          <w:rFonts w:ascii="黑体" w:hAnsi="黑体" w:eastAsia="黑体"/>
          <w:kern w:val="1"/>
          <w:szCs w:val="21"/>
        </w:rPr>
      </w:pPr>
      <w:r>
        <w:rPr>
          <w:rFonts w:hint="eastAsia" w:ascii="黑体" w:hAnsi="黑体" w:eastAsia="黑体"/>
          <w:kern w:val="1"/>
          <w:szCs w:val="21"/>
        </w:rPr>
        <w:t>表</w:t>
      </w:r>
      <w:r>
        <w:rPr>
          <w:rFonts w:ascii="黑体" w:hAnsi="黑体" w:eastAsia="黑体"/>
          <w:kern w:val="1"/>
          <w:szCs w:val="21"/>
        </w:rPr>
        <w:t>2</w:t>
      </w:r>
      <w:r>
        <w:rPr>
          <w:rFonts w:hint="eastAsia" w:ascii="黑体" w:hAnsi="黑体" w:eastAsia="黑体"/>
          <w:kern w:val="1"/>
          <w:szCs w:val="21"/>
        </w:rPr>
        <w:t>-1</w:t>
      </w:r>
      <w:r>
        <w:rPr>
          <w:rFonts w:ascii="黑体" w:hAnsi="黑体" w:eastAsia="黑体"/>
          <w:kern w:val="1"/>
          <w:szCs w:val="21"/>
        </w:rPr>
        <w:t xml:space="preserve"> </w:t>
      </w:r>
      <w:r>
        <w:rPr>
          <w:rFonts w:hint="eastAsia" w:ascii="黑体" w:hAnsi="黑体" w:eastAsia="黑体"/>
          <w:kern w:val="1"/>
          <w:szCs w:val="21"/>
        </w:rPr>
        <w:t>主要设备清单</w:t>
      </w:r>
    </w:p>
    <w:tbl>
      <w:tblPr>
        <w:tblStyle w:val="23"/>
        <w:tblW w:w="8938" w:type="dxa"/>
        <w:jc w:val="center"/>
        <w:tblLayout w:type="fixed"/>
        <w:tblCellMar>
          <w:top w:w="0" w:type="dxa"/>
          <w:left w:w="108" w:type="dxa"/>
          <w:bottom w:w="0" w:type="dxa"/>
          <w:right w:w="108" w:type="dxa"/>
        </w:tblCellMar>
      </w:tblPr>
      <w:tblGrid>
        <w:gridCol w:w="681"/>
        <w:gridCol w:w="1276"/>
        <w:gridCol w:w="709"/>
        <w:gridCol w:w="709"/>
        <w:gridCol w:w="5563"/>
      </w:tblGrid>
      <w:tr>
        <w:tblPrEx>
          <w:tblCellMar>
            <w:top w:w="0" w:type="dxa"/>
            <w:left w:w="108" w:type="dxa"/>
            <w:bottom w:w="0" w:type="dxa"/>
            <w:right w:w="108" w:type="dxa"/>
          </w:tblCellMar>
        </w:tblPrEx>
        <w:trPr>
          <w:trHeight w:val="276" w:hRule="atLeast"/>
          <w:jc w:val="center"/>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ascii="黑体" w:hAnsi="黑体" w:eastAsia="黑体" w:cs="宋体"/>
                <w:szCs w:val="21"/>
              </w:rPr>
            </w:pPr>
            <w:r>
              <w:rPr>
                <w:rFonts w:hint="eastAsia" w:ascii="黑体" w:hAnsi="黑体" w:eastAsia="黑体" w:cs="宋体"/>
                <w:color w:val="000000"/>
                <w:szCs w:val="21"/>
              </w:rPr>
              <w:t>编号</w:t>
            </w:r>
          </w:p>
        </w:tc>
        <w:tc>
          <w:tcPr>
            <w:tcW w:w="1276"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黑体" w:hAnsi="黑体" w:eastAsia="黑体" w:cs="宋体"/>
                <w:szCs w:val="21"/>
              </w:rPr>
            </w:pPr>
            <w:r>
              <w:rPr>
                <w:rFonts w:hint="eastAsia" w:ascii="黑体" w:hAnsi="黑体" w:eastAsia="黑体" w:cs="宋体"/>
                <w:color w:val="000000"/>
                <w:szCs w:val="21"/>
              </w:rPr>
              <w:t>名称</w:t>
            </w:r>
          </w:p>
        </w:tc>
        <w:tc>
          <w:tcPr>
            <w:tcW w:w="709"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黑体" w:hAnsi="黑体" w:eastAsia="黑体" w:cs="宋体"/>
                <w:szCs w:val="21"/>
              </w:rPr>
            </w:pPr>
            <w:r>
              <w:rPr>
                <w:rFonts w:hint="eastAsia" w:ascii="黑体" w:hAnsi="黑体" w:eastAsia="黑体" w:cs="宋体"/>
                <w:color w:val="000000"/>
                <w:szCs w:val="21"/>
              </w:rPr>
              <w:t>单位</w:t>
            </w:r>
          </w:p>
        </w:tc>
        <w:tc>
          <w:tcPr>
            <w:tcW w:w="709"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黑体" w:hAnsi="黑体" w:eastAsia="黑体" w:cs="宋体"/>
                <w:szCs w:val="21"/>
              </w:rPr>
            </w:pPr>
            <w:r>
              <w:rPr>
                <w:rFonts w:hint="eastAsia" w:ascii="黑体" w:hAnsi="黑体" w:eastAsia="黑体" w:cs="宋体"/>
                <w:color w:val="000000"/>
                <w:szCs w:val="21"/>
              </w:rPr>
              <w:t>数量</w:t>
            </w:r>
          </w:p>
        </w:tc>
        <w:tc>
          <w:tcPr>
            <w:tcW w:w="5563"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黑体" w:hAnsi="黑体" w:eastAsia="黑体" w:cs="宋体"/>
                <w:color w:val="000000"/>
                <w:szCs w:val="21"/>
              </w:rPr>
            </w:pPr>
            <w:r>
              <w:rPr>
                <w:rFonts w:hint="eastAsia" w:ascii="黑体" w:hAnsi="黑体" w:eastAsia="黑体" w:cs="宋体"/>
                <w:color w:val="000000"/>
                <w:szCs w:val="21"/>
              </w:rPr>
              <w:t>主要参数及说明</w:t>
            </w:r>
          </w:p>
        </w:tc>
      </w:tr>
      <w:tr>
        <w:tblPrEx>
          <w:tblCellMar>
            <w:top w:w="0" w:type="dxa"/>
            <w:left w:w="108" w:type="dxa"/>
            <w:bottom w:w="0" w:type="dxa"/>
            <w:right w:w="108" w:type="dxa"/>
          </w:tblCellMar>
        </w:tblPrEx>
        <w:trPr>
          <w:trHeight w:val="1009" w:hRule="atLeast"/>
          <w:jc w:val="center"/>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szCs w:val="21"/>
              </w:rPr>
            </w:pPr>
            <w:r>
              <w:rPr>
                <w:rFonts w:hint="eastAsia" w:ascii="黑体" w:hAnsi="黑体" w:eastAsia="黑体" w:cstheme="minorEastAsia"/>
                <w:color w:val="000000"/>
                <w:szCs w:val="21"/>
              </w:rPr>
              <w:t>1</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theme="minorEastAsia"/>
                <w:szCs w:val="21"/>
              </w:rPr>
            </w:pPr>
            <w:r>
              <w:rPr>
                <w:rFonts w:hint="eastAsia" w:ascii="黑体" w:hAnsi="黑体" w:eastAsia="黑体" w:cstheme="minorEastAsia"/>
                <w:color w:val="000000"/>
                <w:szCs w:val="21"/>
              </w:rPr>
              <w:t>磁通量传感器</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theme="minorEastAsia"/>
                <w:szCs w:val="21"/>
              </w:rPr>
            </w:pPr>
            <w:r>
              <w:rPr>
                <w:rFonts w:hint="eastAsia" w:ascii="黑体" w:hAnsi="黑体" w:eastAsia="黑体" w:cstheme="minorEastAsia"/>
                <w:color w:val="000000"/>
                <w:szCs w:val="21"/>
              </w:rPr>
              <w:t>套</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theme="minorEastAsia"/>
                <w:color w:val="000000"/>
                <w:szCs w:val="21"/>
              </w:rPr>
            </w:pPr>
            <w:r>
              <w:rPr>
                <w:rFonts w:hint="eastAsia" w:ascii="黑体" w:hAnsi="黑体" w:eastAsia="黑体" w:cstheme="minorEastAsia"/>
                <w:color w:val="000000"/>
                <w:szCs w:val="21"/>
              </w:rPr>
              <w:t>16</w:t>
            </w:r>
          </w:p>
        </w:tc>
        <w:tc>
          <w:tcPr>
            <w:tcW w:w="5563"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黑体" w:hAnsi="黑体" w:eastAsia="黑体" w:cstheme="minorEastAsia"/>
                <w:color w:val="000000"/>
                <w:szCs w:val="21"/>
              </w:rPr>
            </w:pPr>
            <w:r>
              <w:rPr>
                <w:rFonts w:ascii="黑体" w:hAnsi="黑体" w:eastAsia="黑体" w:cstheme="minorEastAsia"/>
                <w:color w:val="000000"/>
                <w:szCs w:val="21"/>
              </w:rPr>
              <w:t>测量范围</w:t>
            </w:r>
            <w:r>
              <w:rPr>
                <w:rFonts w:hint="eastAsia" w:ascii="黑体" w:hAnsi="黑体" w:eastAsia="黑体" w:cstheme="minorEastAsia"/>
                <w:color w:val="000000"/>
                <w:szCs w:val="21"/>
              </w:rPr>
              <w:t>：</w:t>
            </w:r>
            <w:r>
              <w:rPr>
                <w:rFonts w:ascii="黑体" w:hAnsi="黑体" w:eastAsia="黑体" w:cstheme="minorEastAsia"/>
                <w:color w:val="000000"/>
                <w:szCs w:val="21"/>
              </w:rPr>
              <w:t>0～屈服应力</w:t>
            </w:r>
          </w:p>
          <w:p>
            <w:pPr>
              <w:jc w:val="left"/>
              <w:rPr>
                <w:rFonts w:ascii="黑体" w:hAnsi="黑体" w:eastAsia="黑体" w:cstheme="minorEastAsia"/>
                <w:color w:val="000000"/>
                <w:szCs w:val="21"/>
              </w:rPr>
            </w:pPr>
            <w:r>
              <w:rPr>
                <w:rFonts w:ascii="黑体" w:hAnsi="黑体" w:eastAsia="黑体" w:cstheme="minorEastAsia"/>
                <w:color w:val="000000"/>
                <w:szCs w:val="21"/>
              </w:rPr>
              <w:t>测量精度</w:t>
            </w:r>
            <w:r>
              <w:rPr>
                <w:rFonts w:hint="eastAsia" w:ascii="黑体" w:hAnsi="黑体" w:eastAsia="黑体" w:cstheme="minorEastAsia"/>
                <w:color w:val="000000"/>
                <w:szCs w:val="21"/>
              </w:rPr>
              <w:t>：</w:t>
            </w:r>
            <w:r>
              <w:rPr>
                <w:rFonts w:ascii="黑体" w:hAnsi="黑体" w:eastAsia="黑体" w:cstheme="minorEastAsia"/>
                <w:color w:val="000000"/>
                <w:szCs w:val="21"/>
              </w:rPr>
              <w:t>≤3% F·S</w:t>
            </w:r>
          </w:p>
          <w:p>
            <w:pPr>
              <w:jc w:val="left"/>
              <w:rPr>
                <w:rFonts w:ascii="黑体" w:hAnsi="黑体" w:eastAsia="黑体" w:cstheme="minorEastAsia"/>
                <w:color w:val="000000"/>
                <w:szCs w:val="21"/>
              </w:rPr>
            </w:pPr>
            <w:r>
              <w:rPr>
                <w:rFonts w:ascii="黑体" w:hAnsi="黑体" w:eastAsia="黑体" w:cstheme="minorEastAsia"/>
                <w:color w:val="000000"/>
                <w:szCs w:val="21"/>
              </w:rPr>
              <w:t>工作温度范围</w:t>
            </w:r>
            <w:r>
              <w:rPr>
                <w:rFonts w:hint="eastAsia" w:ascii="黑体" w:hAnsi="黑体" w:eastAsia="黑体" w:cstheme="minorEastAsia"/>
                <w:color w:val="000000"/>
                <w:szCs w:val="21"/>
              </w:rPr>
              <w:t>：</w:t>
            </w:r>
            <w:r>
              <w:rPr>
                <w:rFonts w:ascii="黑体" w:hAnsi="黑体" w:eastAsia="黑体" w:cstheme="minorEastAsia"/>
                <w:color w:val="000000"/>
                <w:szCs w:val="21"/>
              </w:rPr>
              <w:t>-40℃～+80℃</w:t>
            </w:r>
          </w:p>
          <w:p>
            <w:pPr>
              <w:jc w:val="left"/>
              <w:rPr>
                <w:rFonts w:ascii="黑体" w:hAnsi="黑体" w:eastAsia="黑体" w:cstheme="minorEastAsia"/>
                <w:color w:val="000000"/>
                <w:szCs w:val="21"/>
              </w:rPr>
            </w:pPr>
            <w:r>
              <w:rPr>
                <w:rFonts w:ascii="黑体" w:hAnsi="黑体" w:eastAsia="黑体" w:cstheme="minorEastAsia"/>
                <w:color w:val="000000"/>
                <w:szCs w:val="21"/>
              </w:rPr>
              <w:t>激励电压范围</w:t>
            </w:r>
            <w:r>
              <w:rPr>
                <w:rFonts w:hint="eastAsia" w:ascii="黑体" w:hAnsi="黑体" w:eastAsia="黑体" w:cstheme="minorEastAsia"/>
                <w:color w:val="000000"/>
                <w:szCs w:val="21"/>
              </w:rPr>
              <w:t>：</w:t>
            </w:r>
            <w:r>
              <w:rPr>
                <w:rFonts w:ascii="黑体" w:hAnsi="黑体" w:eastAsia="黑体" w:cstheme="minorEastAsia"/>
                <w:color w:val="000000"/>
                <w:szCs w:val="21"/>
              </w:rPr>
              <w:t>30V～280V</w:t>
            </w:r>
          </w:p>
          <w:p>
            <w:pPr>
              <w:jc w:val="left"/>
              <w:rPr>
                <w:rFonts w:ascii="黑体" w:hAnsi="黑体" w:eastAsia="黑体" w:cstheme="minorEastAsia"/>
                <w:color w:val="000000"/>
                <w:szCs w:val="21"/>
              </w:rPr>
            </w:pPr>
            <w:r>
              <w:rPr>
                <w:rFonts w:ascii="黑体" w:hAnsi="黑体" w:eastAsia="黑体" w:cstheme="minorEastAsia"/>
                <w:color w:val="000000"/>
                <w:szCs w:val="21"/>
              </w:rPr>
              <w:t>温度测量精度</w:t>
            </w:r>
            <w:r>
              <w:rPr>
                <w:rFonts w:hint="eastAsia" w:ascii="黑体" w:hAnsi="黑体" w:eastAsia="黑体" w:cstheme="minorEastAsia"/>
                <w:color w:val="000000"/>
                <w:szCs w:val="21"/>
              </w:rPr>
              <w:t>：</w:t>
            </w:r>
            <w:r>
              <w:rPr>
                <w:rFonts w:ascii="黑体" w:hAnsi="黑体" w:eastAsia="黑体" w:cstheme="minorEastAsia"/>
                <w:color w:val="000000"/>
                <w:szCs w:val="21"/>
              </w:rPr>
              <w:t>(-40℃～-10℃测温精度在2℃内，-10℃～80℃ 测温精度在 0.5℃内)</w:t>
            </w:r>
          </w:p>
          <w:p>
            <w:pPr>
              <w:jc w:val="left"/>
              <w:rPr>
                <w:rFonts w:ascii="黑体" w:hAnsi="黑体" w:eastAsia="黑体" w:cstheme="minorEastAsia"/>
                <w:color w:val="000000"/>
                <w:szCs w:val="21"/>
              </w:rPr>
            </w:pPr>
            <w:r>
              <w:rPr>
                <w:rFonts w:ascii="黑体" w:hAnsi="黑体" w:eastAsia="黑体" w:cstheme="minorEastAsia"/>
                <w:color w:val="000000"/>
                <w:szCs w:val="21"/>
              </w:rPr>
              <w:t>最大接线长度</w:t>
            </w:r>
            <w:r>
              <w:rPr>
                <w:rFonts w:hint="eastAsia" w:ascii="黑体" w:hAnsi="黑体" w:eastAsia="黑体" w:cstheme="minorEastAsia"/>
                <w:color w:val="000000"/>
                <w:szCs w:val="21"/>
              </w:rPr>
              <w:t>：</w:t>
            </w:r>
            <w:r>
              <w:rPr>
                <w:rFonts w:ascii="黑体" w:hAnsi="黑体" w:eastAsia="黑体" w:cstheme="minorEastAsia"/>
                <w:color w:val="000000"/>
                <w:szCs w:val="21"/>
              </w:rPr>
              <w:t>≤200 m</w:t>
            </w:r>
          </w:p>
          <w:p>
            <w:pPr>
              <w:jc w:val="left"/>
              <w:rPr>
                <w:rFonts w:ascii="黑体" w:hAnsi="黑体" w:eastAsia="黑体" w:cstheme="minorEastAsia"/>
                <w:color w:val="000000"/>
                <w:szCs w:val="21"/>
              </w:rPr>
            </w:pPr>
            <w:r>
              <w:rPr>
                <w:rFonts w:ascii="黑体" w:hAnsi="黑体" w:eastAsia="黑体" w:cstheme="minorEastAsia"/>
                <w:color w:val="000000"/>
                <w:szCs w:val="21"/>
              </w:rPr>
              <w:t>绝缘电阻</w:t>
            </w:r>
            <w:r>
              <w:rPr>
                <w:rFonts w:hint="eastAsia" w:ascii="黑体" w:hAnsi="黑体" w:eastAsia="黑体" w:cstheme="minorEastAsia"/>
                <w:color w:val="000000"/>
                <w:szCs w:val="21"/>
              </w:rPr>
              <w:t>：</w:t>
            </w:r>
            <w:r>
              <w:rPr>
                <w:rFonts w:ascii="黑体" w:hAnsi="黑体" w:eastAsia="黑体" w:cstheme="minorEastAsia"/>
                <w:color w:val="000000"/>
                <w:szCs w:val="21"/>
              </w:rPr>
              <w:t>≥50 MΩ</w:t>
            </w:r>
          </w:p>
        </w:tc>
      </w:tr>
      <w:tr>
        <w:tblPrEx>
          <w:tblCellMar>
            <w:top w:w="0" w:type="dxa"/>
            <w:left w:w="108" w:type="dxa"/>
            <w:bottom w:w="0" w:type="dxa"/>
            <w:right w:w="108" w:type="dxa"/>
          </w:tblCellMar>
        </w:tblPrEx>
        <w:trPr>
          <w:trHeight w:val="444" w:hRule="atLeast"/>
          <w:jc w:val="center"/>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szCs w:val="21"/>
              </w:rPr>
            </w:pPr>
            <w:r>
              <w:rPr>
                <w:rFonts w:hint="eastAsia" w:ascii="黑体" w:hAnsi="黑体" w:eastAsia="黑体"/>
                <w:szCs w:val="21"/>
              </w:rPr>
              <w:t>2</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theme="minorEastAsia"/>
                <w:szCs w:val="21"/>
              </w:rPr>
            </w:pPr>
            <w:r>
              <w:rPr>
                <w:rFonts w:hint="eastAsia" w:ascii="黑体" w:hAnsi="黑体" w:eastAsia="黑体" w:cstheme="minorEastAsia"/>
                <w:color w:val="000000"/>
                <w:szCs w:val="21"/>
              </w:rPr>
              <w:t>数据采集盒</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theme="minorEastAsia"/>
                <w:szCs w:val="21"/>
              </w:rPr>
            </w:pPr>
            <w:r>
              <w:rPr>
                <w:rFonts w:hint="eastAsia" w:ascii="黑体" w:hAnsi="黑体" w:eastAsia="黑体" w:cstheme="minorEastAsia"/>
                <w:color w:val="000000"/>
                <w:szCs w:val="21"/>
              </w:rPr>
              <w:t>套</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theme="minorEastAsia"/>
                <w:szCs w:val="21"/>
              </w:rPr>
            </w:pPr>
            <w:r>
              <w:rPr>
                <w:rFonts w:hint="eastAsia" w:ascii="黑体" w:hAnsi="黑体" w:eastAsia="黑体" w:cstheme="minorEastAsia"/>
                <w:color w:val="000000"/>
                <w:szCs w:val="21"/>
              </w:rPr>
              <w:t>16</w:t>
            </w:r>
          </w:p>
        </w:tc>
        <w:tc>
          <w:tcPr>
            <w:tcW w:w="556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theme="minorEastAsia"/>
                <w:color w:val="000000"/>
                <w:szCs w:val="21"/>
              </w:rPr>
            </w:pPr>
            <w:r>
              <w:rPr>
                <w:rFonts w:hint="eastAsia" w:ascii="黑体" w:hAnsi="黑体" w:eastAsia="黑体" w:cstheme="minorEastAsia"/>
                <w:color w:val="000000"/>
                <w:szCs w:val="21"/>
              </w:rPr>
              <w:t>/</w:t>
            </w:r>
          </w:p>
        </w:tc>
      </w:tr>
      <w:tr>
        <w:tblPrEx>
          <w:tblCellMar>
            <w:top w:w="0" w:type="dxa"/>
            <w:left w:w="108" w:type="dxa"/>
            <w:bottom w:w="0" w:type="dxa"/>
            <w:right w:w="108" w:type="dxa"/>
          </w:tblCellMar>
        </w:tblPrEx>
        <w:trPr>
          <w:trHeight w:val="444" w:hRule="atLeast"/>
          <w:jc w:val="center"/>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szCs w:val="21"/>
              </w:rPr>
            </w:pPr>
            <w:r>
              <w:rPr>
                <w:rFonts w:hint="eastAsia" w:ascii="黑体" w:hAnsi="黑体" w:eastAsia="黑体"/>
                <w:szCs w:val="21"/>
              </w:rPr>
              <w:t>3</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theme="minorEastAsia"/>
                <w:szCs w:val="21"/>
              </w:rPr>
            </w:pPr>
            <w:r>
              <w:rPr>
                <w:rFonts w:hint="eastAsia" w:ascii="黑体" w:hAnsi="黑体" w:eastAsia="黑体" w:cstheme="minorEastAsia"/>
                <w:color w:val="000000"/>
                <w:szCs w:val="21"/>
              </w:rPr>
              <w:t>信号传输线</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theme="minorEastAsia"/>
                <w:szCs w:val="21"/>
              </w:rPr>
            </w:pPr>
            <w:r>
              <w:rPr>
                <w:rFonts w:hint="eastAsia" w:ascii="黑体" w:hAnsi="黑体" w:eastAsia="黑体" w:cstheme="minorEastAsia"/>
                <w:color w:val="000000"/>
                <w:szCs w:val="21"/>
              </w:rPr>
              <w:t>米</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theme="minorEastAsia"/>
                <w:szCs w:val="21"/>
              </w:rPr>
            </w:pPr>
            <w:r>
              <w:rPr>
                <w:rFonts w:hint="eastAsia" w:ascii="黑体" w:hAnsi="黑体" w:eastAsia="黑体" w:cstheme="minorEastAsia"/>
                <w:color w:val="000000"/>
                <w:szCs w:val="21"/>
              </w:rPr>
              <w:t>160</w:t>
            </w:r>
          </w:p>
        </w:tc>
        <w:tc>
          <w:tcPr>
            <w:tcW w:w="55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kern w:val="0"/>
                <w:szCs w:val="21"/>
              </w:rPr>
            </w:pPr>
            <w:r>
              <w:rPr>
                <w:rFonts w:hint="eastAsia" w:ascii="黑体" w:hAnsi="黑体" w:eastAsia="黑体"/>
                <w:szCs w:val="21"/>
              </w:rPr>
              <w:t>暂定每个传感器配10米线缆配航插头</w:t>
            </w:r>
          </w:p>
        </w:tc>
      </w:tr>
      <w:tr>
        <w:tblPrEx>
          <w:tblCellMar>
            <w:top w:w="0" w:type="dxa"/>
            <w:left w:w="108" w:type="dxa"/>
            <w:bottom w:w="0" w:type="dxa"/>
            <w:right w:w="108" w:type="dxa"/>
          </w:tblCellMar>
        </w:tblPrEx>
        <w:trPr>
          <w:trHeight w:val="444" w:hRule="atLeast"/>
          <w:jc w:val="center"/>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szCs w:val="21"/>
              </w:rPr>
            </w:pPr>
            <w:r>
              <w:rPr>
                <w:rFonts w:ascii="黑体" w:hAnsi="黑体" w:eastAsia="黑体"/>
                <w:szCs w:val="21"/>
              </w:rPr>
              <w:t>4</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theme="minorEastAsia"/>
                <w:szCs w:val="21"/>
              </w:rPr>
            </w:pPr>
            <w:r>
              <w:rPr>
                <w:rFonts w:hint="eastAsia" w:ascii="黑体" w:hAnsi="黑体" w:eastAsia="黑体" w:cstheme="minorEastAsia"/>
                <w:color w:val="000000"/>
                <w:szCs w:val="21"/>
              </w:rPr>
              <w:t>安装辅材</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theme="minorEastAsia"/>
                <w:szCs w:val="21"/>
              </w:rPr>
            </w:pPr>
            <w:r>
              <w:rPr>
                <w:rFonts w:hint="eastAsia" w:ascii="黑体" w:hAnsi="黑体" w:eastAsia="黑体" w:cstheme="minorEastAsia"/>
                <w:color w:val="000000"/>
                <w:szCs w:val="21"/>
              </w:rPr>
              <w:t>套</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theme="minorEastAsia"/>
                <w:szCs w:val="21"/>
              </w:rPr>
            </w:pPr>
            <w:r>
              <w:rPr>
                <w:rFonts w:hint="eastAsia" w:ascii="黑体" w:hAnsi="黑体" w:eastAsia="黑体" w:cstheme="minorEastAsia"/>
                <w:color w:val="000000"/>
                <w:szCs w:val="21"/>
              </w:rPr>
              <w:t>1</w:t>
            </w:r>
          </w:p>
        </w:tc>
        <w:tc>
          <w:tcPr>
            <w:tcW w:w="556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theme="minorEastAsia"/>
                <w:color w:val="000000"/>
                <w:szCs w:val="21"/>
              </w:rPr>
            </w:pPr>
            <w:r>
              <w:rPr>
                <w:rFonts w:hint="eastAsia" w:ascii="黑体" w:hAnsi="黑体" w:eastAsia="黑体" w:cstheme="minorEastAsia"/>
                <w:color w:val="000000"/>
                <w:szCs w:val="21"/>
              </w:rPr>
              <w:t>/</w:t>
            </w:r>
          </w:p>
        </w:tc>
      </w:tr>
      <w:tr>
        <w:tblPrEx>
          <w:tblCellMar>
            <w:top w:w="0" w:type="dxa"/>
            <w:left w:w="108" w:type="dxa"/>
            <w:bottom w:w="0" w:type="dxa"/>
            <w:right w:w="108" w:type="dxa"/>
          </w:tblCellMar>
        </w:tblPrEx>
        <w:trPr>
          <w:trHeight w:val="444" w:hRule="atLeast"/>
          <w:jc w:val="center"/>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szCs w:val="21"/>
              </w:rPr>
            </w:pPr>
            <w:r>
              <w:rPr>
                <w:rFonts w:ascii="黑体" w:hAnsi="黑体" w:eastAsia="黑体"/>
                <w:szCs w:val="21"/>
              </w:rPr>
              <w:t>5</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kern w:val="0"/>
                <w:szCs w:val="21"/>
              </w:rPr>
            </w:pPr>
            <w:r>
              <w:rPr>
                <w:rFonts w:hint="eastAsia" w:ascii="黑体" w:hAnsi="黑体" w:eastAsia="黑体"/>
                <w:szCs w:val="21"/>
              </w:rPr>
              <w:t>磁通量采集系统v2.0（人工）</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theme="minorEastAsia"/>
                <w:color w:val="000000"/>
                <w:szCs w:val="21"/>
              </w:rPr>
            </w:pPr>
            <w:r>
              <w:rPr>
                <w:rFonts w:hint="eastAsia" w:ascii="黑体" w:hAnsi="黑体" w:eastAsia="黑体" w:cstheme="minorEastAsia"/>
                <w:color w:val="000000"/>
                <w:szCs w:val="21"/>
              </w:rPr>
              <w:t>台</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theme="minorEastAsia"/>
                <w:color w:val="000000"/>
                <w:szCs w:val="21"/>
              </w:rPr>
            </w:pPr>
            <w:r>
              <w:rPr>
                <w:rFonts w:hint="eastAsia" w:ascii="黑体" w:hAnsi="黑体" w:eastAsia="黑体" w:cstheme="minorEastAsia"/>
                <w:color w:val="000000"/>
                <w:szCs w:val="21"/>
              </w:rPr>
              <w:t>1</w:t>
            </w:r>
          </w:p>
        </w:tc>
        <w:tc>
          <w:tcPr>
            <w:tcW w:w="5563"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黑体" w:hAnsi="黑体" w:eastAsia="黑体" w:cstheme="minorEastAsia"/>
                <w:color w:val="000000"/>
                <w:szCs w:val="21"/>
              </w:rPr>
            </w:pPr>
            <w:r>
              <w:rPr>
                <w:rFonts w:hint="eastAsia" w:ascii="黑体" w:hAnsi="黑体" w:eastAsia="黑体" w:cstheme="minorEastAsia"/>
                <w:color w:val="000000"/>
                <w:szCs w:val="21"/>
              </w:rPr>
              <w:t>充电电压：</w:t>
            </w:r>
            <w:r>
              <w:rPr>
                <w:rFonts w:ascii="黑体" w:hAnsi="黑体" w:eastAsia="黑体" w:cstheme="minorEastAsia"/>
                <w:color w:val="000000"/>
                <w:szCs w:val="21"/>
              </w:rPr>
              <w:t>30-280V</w:t>
            </w:r>
          </w:p>
          <w:p>
            <w:pPr>
              <w:jc w:val="left"/>
              <w:rPr>
                <w:rFonts w:ascii="黑体" w:hAnsi="黑体" w:eastAsia="黑体" w:cstheme="minorEastAsia"/>
                <w:color w:val="000000"/>
                <w:szCs w:val="21"/>
              </w:rPr>
            </w:pPr>
            <w:r>
              <w:rPr>
                <w:rFonts w:hint="eastAsia" w:ascii="黑体" w:hAnsi="黑体" w:eastAsia="黑体" w:cstheme="minorEastAsia"/>
                <w:color w:val="000000"/>
                <w:szCs w:val="21"/>
              </w:rPr>
              <w:t>充电速率：20V/S</w:t>
            </w:r>
          </w:p>
          <w:p>
            <w:pPr>
              <w:jc w:val="left"/>
              <w:rPr>
                <w:rFonts w:ascii="黑体" w:hAnsi="黑体" w:eastAsia="黑体" w:cstheme="minorEastAsia"/>
                <w:color w:val="000000"/>
                <w:szCs w:val="21"/>
              </w:rPr>
            </w:pPr>
            <w:r>
              <w:rPr>
                <w:rFonts w:hint="eastAsia" w:ascii="黑体" w:hAnsi="黑体" w:eastAsia="黑体" w:cstheme="minorEastAsia"/>
                <w:color w:val="000000"/>
                <w:szCs w:val="21"/>
              </w:rPr>
              <w:t>充电速率：20V/s</w:t>
            </w:r>
          </w:p>
          <w:p>
            <w:pPr>
              <w:jc w:val="left"/>
              <w:rPr>
                <w:rFonts w:ascii="黑体" w:hAnsi="黑体" w:eastAsia="黑体" w:cstheme="minorEastAsia"/>
                <w:color w:val="000000"/>
                <w:szCs w:val="21"/>
              </w:rPr>
            </w:pPr>
            <w:r>
              <w:rPr>
                <w:rFonts w:hint="eastAsia" w:ascii="黑体" w:hAnsi="黑体" w:eastAsia="黑体" w:cstheme="minorEastAsia"/>
                <w:color w:val="000000"/>
                <w:szCs w:val="21"/>
              </w:rPr>
              <w:t>测量误差：≤3%F.S</w:t>
            </w:r>
          </w:p>
          <w:p>
            <w:pPr>
              <w:jc w:val="left"/>
              <w:rPr>
                <w:rFonts w:ascii="黑体" w:hAnsi="黑体" w:eastAsia="黑体" w:cstheme="minorEastAsia"/>
                <w:color w:val="000000"/>
                <w:szCs w:val="21"/>
              </w:rPr>
            </w:pPr>
            <w:r>
              <w:rPr>
                <w:rFonts w:hint="eastAsia" w:ascii="黑体" w:hAnsi="黑体" w:eastAsia="黑体" w:cstheme="minorEastAsia"/>
                <w:color w:val="000000"/>
                <w:szCs w:val="21"/>
              </w:rPr>
              <w:t>测量分辨率：</w:t>
            </w:r>
            <w:r>
              <w:rPr>
                <w:rFonts w:ascii="黑体" w:hAnsi="黑体" w:eastAsia="黑体" w:cstheme="minorEastAsia"/>
                <w:color w:val="000000"/>
                <w:szCs w:val="21"/>
              </w:rPr>
              <w:t>0.1% F.S</w:t>
            </w:r>
          </w:p>
          <w:p>
            <w:pPr>
              <w:jc w:val="left"/>
              <w:rPr>
                <w:rFonts w:ascii="黑体" w:hAnsi="黑体" w:eastAsia="黑体" w:cstheme="minorEastAsia"/>
                <w:color w:val="000000"/>
                <w:szCs w:val="21"/>
              </w:rPr>
            </w:pPr>
            <w:r>
              <w:rPr>
                <w:rFonts w:hint="eastAsia" w:ascii="黑体" w:hAnsi="黑体" w:eastAsia="黑体" w:cstheme="minorEastAsia"/>
                <w:color w:val="000000"/>
                <w:szCs w:val="21"/>
              </w:rPr>
              <w:t>温度范围：</w:t>
            </w:r>
            <w:r>
              <w:rPr>
                <w:rFonts w:ascii="黑体" w:hAnsi="黑体" w:eastAsia="黑体" w:cstheme="minorEastAsia"/>
                <w:color w:val="000000"/>
                <w:szCs w:val="21"/>
              </w:rPr>
              <w:t>-20℃到＋60℃</w:t>
            </w:r>
          </w:p>
          <w:p>
            <w:pPr>
              <w:jc w:val="left"/>
              <w:rPr>
                <w:rFonts w:ascii="黑体" w:hAnsi="黑体" w:eastAsia="黑体" w:cstheme="minorEastAsia"/>
                <w:color w:val="000000"/>
                <w:szCs w:val="21"/>
              </w:rPr>
            </w:pPr>
            <w:r>
              <w:rPr>
                <w:rFonts w:ascii="黑体" w:hAnsi="黑体" w:eastAsia="黑体" w:cstheme="minorEastAsia"/>
                <w:color w:val="000000"/>
                <w:szCs w:val="21"/>
              </w:rPr>
              <w:t>工作电源</w:t>
            </w:r>
            <w:r>
              <w:rPr>
                <w:rFonts w:hint="eastAsia" w:ascii="黑体" w:hAnsi="黑体" w:eastAsia="黑体" w:cstheme="minorEastAsia"/>
                <w:color w:val="000000"/>
                <w:szCs w:val="21"/>
              </w:rPr>
              <w:t>:</w:t>
            </w:r>
            <w:r>
              <w:rPr>
                <w:rFonts w:ascii="黑体" w:hAnsi="黑体" w:eastAsia="黑体" w:cstheme="minorEastAsia"/>
                <w:color w:val="000000"/>
                <w:szCs w:val="21"/>
              </w:rPr>
              <w:t xml:space="preserve"> DC12V/5A</w:t>
            </w:r>
          </w:p>
          <w:p>
            <w:pPr>
              <w:jc w:val="left"/>
              <w:rPr>
                <w:rFonts w:ascii="黑体" w:hAnsi="黑体" w:eastAsia="黑体" w:cstheme="minorEastAsia"/>
                <w:color w:val="000000"/>
                <w:szCs w:val="21"/>
              </w:rPr>
            </w:pPr>
            <w:r>
              <w:rPr>
                <w:rFonts w:ascii="黑体" w:hAnsi="黑体" w:eastAsia="黑体" w:cstheme="minorEastAsia"/>
                <w:color w:val="000000"/>
                <w:szCs w:val="21"/>
              </w:rPr>
              <w:t>通讯接口</w:t>
            </w:r>
            <w:r>
              <w:rPr>
                <w:rFonts w:hint="eastAsia" w:ascii="黑体" w:hAnsi="黑体" w:eastAsia="黑体" w:cstheme="minorEastAsia"/>
                <w:color w:val="000000"/>
                <w:szCs w:val="21"/>
              </w:rPr>
              <w:t>:</w:t>
            </w:r>
            <w:r>
              <w:rPr>
                <w:rFonts w:ascii="黑体" w:hAnsi="黑体" w:eastAsia="黑体" w:cstheme="minorEastAsia"/>
                <w:color w:val="000000"/>
                <w:szCs w:val="21"/>
              </w:rPr>
              <w:t xml:space="preserve"> RS485（9600kbps\8 位数据位\1 位停止位 \NONE）</w:t>
            </w:r>
          </w:p>
          <w:p>
            <w:pPr>
              <w:jc w:val="left"/>
            </w:pPr>
            <w:r>
              <w:rPr>
                <w:rFonts w:ascii="黑体" w:hAnsi="黑体" w:eastAsia="黑体" w:cstheme="minorEastAsia"/>
                <w:color w:val="000000"/>
                <w:szCs w:val="21"/>
              </w:rPr>
              <w:t>开关箱</w:t>
            </w:r>
            <w:r>
              <w:rPr>
                <w:rFonts w:hint="eastAsia" w:ascii="黑体" w:hAnsi="黑体" w:eastAsia="黑体" w:cstheme="minorEastAsia"/>
                <w:color w:val="000000"/>
                <w:szCs w:val="21"/>
              </w:rPr>
              <w:t>:</w:t>
            </w:r>
            <w:r>
              <w:rPr>
                <w:rFonts w:ascii="黑体" w:hAnsi="黑体" w:eastAsia="黑体" w:cstheme="minorEastAsia"/>
                <w:color w:val="000000"/>
                <w:szCs w:val="21"/>
              </w:rPr>
              <w:t xml:space="preserve"> 8 通道、16 通道</w:t>
            </w:r>
          </w:p>
        </w:tc>
      </w:tr>
      <w:tr>
        <w:tblPrEx>
          <w:tblCellMar>
            <w:top w:w="0" w:type="dxa"/>
            <w:left w:w="108" w:type="dxa"/>
            <w:bottom w:w="0" w:type="dxa"/>
            <w:right w:w="108" w:type="dxa"/>
          </w:tblCellMar>
        </w:tblPrEx>
        <w:trPr>
          <w:trHeight w:val="444" w:hRule="atLeast"/>
          <w:jc w:val="center"/>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szCs w:val="21"/>
              </w:rPr>
            </w:pPr>
            <w:r>
              <w:rPr>
                <w:rFonts w:ascii="黑体" w:hAnsi="黑体" w:eastAsia="黑体"/>
                <w:szCs w:val="21"/>
              </w:rPr>
              <w:t>6</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theme="minorEastAsia"/>
                <w:szCs w:val="21"/>
              </w:rPr>
            </w:pPr>
            <w:r>
              <w:rPr>
                <w:rFonts w:hint="eastAsia" w:ascii="黑体" w:hAnsi="黑体" w:eastAsia="黑体" w:cstheme="minorEastAsia"/>
                <w:color w:val="000000"/>
                <w:szCs w:val="21"/>
              </w:rPr>
              <w:t>磁弹仪</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theme="minorEastAsia"/>
                <w:szCs w:val="21"/>
              </w:rPr>
            </w:pPr>
            <w:r>
              <w:rPr>
                <w:rFonts w:hint="eastAsia" w:ascii="黑体" w:hAnsi="黑体" w:eastAsia="黑体" w:cstheme="minorEastAsia"/>
                <w:color w:val="000000"/>
                <w:szCs w:val="21"/>
              </w:rPr>
              <w:t>台</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theme="minorEastAsia"/>
                <w:szCs w:val="21"/>
              </w:rPr>
            </w:pPr>
            <w:r>
              <w:rPr>
                <w:rFonts w:hint="eastAsia" w:ascii="黑体" w:hAnsi="黑体" w:eastAsia="黑体" w:cstheme="minorEastAsia"/>
                <w:color w:val="000000"/>
                <w:szCs w:val="21"/>
              </w:rPr>
              <w:t>1</w:t>
            </w:r>
          </w:p>
        </w:tc>
        <w:tc>
          <w:tcPr>
            <w:tcW w:w="556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黑体" w:hAnsi="黑体" w:eastAsia="黑体"/>
                <w:szCs w:val="21"/>
              </w:rPr>
            </w:pPr>
            <w:r>
              <w:rPr>
                <w:rFonts w:hint="eastAsia" w:ascii="黑体" w:hAnsi="黑体" w:eastAsia="黑体"/>
                <w:szCs w:val="21"/>
              </w:rPr>
              <w:t>测量范围：0～屈服应力</w:t>
            </w:r>
          </w:p>
          <w:p>
            <w:pPr>
              <w:widowControl/>
              <w:jc w:val="left"/>
              <w:rPr>
                <w:rFonts w:ascii="黑体" w:hAnsi="黑体" w:eastAsia="黑体"/>
                <w:szCs w:val="21"/>
              </w:rPr>
            </w:pPr>
            <w:r>
              <w:rPr>
                <w:rFonts w:hint="eastAsia" w:ascii="黑体" w:hAnsi="黑体" w:eastAsia="黑体"/>
                <w:szCs w:val="21"/>
              </w:rPr>
              <w:t>测量精度：3% F.S</w:t>
            </w:r>
          </w:p>
          <w:p>
            <w:pPr>
              <w:widowControl/>
              <w:jc w:val="left"/>
              <w:rPr>
                <w:rFonts w:ascii="黑体" w:hAnsi="黑体" w:eastAsia="黑体"/>
                <w:szCs w:val="21"/>
              </w:rPr>
            </w:pPr>
            <w:r>
              <w:rPr>
                <w:rFonts w:hint="eastAsia" w:ascii="黑体" w:hAnsi="黑体" w:eastAsia="黑体"/>
                <w:szCs w:val="21"/>
              </w:rPr>
              <w:t>测量分辨率：0.1% F.S</w:t>
            </w:r>
          </w:p>
          <w:p>
            <w:pPr>
              <w:widowControl/>
              <w:jc w:val="left"/>
              <w:rPr>
                <w:rFonts w:ascii="黑体" w:hAnsi="黑体" w:eastAsia="黑体"/>
                <w:szCs w:val="21"/>
              </w:rPr>
            </w:pPr>
            <w:r>
              <w:rPr>
                <w:rFonts w:hint="eastAsia" w:ascii="黑体" w:hAnsi="黑体" w:eastAsia="黑体"/>
                <w:szCs w:val="21"/>
              </w:rPr>
              <w:t>通信方式：RS485</w:t>
            </w:r>
          </w:p>
          <w:p>
            <w:pPr>
              <w:widowControl/>
              <w:jc w:val="left"/>
              <w:rPr>
                <w:rFonts w:ascii="黑体" w:hAnsi="黑体" w:eastAsia="黑体"/>
              </w:rPr>
            </w:pPr>
            <w:r>
              <w:rPr>
                <w:rFonts w:ascii="黑体" w:hAnsi="黑体" w:eastAsia="黑体"/>
              </w:rPr>
              <w:t>操作温度范围</w:t>
            </w:r>
            <w:r>
              <w:rPr>
                <w:rFonts w:hint="eastAsia" w:ascii="黑体" w:hAnsi="黑体" w:eastAsia="黑体"/>
              </w:rPr>
              <w:t>:</w:t>
            </w:r>
            <w:r>
              <w:rPr>
                <w:rFonts w:ascii="黑体" w:hAnsi="黑体" w:eastAsia="黑体"/>
              </w:rPr>
              <w:t>‐10℃～50℃</w:t>
            </w:r>
          </w:p>
          <w:p>
            <w:pPr>
              <w:pStyle w:val="2"/>
              <w:jc w:val="left"/>
              <w:rPr>
                <w:rFonts w:ascii="黑体" w:hAnsi="黑体" w:eastAsia="黑体"/>
              </w:rPr>
            </w:pPr>
            <w:r>
              <w:rPr>
                <w:rFonts w:ascii="黑体" w:hAnsi="黑体" w:eastAsia="黑体"/>
              </w:rPr>
              <w:t>锂电池</w:t>
            </w:r>
            <w:r>
              <w:rPr>
                <w:rFonts w:hint="eastAsia" w:ascii="黑体" w:hAnsi="黑体" w:eastAsia="黑体"/>
              </w:rPr>
              <w:t>:</w:t>
            </w:r>
            <w:r>
              <w:rPr>
                <w:rFonts w:ascii="黑体" w:hAnsi="黑体" w:eastAsia="黑体"/>
              </w:rPr>
              <w:t xml:space="preserve"> 7.2V，4500mAH</w:t>
            </w:r>
          </w:p>
          <w:p>
            <w:pPr>
              <w:jc w:val="left"/>
            </w:pPr>
            <w:r>
              <w:rPr>
                <w:rFonts w:ascii="黑体" w:hAnsi="黑体" w:eastAsia="黑体"/>
              </w:rPr>
              <w:t>L×W×H: 156mm×122mm×36mm</w:t>
            </w:r>
          </w:p>
        </w:tc>
      </w:tr>
      <w:tr>
        <w:tblPrEx>
          <w:tblCellMar>
            <w:top w:w="0" w:type="dxa"/>
            <w:left w:w="108" w:type="dxa"/>
            <w:bottom w:w="0" w:type="dxa"/>
            <w:right w:w="108" w:type="dxa"/>
          </w:tblCellMar>
        </w:tblPrEx>
        <w:trPr>
          <w:trHeight w:val="444" w:hRule="atLeast"/>
          <w:jc w:val="center"/>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szCs w:val="21"/>
              </w:rPr>
            </w:pPr>
            <w:r>
              <w:rPr>
                <w:rFonts w:ascii="黑体" w:hAnsi="黑体" w:eastAsia="黑体"/>
                <w:szCs w:val="21"/>
              </w:rPr>
              <w:t>7</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theme="minorEastAsia"/>
                <w:szCs w:val="21"/>
              </w:rPr>
            </w:pPr>
            <w:r>
              <w:rPr>
                <w:rFonts w:hint="eastAsia" w:ascii="黑体" w:hAnsi="黑体" w:eastAsia="黑体" w:cstheme="minorEastAsia"/>
                <w:color w:val="000000"/>
                <w:szCs w:val="21"/>
              </w:rPr>
              <w:t>现场缠绕、安装调试</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theme="minorEastAsia"/>
                <w:szCs w:val="21"/>
              </w:rPr>
            </w:pPr>
            <w:r>
              <w:rPr>
                <w:rFonts w:hint="eastAsia" w:ascii="黑体" w:hAnsi="黑体" w:eastAsia="黑体" w:cstheme="minorEastAsia"/>
                <w:color w:val="000000"/>
                <w:szCs w:val="21"/>
              </w:rPr>
              <w:t>项</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theme="minorEastAsia"/>
                <w:szCs w:val="21"/>
              </w:rPr>
            </w:pPr>
            <w:r>
              <w:rPr>
                <w:rFonts w:hint="eastAsia" w:ascii="黑体" w:hAnsi="黑体" w:eastAsia="黑体" w:cstheme="minorEastAsia"/>
                <w:color w:val="000000"/>
                <w:szCs w:val="21"/>
              </w:rPr>
              <w:t>1</w:t>
            </w:r>
          </w:p>
        </w:tc>
        <w:tc>
          <w:tcPr>
            <w:tcW w:w="556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黑体" w:hAnsi="黑体" w:eastAsia="黑体"/>
                <w:szCs w:val="21"/>
              </w:rPr>
            </w:pPr>
            <w:r>
              <w:rPr>
                <w:rFonts w:hint="eastAsia" w:ascii="黑体" w:hAnsi="黑体" w:eastAsia="黑体"/>
                <w:szCs w:val="21"/>
              </w:rPr>
              <w:t>开环磁通量涉及到在同规格长索及空载索单独绕制标定</w:t>
            </w:r>
          </w:p>
        </w:tc>
      </w:tr>
    </w:tbl>
    <w:p>
      <w:pPr>
        <w:spacing w:line="360" w:lineRule="auto"/>
        <w:ind w:firstLine="420" w:firstLineChars="200"/>
        <w:rPr>
          <w:rFonts w:ascii="Times New Roman" w:hAnsi="Times New Roman" w:cs="Times New Roman"/>
          <w:szCs w:val="22"/>
        </w:rPr>
      </w:pPr>
      <w:r>
        <w:rPr>
          <w:rFonts w:hint="eastAsia" w:ascii="Times New Roman" w:hAnsi="Times New Roman" w:cs="Times New Roman"/>
          <w:szCs w:val="22"/>
        </w:rPr>
        <w:t>注：所有采购设备需提供完整的原厂合格证、保修卡及安装操作说明。如有必要，在采购人安装调试过程中，成交人需无条件提供技术支持。</w:t>
      </w:r>
    </w:p>
    <w:p>
      <w:pPr>
        <w:spacing w:line="360" w:lineRule="auto"/>
        <w:ind w:firstLine="420" w:firstLineChars="200"/>
        <w:rPr>
          <w:rFonts w:ascii="Times New Roman" w:hAnsi="Times New Roman" w:cs="Times New Roman"/>
          <w:szCs w:val="22"/>
        </w:rPr>
      </w:pPr>
      <w:r>
        <w:rPr>
          <w:rFonts w:hint="eastAsia" w:ascii="Times New Roman" w:hAnsi="Times New Roman" w:cs="Times New Roman"/>
          <w:szCs w:val="22"/>
        </w:rPr>
        <w:t>（2）技术、质量要求</w:t>
      </w:r>
    </w:p>
    <w:p>
      <w:pPr>
        <w:spacing w:line="360" w:lineRule="auto"/>
        <w:ind w:firstLine="420" w:firstLineChars="200"/>
        <w:rPr>
          <w:rFonts w:ascii="Times New Roman" w:hAnsi="Times New Roman" w:cs="Times New Roman"/>
          <w:szCs w:val="22"/>
        </w:rPr>
      </w:pPr>
      <w:r>
        <w:rPr>
          <w:rFonts w:hint="eastAsia" w:ascii="Times New Roman" w:hAnsi="Times New Roman" w:cs="Times New Roman"/>
          <w:szCs w:val="22"/>
        </w:rPr>
        <w:t>满足国家相关规范的要求及采购清单中设备参数要求，质保期内无偿提供质保服务。</w:t>
      </w:r>
    </w:p>
    <w:p>
      <w:pPr>
        <w:snapToGrid w:val="0"/>
        <w:spacing w:line="440" w:lineRule="exact"/>
        <w:ind w:firstLine="420" w:firstLineChars="200"/>
        <w:rPr>
          <w:rFonts w:ascii="Times New Roman" w:hAnsi="Times New Roman" w:cs="Times New Roman"/>
          <w:szCs w:val="22"/>
          <w:u w:val="single"/>
        </w:rPr>
      </w:pPr>
      <w:r>
        <w:rPr>
          <w:rFonts w:hint="eastAsia" w:ascii="Times New Roman" w:hAnsi="Times New Roman" w:cs="Times New Roman"/>
          <w:szCs w:val="22"/>
        </w:rPr>
        <w:t>2.4 合同包划分：</w:t>
      </w:r>
      <w:r>
        <w:rPr>
          <w:rFonts w:hint="eastAsia" w:ascii="Times New Roman" w:hAnsi="Times New Roman" w:cs="Times New Roman"/>
          <w:szCs w:val="22"/>
          <w:u w:val="single"/>
        </w:rPr>
        <w:t xml:space="preserve">无包段划分 </w:t>
      </w:r>
    </w:p>
    <w:p>
      <w:pPr>
        <w:snapToGrid w:val="0"/>
        <w:spacing w:line="440" w:lineRule="exact"/>
        <w:ind w:firstLine="420" w:firstLineChars="200"/>
        <w:rPr>
          <w:rFonts w:ascii="Times New Roman" w:hAnsi="Times New Roman" w:cs="Times New Roman"/>
          <w:color w:val="0000FF"/>
          <w:szCs w:val="22"/>
          <w:u w:val="single"/>
        </w:rPr>
      </w:pPr>
      <w:r>
        <w:rPr>
          <w:rFonts w:ascii="Times New Roman" w:hAnsi="Times New Roman" w:cs="Times New Roman"/>
          <w:szCs w:val="22"/>
        </w:rPr>
        <w:t>2.</w:t>
      </w:r>
      <w:r>
        <w:rPr>
          <w:rFonts w:hint="eastAsia" w:ascii="Times New Roman" w:hAnsi="Times New Roman" w:cs="Times New Roman"/>
          <w:szCs w:val="22"/>
        </w:rPr>
        <w:t xml:space="preserve">5 </w:t>
      </w:r>
      <w:r>
        <w:rPr>
          <w:rFonts w:ascii="Times New Roman" w:hAnsi="Times New Roman" w:cs="Times New Roman"/>
          <w:szCs w:val="22"/>
        </w:rPr>
        <w:t>最高限价：</w:t>
      </w:r>
      <w:bookmarkEnd w:id="20"/>
      <w:r>
        <w:rPr>
          <w:rFonts w:ascii="Times New Roman" w:hAnsi="Times New Roman" w:cs="Times New Roman"/>
          <w:szCs w:val="22"/>
          <w:u w:val="single"/>
        </w:rPr>
        <w:t>27.614</w:t>
      </w:r>
      <w:r>
        <w:rPr>
          <w:rFonts w:hint="eastAsia" w:ascii="Times New Roman" w:hAnsi="Times New Roman" w:cs="Times New Roman"/>
          <w:szCs w:val="22"/>
          <w:u w:val="single"/>
        </w:rPr>
        <w:t>万元</w:t>
      </w:r>
    </w:p>
    <w:p>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6</w:t>
      </w:r>
      <w:r>
        <w:rPr>
          <w:rFonts w:ascii="Times New Roman" w:hAnsi="Times New Roman" w:cs="Times New Roman"/>
          <w:szCs w:val="22"/>
        </w:rPr>
        <w:t xml:space="preserve"> 计划工期：</w:t>
      </w:r>
      <w:r>
        <w:rPr>
          <w:rFonts w:hint="eastAsia" w:ascii="Times New Roman" w:hAnsi="Times New Roman" w:cs="Times New Roman"/>
          <w:szCs w:val="22"/>
          <w:u w:val="single"/>
        </w:rPr>
        <w:t>合同签订后7天内交付货物，设备保修期两年，在保修期内需免费提供设备维修、更换服务，并免费提供设备使用维护咨询服务。</w:t>
      </w:r>
    </w:p>
    <w:p>
      <w:pPr>
        <w:pStyle w:val="5"/>
        <w:snapToGrid w:val="0"/>
        <w:spacing w:before="120" w:after="120" w:line="240" w:lineRule="auto"/>
        <w:ind w:firstLine="403"/>
        <w:rPr>
          <w:rFonts w:ascii="Times New Roman" w:hAnsi="Times New Roman" w:eastAsia="黑体" w:cs="Times New Roman"/>
          <w:b w:val="0"/>
          <w:sz w:val="22"/>
          <w:szCs w:val="15"/>
        </w:rPr>
      </w:pPr>
      <w:bookmarkStart w:id="21" w:name="_Toc525632587"/>
      <w:bookmarkStart w:id="22" w:name="_Toc1622_WPSOffice_Level2"/>
      <w:bookmarkStart w:id="23" w:name="_Toc3714"/>
      <w:bookmarkStart w:id="24" w:name="_Toc31673_WPSOffice_Level2"/>
      <w:bookmarkStart w:id="25" w:name="_Toc6388"/>
      <w:bookmarkStart w:id="26" w:name="_Toc22379_WPSOffice_Level2"/>
      <w:bookmarkStart w:id="27" w:name="_Toc29516_WPSOffice_Level2"/>
      <w:r>
        <w:rPr>
          <w:rFonts w:ascii="Times New Roman" w:hAnsi="Times New Roman" w:eastAsia="黑体" w:cs="Times New Roman"/>
          <w:b w:val="0"/>
          <w:sz w:val="22"/>
          <w:szCs w:val="15"/>
        </w:rPr>
        <w:t>供应商资格条件</w:t>
      </w:r>
      <w:bookmarkEnd w:id="21"/>
      <w:bookmarkEnd w:id="22"/>
      <w:bookmarkEnd w:id="23"/>
      <w:bookmarkEnd w:id="24"/>
      <w:bookmarkEnd w:id="25"/>
      <w:bookmarkEnd w:id="26"/>
      <w:bookmarkEnd w:id="27"/>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numPr>
          <w:ilvl w:val="255"/>
          <w:numId w:val="0"/>
        </w:numPr>
        <w:snapToGrid w:val="0"/>
        <w:spacing w:line="440" w:lineRule="exact"/>
        <w:ind w:firstLine="420" w:firstLineChars="200"/>
        <w:outlineLvl w:val="2"/>
        <w:rPr>
          <w:rFonts w:ascii="Times New Roman" w:hAnsi="Times New Roman" w:cs="Times New Roman"/>
          <w:szCs w:val="22"/>
        </w:rPr>
      </w:pPr>
      <w:r>
        <w:rPr>
          <w:rFonts w:ascii="Times New Roman" w:hAnsi="Times New Roman" w:cs="Times New Roman"/>
          <w:szCs w:val="22"/>
        </w:rPr>
        <w:t>（1）资质最低要求</w:t>
      </w:r>
    </w:p>
    <w:p>
      <w:pPr>
        <w:numPr>
          <w:ilvl w:val="255"/>
          <w:numId w:val="0"/>
        </w:numPr>
        <w:snapToGrid w:val="0"/>
        <w:spacing w:line="440" w:lineRule="exact"/>
        <w:ind w:firstLine="420" w:firstLineChars="200"/>
        <w:outlineLvl w:val="2"/>
        <w:rPr>
          <w:rFonts w:ascii="Times New Roman" w:hAnsi="Times New Roman" w:cs="Times New Roman"/>
          <w:szCs w:val="22"/>
        </w:rPr>
      </w:pPr>
      <w:r>
        <w:rPr>
          <w:rFonts w:hint="eastAsia" w:ascii="Times New Roman" w:hAnsi="Times New Roman" w:cs="Times New Roman"/>
          <w:szCs w:val="22"/>
        </w:rPr>
        <w:t>具备独立法人资格和并持有有效的营业执照，或事业单位法人证书；经营范围包含仪器的生产或销售；供应商应为一般纳税人，能开具抵扣13%的增值税专用发票，提供一般纳税人证明材料。</w:t>
      </w:r>
    </w:p>
    <w:p>
      <w:pPr>
        <w:numPr>
          <w:ilvl w:val="255"/>
          <w:numId w:val="0"/>
        </w:numPr>
        <w:snapToGrid w:val="0"/>
        <w:spacing w:line="440" w:lineRule="exact"/>
        <w:ind w:firstLine="420" w:firstLineChars="200"/>
        <w:outlineLvl w:val="2"/>
        <w:rPr>
          <w:rFonts w:ascii="Times New Roman" w:hAnsi="Times New Roman" w:cs="Times New Roman"/>
          <w:szCs w:val="22"/>
        </w:rPr>
      </w:pPr>
      <w:r>
        <w:rPr>
          <w:rFonts w:hint="eastAsia" w:ascii="Times New Roman" w:hAnsi="Times New Roman" w:cs="Times New Roman"/>
          <w:szCs w:val="22"/>
        </w:rPr>
        <w:t>（2）</w:t>
      </w:r>
      <w:r>
        <w:rPr>
          <w:rFonts w:ascii="Times New Roman" w:hAnsi="Times New Roman" w:cs="Times New Roman"/>
          <w:szCs w:val="22"/>
        </w:rPr>
        <w:t>业绩最低要求</w:t>
      </w:r>
    </w:p>
    <w:p>
      <w:pPr>
        <w:numPr>
          <w:ilvl w:val="255"/>
          <w:numId w:val="0"/>
        </w:numPr>
        <w:snapToGrid w:val="0"/>
        <w:spacing w:line="440" w:lineRule="exact"/>
        <w:ind w:firstLine="420" w:firstLineChars="200"/>
        <w:outlineLvl w:val="2"/>
        <w:rPr>
          <w:rFonts w:ascii="Times New Roman" w:hAnsi="Times New Roman" w:cs="Times New Roman"/>
          <w:szCs w:val="22"/>
        </w:rPr>
      </w:pPr>
      <w:r>
        <w:rPr>
          <w:rFonts w:hint="eastAsia" w:ascii="Times New Roman" w:hAnsi="Times New Roman" w:cs="Times New Roman"/>
          <w:szCs w:val="22"/>
        </w:rPr>
        <w:t>近3年具有至少2个30万元的试验检测仪器供货的业绩（从2020年1月1日开始，以合同签订时间为准）。</w:t>
      </w:r>
      <w:bookmarkStart w:id="28" w:name="_Hlk141087958"/>
      <w:r>
        <w:rPr>
          <w:rFonts w:hint="eastAsia" w:ascii="Times New Roman" w:hAnsi="Times New Roman" w:cs="Times New Roman"/>
          <w:szCs w:val="22"/>
        </w:rPr>
        <w:t>业绩证明须附合同协议书等证明材料。</w:t>
      </w:r>
      <w:bookmarkEnd w:id="28"/>
    </w:p>
    <w:p>
      <w:pPr>
        <w:numPr>
          <w:ilvl w:val="255"/>
          <w:numId w:val="0"/>
        </w:numPr>
        <w:snapToGrid w:val="0"/>
        <w:spacing w:line="440" w:lineRule="exact"/>
        <w:ind w:firstLine="420" w:firstLineChars="200"/>
        <w:outlineLvl w:val="2"/>
        <w:rPr>
          <w:rFonts w:ascii="Times New Roman" w:hAnsi="Times New Roman" w:cs="Times New Roman"/>
          <w:szCs w:val="22"/>
        </w:rPr>
      </w:pPr>
      <w:r>
        <w:rPr>
          <w:rFonts w:hint="eastAsia" w:ascii="Times New Roman" w:hAnsi="Times New Roman" w:cs="Times New Roman"/>
          <w:szCs w:val="22"/>
        </w:rPr>
        <w:t>（</w:t>
      </w:r>
      <w:r>
        <w:rPr>
          <w:rFonts w:ascii="Times New Roman" w:hAnsi="Times New Roman" w:cs="Times New Roman"/>
          <w:szCs w:val="22"/>
        </w:rPr>
        <w:t>3</w:t>
      </w:r>
      <w:r>
        <w:rPr>
          <w:rFonts w:hint="eastAsia" w:ascii="Times New Roman" w:hAnsi="Times New Roman" w:cs="Times New Roman"/>
          <w:szCs w:val="22"/>
        </w:rPr>
        <w:t>）</w:t>
      </w:r>
      <w:r>
        <w:rPr>
          <w:rFonts w:ascii="Times New Roman" w:hAnsi="Times New Roman" w:cs="Times New Roman"/>
          <w:szCs w:val="22"/>
        </w:rPr>
        <w:t>信誉要求最低要求：</w:t>
      </w:r>
    </w:p>
    <w:p>
      <w:pPr>
        <w:snapToGrid w:val="0"/>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1）没有被省级及以上交通运输主管部门取消项目所在地的投标资格或禁止进入该区域公路建设市场且处于有效期内；</w:t>
      </w:r>
    </w:p>
    <w:p>
      <w:pPr>
        <w:snapToGrid w:val="0"/>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2）没有处于被责令停业，财务被接管、冻结、破产状态；</w:t>
      </w:r>
    </w:p>
    <w:p>
      <w:pPr>
        <w:snapToGrid w:val="0"/>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3）没有涉及正在诉讼的案件，或涉及正在诉讼的案件但经评审委员会认定不会对承担本项目造成重大影响；</w:t>
      </w:r>
    </w:p>
    <w:p>
      <w:pPr>
        <w:snapToGrid w:val="0"/>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4）未在评审期间被认定为“失信被执行人”（以http://www.creditchina.gov.cn/ “信用中国”网站查询信息为准）。</w:t>
      </w:r>
    </w:p>
    <w:p>
      <w:pPr>
        <w:snapToGrid w:val="0"/>
        <w:spacing w:line="440" w:lineRule="exact"/>
        <w:ind w:firstLine="420" w:firstLineChars="200"/>
        <w:rPr>
          <w:rFonts w:ascii="Times New Roman" w:hAnsi="Times New Roman" w:cs="Times New Roman"/>
          <w:sz w:val="18"/>
          <w:szCs w:val="21"/>
        </w:rPr>
      </w:pPr>
      <w:r>
        <w:rPr>
          <w:rFonts w:ascii="Times New Roman" w:hAnsi="Times New Roman" w:cs="Times New Roman"/>
          <w:szCs w:val="22"/>
        </w:rPr>
        <w:t>3.2联合体：</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440" w:lineRule="exact"/>
        <w:ind w:firstLine="420" w:firstLineChars="200"/>
        <w:rPr>
          <w:rFonts w:ascii="Times New Roman" w:hAnsi="Times New Roman" w:cs="Times New Roman"/>
          <w:sz w:val="18"/>
          <w:szCs w:val="21"/>
        </w:rPr>
      </w:pPr>
      <w:r>
        <w:rPr>
          <w:rFonts w:ascii="Times New Roman" w:hAnsi="Times New Roman" w:cs="Times New Roman"/>
          <w:szCs w:val="22"/>
        </w:rPr>
        <w:t>3.3 单位负责人为同一人或者存在控股、管理关系的不同单位，不得同时参加同一合同包报价，否则相关响应文件均无效。</w:t>
      </w:r>
    </w:p>
    <w:p>
      <w:pPr>
        <w:pStyle w:val="5"/>
        <w:snapToGrid w:val="0"/>
        <w:spacing w:before="120" w:after="120" w:line="240" w:lineRule="auto"/>
        <w:ind w:firstLine="403"/>
        <w:rPr>
          <w:rFonts w:ascii="Times New Roman" w:hAnsi="Times New Roman" w:eastAsia="黑体" w:cs="Times New Roman"/>
          <w:b w:val="0"/>
          <w:sz w:val="22"/>
          <w:szCs w:val="15"/>
        </w:rPr>
      </w:pPr>
      <w:bookmarkStart w:id="29" w:name="_Toc2996_WPSOffice_Level2"/>
      <w:bookmarkStart w:id="30" w:name="_Toc525632588"/>
      <w:bookmarkStart w:id="31" w:name="_Toc25666_WPSOffice_Level2"/>
      <w:bookmarkStart w:id="32" w:name="_Toc1994"/>
      <w:bookmarkStart w:id="33" w:name="_Toc4109_WPSOffice_Level2"/>
      <w:bookmarkStart w:id="34" w:name="_Toc4751"/>
      <w:bookmarkStart w:id="35" w:name="_Toc29452_WPSOffice_Level2"/>
      <w:r>
        <w:rPr>
          <w:rFonts w:hint="eastAsia" w:ascii="Times New Roman" w:hAnsi="Times New Roman" w:eastAsia="黑体" w:cs="Times New Roman"/>
          <w:b w:val="0"/>
          <w:sz w:val="22"/>
          <w:szCs w:val="15"/>
        </w:rPr>
        <w:t>询比文件</w:t>
      </w:r>
      <w:r>
        <w:rPr>
          <w:rFonts w:ascii="Times New Roman" w:hAnsi="Times New Roman" w:eastAsia="黑体" w:cs="Times New Roman"/>
          <w:b w:val="0"/>
          <w:sz w:val="22"/>
          <w:szCs w:val="15"/>
        </w:rPr>
        <w:t>的获取</w:t>
      </w:r>
      <w:bookmarkEnd w:id="29"/>
      <w:bookmarkEnd w:id="30"/>
      <w:bookmarkEnd w:id="31"/>
      <w:bookmarkEnd w:id="32"/>
      <w:bookmarkEnd w:id="33"/>
      <w:bookmarkEnd w:id="34"/>
      <w:bookmarkEnd w:id="35"/>
    </w:p>
    <w:p>
      <w:pPr>
        <w:snapToGrid w:val="0"/>
        <w:spacing w:line="44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w:t>
      </w:r>
      <w:r>
        <w:rPr>
          <w:rFonts w:ascii="Times New Roman" w:hAnsi="Times New Roman" w:cs="Times New Roman"/>
          <w:szCs w:val="21"/>
        </w:rPr>
        <w:t>时间前登录</w:t>
      </w:r>
      <w:r>
        <w:rPr>
          <w:rFonts w:hint="eastAsia" w:ascii="Times New Roman" w:hAnsi="Times New Roman" w:cs="Times New Roman"/>
          <w:szCs w:val="21"/>
        </w:rPr>
        <w:t>高速检测官网（http://www.ahgsjc.com/）</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5"/>
        <w:snapToGrid w:val="0"/>
        <w:spacing w:before="120" w:after="120" w:line="240" w:lineRule="auto"/>
        <w:ind w:firstLine="403"/>
        <w:rPr>
          <w:rFonts w:ascii="Times New Roman" w:hAnsi="Times New Roman" w:eastAsia="黑体" w:cs="Times New Roman"/>
          <w:b w:val="0"/>
          <w:sz w:val="22"/>
          <w:szCs w:val="15"/>
        </w:rPr>
      </w:pPr>
      <w:bookmarkStart w:id="36" w:name="_Toc726"/>
      <w:bookmarkStart w:id="37" w:name="_Toc525632589"/>
      <w:r>
        <w:rPr>
          <w:rFonts w:ascii="Times New Roman" w:hAnsi="Times New Roman" w:eastAsia="黑体" w:cs="Times New Roman"/>
          <w:b w:val="0"/>
          <w:sz w:val="22"/>
          <w:szCs w:val="15"/>
        </w:rPr>
        <w:t>响应文件的递交</w:t>
      </w:r>
      <w:bookmarkEnd w:id="36"/>
      <w:bookmarkEnd w:id="37"/>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2023</w:t>
      </w:r>
      <w:r>
        <w:rPr>
          <w:rFonts w:ascii="Times New Roman" w:hAnsi="Times New Roman" w:cs="Times New Roman"/>
          <w:szCs w:val="22"/>
          <w:u w:val="single"/>
        </w:rPr>
        <w:t>年8月7日</w:t>
      </w:r>
      <w:r>
        <w:rPr>
          <w:rFonts w:hint="eastAsia" w:ascii="Times New Roman" w:hAnsi="Times New Roman" w:cs="Times New Roman"/>
          <w:szCs w:val="22"/>
          <w:u w:val="single"/>
        </w:rPr>
        <w:t>09</w:t>
      </w:r>
      <w:r>
        <w:rPr>
          <w:rFonts w:ascii="Times New Roman" w:hAnsi="Times New Roman" w:cs="Times New Roman"/>
          <w:szCs w:val="22"/>
          <w:u w:val="single"/>
        </w:rPr>
        <w:t>时</w:t>
      </w:r>
      <w:r>
        <w:rPr>
          <w:rFonts w:hint="eastAsia" w:ascii="Times New Roman" w:hAnsi="Times New Roman" w:cs="Times New Roman"/>
          <w:szCs w:val="22"/>
          <w:u w:val="single"/>
        </w:rPr>
        <w:t>30</w:t>
      </w:r>
      <w:r>
        <w:rPr>
          <w:rFonts w:ascii="Times New Roman" w:hAnsi="Times New Roman" w:cs="Times New Roman"/>
          <w:szCs w:val="22"/>
          <w:u w:val="single"/>
        </w:rPr>
        <w:t>分</w:t>
      </w:r>
      <w:r>
        <w:rPr>
          <w:rFonts w:ascii="Times New Roman" w:hAnsi="Times New Roman" w:cs="Times New Roman"/>
          <w:szCs w:val="22"/>
        </w:rPr>
        <w:t>，</w:t>
      </w:r>
      <w:r>
        <w:rPr>
          <w:rFonts w:hint="eastAsia" w:ascii="Times New Roman" w:hAnsi="Times New Roman" w:cs="Times New Roman"/>
          <w:szCs w:val="22"/>
        </w:rPr>
        <w:t>供应商的法定代表人或其授权代理人应于递交的截止时间前将响应文件递交至安徽省高速公路试验检测科研中心有限公司六楼605会议室（地点：安徽省合肥市蜀山区方兴大道与彩虹路交口东北角设计总院交通慧谷2号楼）。</w:t>
      </w:r>
    </w:p>
    <w:p>
      <w:pPr>
        <w:pStyle w:val="5"/>
        <w:snapToGrid w:val="0"/>
        <w:spacing w:before="120" w:after="120" w:line="240" w:lineRule="auto"/>
        <w:ind w:firstLine="403"/>
        <w:rPr>
          <w:rFonts w:ascii="Times New Roman" w:hAnsi="Times New Roman" w:eastAsia="黑体" w:cs="Times New Roman"/>
          <w:b w:val="0"/>
          <w:sz w:val="22"/>
          <w:szCs w:val="15"/>
        </w:rPr>
      </w:pPr>
      <w:bookmarkStart w:id="38" w:name="_Toc22719"/>
      <w:bookmarkStart w:id="39" w:name="_Toc525632591"/>
      <w:r>
        <w:rPr>
          <w:rFonts w:ascii="Times New Roman" w:hAnsi="Times New Roman" w:eastAsia="黑体" w:cs="Times New Roman"/>
          <w:b w:val="0"/>
          <w:sz w:val="22"/>
          <w:szCs w:val="15"/>
        </w:rPr>
        <w:t>响应文件启封</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rPr>
        <w:t>安徽省高速公路试验检测科研中心有限公司六楼605会议室（地点：安徽省合肥市蜀山区方兴大道与彩虹路交口东北角设计总院交通慧谷2号楼）</w:t>
      </w:r>
      <w:r>
        <w:rPr>
          <w:rFonts w:ascii="Times New Roman" w:hAnsi="Times New Roman" w:cs="Times New Roman"/>
          <w:szCs w:val="22"/>
        </w:rPr>
        <w:t>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5"/>
        <w:snapToGrid w:val="0"/>
        <w:spacing w:before="120" w:after="120" w:line="240" w:lineRule="auto"/>
        <w:ind w:firstLine="403"/>
        <w:rPr>
          <w:rFonts w:ascii="Times New Roman" w:hAnsi="Times New Roman" w:eastAsia="黑体" w:cs="Times New Roman"/>
          <w:b w:val="0"/>
          <w:sz w:val="22"/>
          <w:szCs w:val="15"/>
        </w:rPr>
      </w:pPr>
      <w:r>
        <w:rPr>
          <w:rFonts w:hint="eastAsia" w:ascii="Times New Roman" w:hAnsi="Times New Roman" w:eastAsia="黑体" w:cs="Times New Roman"/>
          <w:b w:val="0"/>
          <w:sz w:val="22"/>
          <w:szCs w:val="15"/>
        </w:rPr>
        <w:t>响应保证金</w:t>
      </w:r>
    </w:p>
    <w:p>
      <w:pPr>
        <w:widowControl/>
        <w:snapToGrid w:val="0"/>
        <w:spacing w:line="440" w:lineRule="exact"/>
        <w:ind w:firstLine="420" w:firstLineChars="200"/>
        <w:rPr>
          <w:rFonts w:ascii="Times New Roman" w:hAnsi="Times New Roman"/>
        </w:rPr>
      </w:pPr>
      <w:r>
        <w:rPr>
          <w:rFonts w:hint="eastAsia" w:ascii="Times New Roman" w:hAnsi="Times New Roman"/>
        </w:rPr>
        <w:t>响应保证金的金额</w:t>
      </w:r>
      <w:r>
        <w:rPr>
          <w:rFonts w:ascii="Times New Roman" w:hAnsi="Times New Roman" w:cs="Times New Roman"/>
          <w:szCs w:val="22"/>
        </w:rPr>
        <w:t>：</w:t>
      </w:r>
      <w:r>
        <w:rPr>
          <w:rFonts w:hint="eastAsia" w:ascii="Times New Roman" w:hAnsi="Times New Roman" w:cs="Times New Roman"/>
          <w:szCs w:val="22"/>
          <w:u w:val="single"/>
        </w:rPr>
        <w:t>人民币2</w:t>
      </w:r>
      <w:r>
        <w:rPr>
          <w:rFonts w:ascii="Times New Roman" w:hAnsi="Times New Roman" w:cs="Times New Roman"/>
          <w:szCs w:val="22"/>
          <w:u w:val="single"/>
        </w:rPr>
        <w:t>000.00元</w:t>
      </w:r>
    </w:p>
    <w:p>
      <w:pPr>
        <w:widowControl/>
        <w:snapToGrid w:val="0"/>
        <w:spacing w:line="440" w:lineRule="exact"/>
        <w:ind w:firstLine="420" w:firstLineChars="200"/>
        <w:rPr>
          <w:rFonts w:ascii="Times New Roman" w:hAnsi="Times New Roman"/>
        </w:rPr>
      </w:pPr>
      <w:r>
        <w:rPr>
          <w:rFonts w:hint="eastAsia" w:ascii="Times New Roman" w:hAnsi="Times New Roman"/>
        </w:rPr>
        <w:t>响应保证金的递交形式：银行转账</w:t>
      </w:r>
    </w:p>
    <w:p>
      <w:pPr>
        <w:widowControl/>
        <w:snapToGrid w:val="0"/>
        <w:spacing w:line="440" w:lineRule="exact"/>
        <w:ind w:firstLine="420" w:firstLineChars="200"/>
        <w:rPr>
          <w:rFonts w:ascii="Times New Roman" w:hAnsi="Times New Roman"/>
          <w:u w:val="single"/>
        </w:rPr>
      </w:pPr>
      <w:r>
        <w:rPr>
          <w:rFonts w:hint="eastAsia" w:ascii="Times New Roman" w:hAnsi="Times New Roman"/>
        </w:rPr>
        <w:t>递交账号：</w:t>
      </w:r>
      <w:r>
        <w:rPr>
          <w:rFonts w:hint="eastAsia" w:ascii="Times New Roman" w:hAnsi="Times New Roman"/>
          <w:u w:val="single"/>
        </w:rPr>
        <w:t>087672120100330002507</w:t>
      </w:r>
    </w:p>
    <w:p>
      <w:pPr>
        <w:widowControl/>
        <w:snapToGrid w:val="0"/>
        <w:spacing w:line="440" w:lineRule="exact"/>
        <w:ind w:firstLine="420" w:firstLineChars="200"/>
        <w:rPr>
          <w:rFonts w:ascii="Times New Roman" w:hAnsi="Times New Roman"/>
          <w:u w:val="single"/>
        </w:rPr>
      </w:pPr>
      <w:r>
        <w:rPr>
          <w:rFonts w:hint="eastAsia" w:ascii="Times New Roman" w:hAnsi="Times New Roman"/>
        </w:rPr>
        <w:t>开户行：</w:t>
      </w:r>
      <w:r>
        <w:rPr>
          <w:rFonts w:hint="eastAsia" w:ascii="Times New Roman" w:hAnsi="Times New Roman"/>
          <w:u w:val="single"/>
        </w:rPr>
        <w:t>光大银行合肥经济开发区支行</w:t>
      </w:r>
    </w:p>
    <w:p>
      <w:pPr>
        <w:widowControl/>
        <w:snapToGrid w:val="0"/>
        <w:spacing w:line="440" w:lineRule="exact"/>
        <w:ind w:left="1680" w:leftChars="200" w:hanging="1260" w:hangingChars="600"/>
        <w:rPr>
          <w:rFonts w:ascii="Times New Roman" w:hAnsi="Times New Roman"/>
          <w:b/>
          <w:bCs/>
          <w:u w:val="single"/>
        </w:rPr>
      </w:pPr>
      <w:r>
        <w:rPr>
          <w:rFonts w:hint="eastAsia" w:ascii="Times New Roman" w:hAnsi="Times New Roman"/>
        </w:rPr>
        <w:t>备注栏填写：</w:t>
      </w:r>
      <w:r>
        <w:rPr>
          <w:rFonts w:hint="eastAsia" w:ascii="Times New Roman" w:hAnsi="Times New Roman" w:cs="Times New Roman"/>
          <w:szCs w:val="22"/>
          <w:u w:val="single"/>
        </w:rPr>
        <w:t>合肥管理处2023年部分桥梁专项检测项目采购</w:t>
      </w:r>
      <w:r>
        <w:rPr>
          <w:rFonts w:hint="eastAsia" w:ascii="Times New Roman" w:hAnsi="Times New Roman"/>
          <w:u w:val="single"/>
        </w:rPr>
        <w:t>响应保证金</w:t>
      </w:r>
    </w:p>
    <w:p>
      <w:pPr>
        <w:widowControl/>
        <w:numPr>
          <w:ilvl w:val="255"/>
          <w:numId w:val="0"/>
        </w:numPr>
        <w:snapToGrid w:val="0"/>
        <w:spacing w:line="440" w:lineRule="exact"/>
        <w:ind w:firstLine="420" w:firstLineChars="200"/>
        <w:rPr>
          <w:rFonts w:ascii="Times New Roman" w:hAnsi="Times New Roman"/>
          <w:color w:val="0000FF"/>
          <w:u w:val="single"/>
        </w:rPr>
      </w:pPr>
      <w:r>
        <w:rPr>
          <w:rFonts w:hint="eastAsia" w:ascii="Times New Roman" w:hAnsi="Times New Roman"/>
        </w:rPr>
        <w:t>递交截止时间：</w:t>
      </w:r>
      <w:r>
        <w:rPr>
          <w:rFonts w:hint="eastAsia" w:ascii="Times New Roman" w:hAnsi="Times New Roman" w:cs="Times New Roman"/>
          <w:szCs w:val="22"/>
          <w:u w:val="single"/>
        </w:rPr>
        <w:t>2023</w:t>
      </w:r>
      <w:r>
        <w:rPr>
          <w:rFonts w:ascii="Times New Roman" w:hAnsi="Times New Roman" w:cs="Times New Roman"/>
          <w:szCs w:val="22"/>
          <w:u w:val="single"/>
        </w:rPr>
        <w:t>年8月7日</w:t>
      </w:r>
      <w:r>
        <w:rPr>
          <w:rFonts w:hint="eastAsia" w:ascii="Times New Roman" w:hAnsi="Times New Roman" w:cs="Times New Roman"/>
          <w:szCs w:val="22"/>
          <w:u w:val="single"/>
        </w:rPr>
        <w:t xml:space="preserve">09 </w:t>
      </w:r>
      <w:r>
        <w:rPr>
          <w:rFonts w:ascii="Times New Roman" w:hAnsi="Times New Roman" w:cs="Times New Roman"/>
          <w:szCs w:val="22"/>
          <w:u w:val="single"/>
        </w:rPr>
        <w:t>时</w:t>
      </w:r>
      <w:r>
        <w:rPr>
          <w:rFonts w:hint="eastAsia" w:ascii="Times New Roman" w:hAnsi="Times New Roman" w:cs="Times New Roman"/>
          <w:szCs w:val="22"/>
          <w:u w:val="single"/>
        </w:rPr>
        <w:t>30</w:t>
      </w:r>
      <w:r>
        <w:rPr>
          <w:rFonts w:ascii="Times New Roman" w:hAnsi="Times New Roman" w:cs="Times New Roman"/>
          <w:szCs w:val="22"/>
          <w:u w:val="single"/>
        </w:rPr>
        <w:t>分</w:t>
      </w:r>
    </w:p>
    <w:p>
      <w:pPr>
        <w:pStyle w:val="5"/>
        <w:widowControl/>
        <w:numPr>
          <w:ilvl w:val="0"/>
          <w:numId w:val="0"/>
        </w:numPr>
        <w:snapToGrid w:val="0"/>
        <w:spacing w:before="120" w:after="120" w:line="240" w:lineRule="auto"/>
        <w:ind w:left="420"/>
        <w:rPr>
          <w:rFonts w:ascii="Times New Roman" w:hAnsi="Times New Roman" w:eastAsia="宋体" w:cs="Times New Roman"/>
          <w:b w:val="0"/>
          <w:bCs w:val="0"/>
          <w:sz w:val="21"/>
          <w:szCs w:val="24"/>
        </w:rPr>
      </w:pPr>
      <w:r>
        <w:rPr>
          <w:rFonts w:hint="eastAsia" w:ascii="Times New Roman" w:hAnsi="Times New Roman" w:eastAsia="宋体" w:cs="Times New Roman"/>
          <w:b w:val="0"/>
          <w:bCs w:val="0"/>
          <w:sz w:val="21"/>
          <w:szCs w:val="24"/>
        </w:rPr>
        <w:t>具体情况以递交截止时间我公司财务查询为准</w:t>
      </w:r>
    </w:p>
    <w:p>
      <w:pPr>
        <w:pStyle w:val="5"/>
        <w:snapToGrid w:val="0"/>
        <w:spacing w:before="120" w:after="120" w:line="240" w:lineRule="auto"/>
        <w:ind w:firstLine="403"/>
        <w:rPr>
          <w:rFonts w:ascii="Times New Roman" w:hAnsi="Times New Roman" w:eastAsia="黑体" w:cs="Times New Roman"/>
          <w:b w:val="0"/>
          <w:sz w:val="22"/>
          <w:szCs w:val="15"/>
        </w:rPr>
      </w:pPr>
      <w:r>
        <w:rPr>
          <w:rFonts w:ascii="Times New Roman" w:hAnsi="Times New Roman" w:eastAsia="黑体" w:cs="Times New Roman"/>
          <w:b w:val="0"/>
          <w:sz w:val="22"/>
          <w:szCs w:val="15"/>
        </w:rPr>
        <w:t>发布公告的媒介</w:t>
      </w:r>
      <w:bookmarkEnd w:id="38"/>
      <w:bookmarkEnd w:id="39"/>
    </w:p>
    <w:p>
      <w:pPr>
        <w:snapToGrid w:val="0"/>
        <w:spacing w:line="440" w:lineRule="exact"/>
        <w:ind w:firstLine="420" w:firstLineChars="200"/>
        <w:rPr>
          <w:rFonts w:ascii="Times New Roman" w:hAnsi="Times New Roman" w:eastAsia="黑体" w:cs="Times New Roman"/>
          <w:sz w:val="22"/>
          <w:szCs w:val="15"/>
        </w:rPr>
      </w:pPr>
      <w:r>
        <w:rPr>
          <w:rFonts w:ascii="Times New Roman" w:hAnsi="Times New Roman" w:cs="Times New Roman"/>
          <w:szCs w:val="22"/>
        </w:rPr>
        <w:t>本次采购公告在</w:t>
      </w:r>
      <w:r>
        <w:rPr>
          <w:rFonts w:hint="eastAsia" w:ascii="Times New Roman" w:hAnsi="Times New Roman" w:cs="Times New Roman"/>
          <w:szCs w:val="21"/>
          <w:u w:val="single"/>
        </w:rPr>
        <w:t>高速检测官网（http://www.ahgsjc.com/）</w:t>
      </w:r>
      <w:r>
        <w:rPr>
          <w:rFonts w:hint="eastAsia" w:ascii="Times New Roman" w:hAnsi="Times New Roman" w:cs="Times New Roman"/>
          <w:szCs w:val="21"/>
        </w:rPr>
        <w:t>公司公告栏</w:t>
      </w:r>
      <w:r>
        <w:rPr>
          <w:rFonts w:ascii="Times New Roman" w:hAnsi="Times New Roman" w:cs="Times New Roman"/>
          <w:szCs w:val="22"/>
        </w:rPr>
        <w:t>上发布。</w:t>
      </w:r>
    </w:p>
    <w:p>
      <w:pPr>
        <w:pStyle w:val="5"/>
        <w:snapToGrid w:val="0"/>
        <w:spacing w:before="120" w:after="120" w:line="240" w:lineRule="auto"/>
        <w:ind w:firstLine="403"/>
        <w:rPr>
          <w:rFonts w:ascii="Times New Roman" w:hAnsi="Times New Roman" w:eastAsia="黑体" w:cs="Times New Roman"/>
          <w:b w:val="0"/>
          <w:sz w:val="22"/>
          <w:szCs w:val="15"/>
        </w:rPr>
      </w:pPr>
      <w:bookmarkStart w:id="40" w:name="_Toc20572_WPSOffice_Level2"/>
      <w:bookmarkStart w:id="41" w:name="_Toc525632592"/>
      <w:bookmarkStart w:id="42" w:name="_Toc321_WPSOffice_Level2"/>
      <w:bookmarkStart w:id="43" w:name="_Toc28571_WPSOffice_Level2"/>
      <w:bookmarkStart w:id="44" w:name="_Toc8501"/>
      <w:bookmarkStart w:id="45" w:name="_Toc14943_WPSOffice_Level2"/>
      <w:bookmarkStart w:id="46" w:name="_Toc26829"/>
      <w:r>
        <w:rPr>
          <w:rFonts w:ascii="Times New Roman" w:hAnsi="Times New Roman" w:eastAsia="黑体" w:cs="Times New Roman"/>
          <w:b w:val="0"/>
          <w:sz w:val="22"/>
          <w:szCs w:val="15"/>
        </w:rPr>
        <w:t>采购人联系方式</w:t>
      </w:r>
      <w:bookmarkEnd w:id="40"/>
      <w:bookmarkEnd w:id="41"/>
      <w:bookmarkEnd w:id="42"/>
      <w:bookmarkEnd w:id="43"/>
      <w:bookmarkEnd w:id="44"/>
      <w:bookmarkEnd w:id="45"/>
      <w:bookmarkEnd w:id="46"/>
    </w:p>
    <w:p>
      <w:pPr>
        <w:spacing w:line="440" w:lineRule="exact"/>
        <w:ind w:firstLine="420" w:firstLineChars="200"/>
        <w:rPr>
          <w:rFonts w:ascii="Times New Roman" w:hAnsi="Times New Roman" w:cs="Times New Roman"/>
          <w:szCs w:val="22"/>
        </w:rPr>
      </w:pPr>
      <w:r>
        <w:rPr>
          <w:rFonts w:ascii="Times New Roman" w:hAnsi="Times New Roman" w:cs="Times New Roman"/>
          <w:szCs w:val="22"/>
        </w:rPr>
        <w:t>采 购 人：</w:t>
      </w:r>
      <w:r>
        <w:rPr>
          <w:rFonts w:ascii="Times New Roman" w:hAnsi="Times New Roman" w:cs="Times New Roman"/>
          <w:szCs w:val="22"/>
          <w:u w:val="single"/>
        </w:rPr>
        <w:t>安徽省高速公路试验检测科研中心有限公司</w:t>
      </w:r>
    </w:p>
    <w:p>
      <w:pPr>
        <w:spacing w:line="440" w:lineRule="exact"/>
        <w:ind w:firstLine="420" w:firstLineChars="200"/>
        <w:rPr>
          <w:rFonts w:ascii="Times New Roman" w:hAnsi="Times New Roman" w:cs="Times New Roman"/>
          <w:szCs w:val="22"/>
        </w:rPr>
      </w:pPr>
      <w:r>
        <w:rPr>
          <w:rFonts w:ascii="Times New Roman" w:hAnsi="Times New Roman" w:cs="Times New Roman"/>
          <w:szCs w:val="22"/>
        </w:rPr>
        <w:t>地    址：</w:t>
      </w:r>
      <w:r>
        <w:rPr>
          <w:rFonts w:hint="eastAsia" w:ascii="Times New Roman" w:hAnsi="Times New Roman" w:cs="Times New Roman"/>
          <w:szCs w:val="22"/>
          <w:u w:val="single"/>
        </w:rPr>
        <w:t>安徽省合肥市蜀山区方兴大道与彩虹路交口东北角设计总院生产研发基地2号楼</w:t>
      </w:r>
    </w:p>
    <w:p>
      <w:pPr>
        <w:spacing w:line="440" w:lineRule="exact"/>
        <w:ind w:firstLine="420" w:firstLineChars="200"/>
        <w:rPr>
          <w:rFonts w:ascii="Times New Roman" w:hAnsi="Times New Roman" w:cs="Times New Roman"/>
          <w:szCs w:val="22"/>
        </w:rPr>
      </w:pPr>
      <w:r>
        <w:rPr>
          <w:rFonts w:ascii="Times New Roman" w:hAnsi="Times New Roman" w:cs="Times New Roman"/>
          <w:szCs w:val="22"/>
        </w:rPr>
        <w:t>联 系 人：</w:t>
      </w:r>
      <w:r>
        <w:rPr>
          <w:rFonts w:hint="eastAsia" w:ascii="Times New Roman" w:hAnsi="Times New Roman" w:cs="Times New Roman"/>
          <w:szCs w:val="22"/>
          <w:u w:val="single"/>
        </w:rPr>
        <w:t>唐</w:t>
      </w:r>
      <w:r>
        <w:rPr>
          <w:rFonts w:ascii="Times New Roman" w:hAnsi="Times New Roman" w:cs="Times New Roman"/>
          <w:szCs w:val="22"/>
          <w:u w:val="single"/>
        </w:rPr>
        <w:t xml:space="preserve">  </w:t>
      </w:r>
      <w:r>
        <w:rPr>
          <w:rFonts w:hint="eastAsia" w:ascii="Times New Roman" w:hAnsi="Times New Roman" w:cs="Times New Roman"/>
          <w:szCs w:val="22"/>
          <w:u w:val="single"/>
        </w:rPr>
        <w:t>工</w:t>
      </w:r>
      <w:r>
        <w:rPr>
          <w:rFonts w:ascii="Times New Roman" w:hAnsi="Times New Roman" w:cs="Times New Roman"/>
          <w:szCs w:val="22"/>
          <w:u w:val="single"/>
        </w:rPr>
        <w:t xml:space="preserve"> </w:t>
      </w:r>
    </w:p>
    <w:p>
      <w:pPr>
        <w:spacing w:line="440" w:lineRule="exact"/>
        <w:ind w:firstLine="420" w:firstLineChars="200"/>
        <w:rPr>
          <w:rFonts w:ascii="Times New Roman" w:hAnsi="Times New Roman" w:cs="Times New Roman"/>
          <w:szCs w:val="22"/>
        </w:rPr>
      </w:pPr>
      <w:r>
        <w:rPr>
          <w:rFonts w:ascii="Times New Roman" w:hAnsi="Times New Roman" w:cs="Times New Roman"/>
          <w:szCs w:val="22"/>
        </w:rPr>
        <w:t>电    话：13637053749</w:t>
      </w:r>
    </w:p>
    <w:p>
      <w:pPr>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电子邮箱：</w:t>
      </w:r>
      <w:r>
        <w:rPr>
          <w:rFonts w:ascii="Times New Roman" w:hAnsi="Times New Roman" w:cs="Times New Roman"/>
          <w:szCs w:val="22"/>
        </w:rPr>
        <w:t xml:space="preserve">382250564@qq.com  </w:t>
      </w:r>
    </w:p>
    <w:p>
      <w:pPr>
        <w:pStyle w:val="30"/>
        <w:jc w:val="right"/>
        <w:rPr>
          <w:rFonts w:hint="default" w:ascii="Times New Roman" w:hAnsi="Times New Roman" w:eastAsiaTheme="minorEastAsia" w:cstheme="minorBidi"/>
          <w:color w:val="auto"/>
          <w:kern w:val="2"/>
          <w:sz w:val="21"/>
          <w:szCs w:val="24"/>
        </w:rPr>
      </w:pPr>
      <w:r>
        <w:rPr>
          <w:rFonts w:ascii="Times New Roman" w:hAnsi="Times New Roman" w:eastAsiaTheme="minorEastAsia" w:cstheme="minorBidi"/>
          <w:color w:val="auto"/>
          <w:kern w:val="2"/>
          <w:sz w:val="21"/>
          <w:szCs w:val="24"/>
        </w:rPr>
        <w:t>2023</w:t>
      </w:r>
      <w:r>
        <w:rPr>
          <w:rFonts w:hint="default" w:ascii="Times New Roman" w:hAnsi="Times New Roman" w:eastAsiaTheme="minorEastAsia" w:cstheme="minorBidi"/>
          <w:color w:val="auto"/>
          <w:kern w:val="2"/>
          <w:sz w:val="21"/>
          <w:szCs w:val="24"/>
        </w:rPr>
        <w:t>年7月31日</w:t>
      </w:r>
    </w:p>
    <w:p>
      <w:pPr>
        <w:widowControl/>
        <w:jc w:val="left"/>
        <w:rPr>
          <w:rFonts w:ascii="Times New Roman" w:hAnsi="Times New Roman" w:eastAsia="Fang Song" w:cs="Times New Roman"/>
          <w:kern w:val="0"/>
          <w:sz w:val="24"/>
          <w:szCs w:val="28"/>
        </w:rPr>
      </w:pPr>
      <w:r>
        <w:rPr>
          <w:rFonts w:ascii="Times New Roman" w:hAnsi="Times New Roman"/>
          <w:szCs w:val="28"/>
        </w:rPr>
        <w:br w:type="page"/>
      </w:r>
    </w:p>
    <w:p>
      <w:pPr>
        <w:pStyle w:val="30"/>
        <w:jc w:val="both"/>
        <w:rPr>
          <w:rFonts w:hint="default" w:ascii="Times New Roman" w:hAnsi="Times New Roman"/>
          <w:color w:val="auto"/>
          <w:szCs w:val="28"/>
        </w:rPr>
      </w:pPr>
    </w:p>
    <w:p>
      <w:pPr>
        <w:pStyle w:val="30"/>
        <w:jc w:val="both"/>
        <w:rPr>
          <w:rFonts w:hint="default" w:ascii="Times New Roman" w:hAnsi="Times New Roman"/>
          <w:color w:val="auto"/>
          <w:szCs w:val="28"/>
        </w:rPr>
      </w:pPr>
    </w:p>
    <w:p>
      <w:pPr>
        <w:pStyle w:val="30"/>
        <w:jc w:val="both"/>
        <w:rPr>
          <w:rFonts w:hint="default" w:ascii="Times New Roman" w:hAnsi="Times New Roman"/>
          <w:color w:val="auto"/>
          <w:szCs w:val="28"/>
        </w:rPr>
      </w:pPr>
    </w:p>
    <w:p>
      <w:pPr>
        <w:pStyle w:val="30"/>
        <w:jc w:val="both"/>
        <w:rPr>
          <w:rFonts w:hint="default" w:ascii="Times New Roman" w:hAnsi="Times New Roman"/>
          <w:color w:val="auto"/>
          <w:szCs w:val="28"/>
        </w:rPr>
      </w:pPr>
    </w:p>
    <w:p>
      <w:pPr>
        <w:pStyle w:val="30"/>
        <w:jc w:val="both"/>
        <w:rPr>
          <w:rFonts w:hint="default" w:ascii="Times New Roman" w:hAnsi="Times New Roman"/>
          <w:color w:val="auto"/>
          <w:szCs w:val="28"/>
        </w:rPr>
      </w:pPr>
    </w:p>
    <w:p>
      <w:pPr>
        <w:pStyle w:val="30"/>
        <w:jc w:val="both"/>
        <w:rPr>
          <w:rFonts w:hint="default" w:ascii="Times New Roman" w:hAnsi="Times New Roman"/>
          <w:color w:val="auto"/>
          <w:szCs w:val="28"/>
        </w:rPr>
      </w:pPr>
    </w:p>
    <w:p>
      <w:pPr>
        <w:pStyle w:val="30"/>
        <w:jc w:val="both"/>
        <w:rPr>
          <w:rFonts w:hint="default" w:ascii="Times New Roman" w:hAnsi="Times New Roman"/>
          <w:color w:val="auto"/>
          <w:szCs w:val="28"/>
        </w:rPr>
      </w:pPr>
    </w:p>
    <w:p>
      <w:pPr>
        <w:pStyle w:val="30"/>
        <w:jc w:val="both"/>
        <w:rPr>
          <w:rFonts w:hint="default" w:ascii="Times New Roman" w:hAnsi="Times New Roman"/>
          <w:color w:val="auto"/>
          <w:szCs w:val="28"/>
        </w:rPr>
      </w:pPr>
    </w:p>
    <w:p>
      <w:pPr>
        <w:pStyle w:val="30"/>
        <w:jc w:val="both"/>
        <w:rPr>
          <w:rFonts w:hint="default" w:ascii="Times New Roman" w:hAnsi="Times New Roman"/>
          <w:color w:val="auto"/>
          <w:szCs w:val="28"/>
        </w:rPr>
      </w:pPr>
    </w:p>
    <w:p>
      <w:pPr>
        <w:pStyle w:val="30"/>
        <w:jc w:val="both"/>
        <w:rPr>
          <w:rFonts w:hint="default" w:ascii="Times New Roman" w:hAnsi="Times New Roman"/>
          <w:color w:val="auto"/>
          <w:szCs w:val="28"/>
        </w:rPr>
      </w:pPr>
    </w:p>
    <w:p>
      <w:pPr>
        <w:pStyle w:val="30"/>
        <w:jc w:val="both"/>
        <w:rPr>
          <w:rFonts w:hint="default" w:ascii="Times New Roman" w:hAnsi="Times New Roman"/>
          <w:color w:val="auto"/>
          <w:szCs w:val="28"/>
        </w:rPr>
      </w:pPr>
    </w:p>
    <w:p>
      <w:pPr>
        <w:pStyle w:val="30"/>
        <w:jc w:val="both"/>
        <w:rPr>
          <w:rFonts w:hint="default" w:ascii="Times New Roman" w:hAnsi="Times New Roman"/>
          <w:color w:val="auto"/>
          <w:szCs w:val="28"/>
        </w:rPr>
      </w:pPr>
    </w:p>
    <w:p>
      <w:pPr>
        <w:pStyle w:val="30"/>
        <w:jc w:val="both"/>
        <w:rPr>
          <w:rFonts w:hint="default" w:ascii="Times New Roman" w:hAnsi="Times New Roman"/>
          <w:color w:val="auto"/>
          <w:szCs w:val="28"/>
        </w:rPr>
      </w:pPr>
    </w:p>
    <w:p>
      <w:pPr>
        <w:pStyle w:val="30"/>
        <w:jc w:val="both"/>
        <w:rPr>
          <w:rFonts w:hint="default" w:ascii="Times New Roman" w:hAnsi="Times New Roman"/>
          <w:color w:val="auto"/>
          <w:szCs w:val="28"/>
        </w:rPr>
      </w:pPr>
    </w:p>
    <w:p>
      <w:pPr>
        <w:pStyle w:val="30"/>
        <w:jc w:val="both"/>
        <w:rPr>
          <w:rFonts w:hint="default" w:ascii="Times New Roman" w:hAnsi="Times New Roman"/>
          <w:color w:val="auto"/>
          <w:szCs w:val="28"/>
        </w:rPr>
      </w:pPr>
    </w:p>
    <w:p>
      <w:pPr>
        <w:pStyle w:val="30"/>
        <w:jc w:val="both"/>
        <w:rPr>
          <w:rFonts w:hint="default" w:ascii="Times New Roman" w:hAnsi="Times New Roman"/>
          <w:color w:val="auto"/>
          <w:szCs w:val="28"/>
        </w:rPr>
      </w:pPr>
    </w:p>
    <w:p>
      <w:pPr>
        <w:pStyle w:val="30"/>
        <w:jc w:val="both"/>
        <w:rPr>
          <w:rFonts w:hint="default" w:ascii="Times New Roman" w:hAnsi="Times New Roman"/>
          <w:color w:val="auto"/>
          <w:szCs w:val="28"/>
        </w:rPr>
      </w:pPr>
    </w:p>
    <w:p>
      <w:pPr>
        <w:pStyle w:val="30"/>
        <w:jc w:val="both"/>
        <w:rPr>
          <w:rFonts w:hint="default" w:ascii="Times New Roman" w:hAnsi="Times New Roman"/>
          <w:color w:val="auto"/>
          <w:szCs w:val="28"/>
        </w:rPr>
      </w:pPr>
    </w:p>
    <w:p>
      <w:pPr>
        <w:pStyle w:val="30"/>
        <w:jc w:val="both"/>
        <w:rPr>
          <w:rFonts w:hint="default" w:ascii="Times New Roman" w:hAnsi="Times New Roman"/>
          <w:color w:val="auto"/>
          <w:szCs w:val="28"/>
        </w:rPr>
      </w:pPr>
    </w:p>
    <w:p>
      <w:pPr>
        <w:pStyle w:val="30"/>
        <w:jc w:val="both"/>
        <w:rPr>
          <w:rFonts w:hint="default" w:ascii="Times New Roman" w:hAnsi="Times New Roman"/>
          <w:color w:val="auto"/>
          <w:szCs w:val="28"/>
        </w:rPr>
      </w:pPr>
    </w:p>
    <w:p>
      <w:pPr>
        <w:pStyle w:val="30"/>
        <w:jc w:val="both"/>
        <w:rPr>
          <w:rFonts w:hint="default" w:ascii="Times New Roman" w:hAnsi="Times New Roman"/>
          <w:color w:val="auto"/>
          <w:szCs w:val="28"/>
        </w:rPr>
      </w:pPr>
    </w:p>
    <w:p>
      <w:pPr>
        <w:pStyle w:val="30"/>
        <w:jc w:val="both"/>
        <w:rPr>
          <w:rFonts w:hint="default" w:ascii="Times New Roman" w:hAnsi="Times New Roman"/>
          <w:color w:val="auto"/>
          <w:szCs w:val="28"/>
        </w:rPr>
      </w:pPr>
    </w:p>
    <w:p>
      <w:pPr>
        <w:pStyle w:val="30"/>
        <w:jc w:val="both"/>
        <w:rPr>
          <w:rFonts w:hint="default" w:ascii="Times New Roman" w:hAnsi="Times New Roman"/>
          <w:color w:val="auto"/>
          <w:szCs w:val="28"/>
        </w:rPr>
      </w:pPr>
    </w:p>
    <w:p>
      <w:pPr>
        <w:pStyle w:val="30"/>
        <w:jc w:val="both"/>
        <w:rPr>
          <w:rFonts w:hint="default" w:ascii="Times New Roman" w:hAnsi="Times New Roman"/>
          <w:color w:val="auto"/>
          <w:szCs w:val="28"/>
        </w:rPr>
      </w:pPr>
    </w:p>
    <w:p>
      <w:pPr>
        <w:pStyle w:val="30"/>
        <w:jc w:val="both"/>
        <w:rPr>
          <w:rFonts w:hint="default" w:ascii="Times New Roman" w:hAnsi="Times New Roman"/>
          <w:color w:val="auto"/>
          <w:szCs w:val="28"/>
        </w:rPr>
      </w:pPr>
    </w:p>
    <w:p>
      <w:pPr>
        <w:pStyle w:val="30"/>
        <w:jc w:val="both"/>
        <w:rPr>
          <w:rFonts w:hint="default" w:ascii="Times New Roman" w:hAnsi="Times New Roman"/>
          <w:color w:val="auto"/>
          <w:szCs w:val="28"/>
        </w:rPr>
      </w:pPr>
    </w:p>
    <w:p>
      <w:pPr>
        <w:pStyle w:val="30"/>
        <w:jc w:val="both"/>
        <w:rPr>
          <w:rFonts w:hint="default" w:ascii="Times New Roman" w:hAnsi="Times New Roman"/>
          <w:color w:val="auto"/>
          <w:szCs w:val="28"/>
        </w:rPr>
      </w:pPr>
    </w:p>
    <w:p>
      <w:pPr>
        <w:rPr>
          <w:rFonts w:ascii="Times New Roman" w:hAnsi="Times New Roman" w:cs="Times New Roman"/>
          <w:sz w:val="24"/>
          <w:szCs w:val="28"/>
        </w:rPr>
      </w:pPr>
    </w:p>
    <w:p>
      <w:pPr>
        <w:pStyle w:val="4"/>
        <w:numPr>
          <w:ilvl w:val="0"/>
          <w:numId w:val="0"/>
        </w:numPr>
        <w:spacing w:before="240" w:after="240"/>
        <w:rPr>
          <w:rFonts w:ascii="Times New Roman" w:hAnsi="Times New Roman" w:eastAsia="宋体" w:cs="Times New Roman"/>
        </w:rPr>
      </w:pPr>
      <w:bookmarkStart w:id="47" w:name="_Toc12694_WPSOffice_Level1"/>
      <w:r>
        <w:rPr>
          <w:rFonts w:hint="eastAsia" w:ascii="Times New Roman" w:hAnsi="Times New Roman" w:eastAsia="宋体" w:cs="Times New Roman"/>
        </w:rPr>
        <w:t xml:space="preserve">第二章 </w:t>
      </w:r>
      <w:r>
        <w:rPr>
          <w:rFonts w:ascii="Times New Roman" w:hAnsi="Times New Roman" w:eastAsia="宋体" w:cs="Times New Roman"/>
        </w:rPr>
        <w:t>供应商须知</w:t>
      </w:r>
      <w:bookmarkEnd w:id="47"/>
    </w:p>
    <w:p/>
    <w:p>
      <w:pPr>
        <w:rPr>
          <w:rFonts w:ascii="Times New Roman" w:hAnsi="Times New Roman" w:eastAsia="宋体" w:cs="Times New Roman"/>
        </w:rPr>
      </w:pPr>
    </w:p>
    <w:p>
      <w:pPr>
        <w:pStyle w:val="2"/>
        <w:rPr>
          <w:rFonts w:ascii="Times New Roman" w:hAnsi="Times New Roman" w:eastAsia="宋体" w:cs="Times New Roman"/>
        </w:rPr>
      </w:pPr>
    </w:p>
    <w:p>
      <w:pPr>
        <w:pStyle w:val="3"/>
        <w:outlineLvl w:val="9"/>
        <w:rPr>
          <w:rFonts w:ascii="Times New Roman" w:hAnsi="Times New Roman" w:eastAsia="宋体" w:cs="Times New Roman"/>
        </w:rPr>
      </w:pPr>
    </w:p>
    <w:p/>
    <w:p>
      <w:pPr>
        <w:pStyle w:val="3"/>
        <w:outlineLvl w:val="9"/>
        <w:rPr>
          <w:rFonts w:ascii="Times New Roman" w:hAnsi="Times New Roman" w:eastAsia="宋体" w:cs="Times New Roman"/>
        </w:rPr>
      </w:pPr>
    </w:p>
    <w:p>
      <w:pPr>
        <w:rPr>
          <w:rFonts w:ascii="Times New Roman" w:hAnsi="Times New Roman" w:eastAsia="宋体" w:cs="Times New Roman"/>
        </w:rPr>
      </w:pPr>
    </w:p>
    <w:p>
      <w:pPr>
        <w:pStyle w:val="2"/>
      </w:pPr>
    </w:p>
    <w:p>
      <w:pPr>
        <w:rPr>
          <w:rFonts w:ascii="Times New Roman" w:hAnsi="Times New Roman" w:eastAsia="宋体" w:cs="Times New Roman"/>
        </w:rPr>
      </w:pPr>
    </w:p>
    <w:p>
      <w:pPr>
        <w:widowControl/>
        <w:jc w:val="left"/>
      </w:pPr>
      <w:r>
        <w:br w:type="page"/>
      </w:r>
    </w:p>
    <w:p>
      <w:pPr>
        <w:keepNext/>
        <w:keepLines/>
        <w:spacing w:before="120" w:beforeLines="50" w:after="120" w:afterLines="50" w:line="360" w:lineRule="auto"/>
        <w:outlineLvl w:val="1"/>
        <w:rPr>
          <w:rFonts w:ascii="Times New Roman" w:hAnsi="Times New Roman" w:eastAsia="黑体" w:cs="Times New Roman"/>
          <w:bCs/>
          <w:sz w:val="24"/>
          <w:szCs w:val="32"/>
        </w:rPr>
      </w:pPr>
      <w:bookmarkStart w:id="48" w:name="_Toc9067720"/>
      <w:bookmarkStart w:id="49" w:name="_Toc14201207"/>
      <w:bookmarkStart w:id="50" w:name="_Toc26656938"/>
      <w:r>
        <w:rPr>
          <w:rFonts w:ascii="Times New Roman" w:hAnsi="Times New Roman" w:eastAsia="黑体" w:cs="Times New Roman"/>
          <w:bCs/>
          <w:sz w:val="24"/>
          <w:szCs w:val="32"/>
        </w:rPr>
        <w:t>1. 总则</w:t>
      </w:r>
      <w:bookmarkEnd w:id="48"/>
      <w:bookmarkEnd w:id="49"/>
      <w:bookmarkEnd w:id="50"/>
    </w:p>
    <w:p>
      <w:pPr>
        <w:keepNext/>
        <w:keepLines/>
        <w:spacing w:before="120" w:after="120"/>
        <w:outlineLvl w:val="2"/>
        <w:rPr>
          <w:rFonts w:ascii="Times New Roman" w:hAnsi="Times New Roman" w:eastAsia="黑体" w:cs="Times New Roman"/>
          <w:bCs/>
          <w:sz w:val="24"/>
          <w:szCs w:val="32"/>
        </w:rPr>
      </w:pPr>
      <w:bookmarkStart w:id="51" w:name="_Toc26656939"/>
      <w:bookmarkStart w:id="52" w:name="_Toc14201208"/>
      <w:r>
        <w:rPr>
          <w:rFonts w:ascii="Times New Roman" w:hAnsi="Times New Roman" w:eastAsia="黑体" w:cs="Times New Roman"/>
          <w:bCs/>
          <w:sz w:val="24"/>
          <w:szCs w:val="32"/>
        </w:rPr>
        <w:t xml:space="preserve">1.1 </w:t>
      </w:r>
      <w:bookmarkEnd w:id="51"/>
      <w:bookmarkEnd w:id="52"/>
      <w:bookmarkStart w:id="53" w:name="_Toc14201210"/>
      <w:bookmarkStart w:id="54" w:name="_Toc26656941"/>
      <w:r>
        <w:rPr>
          <w:rFonts w:ascii="Times New Roman" w:hAnsi="Times New Roman" w:eastAsia="黑体" w:cs="Times New Roman"/>
          <w:bCs/>
          <w:sz w:val="24"/>
          <w:szCs w:val="32"/>
        </w:rPr>
        <w:t>质量要求和</w:t>
      </w:r>
      <w:bookmarkEnd w:id="53"/>
      <w:bookmarkEnd w:id="54"/>
      <w:r>
        <w:rPr>
          <w:rFonts w:hint="eastAsia" w:ascii="Times New Roman" w:hAnsi="Times New Roman" w:eastAsia="黑体" w:cs="Times New Roman"/>
          <w:bCs/>
          <w:sz w:val="24"/>
          <w:szCs w:val="32"/>
        </w:rPr>
        <w:t>成果要求</w:t>
      </w:r>
    </w:p>
    <w:p>
      <w:pPr>
        <w:spacing w:line="440" w:lineRule="exact"/>
        <w:ind w:firstLine="420"/>
        <w:rPr>
          <w:rFonts w:ascii="Times New Roman" w:hAnsi="Times New Roman" w:cs="Times New Roman"/>
          <w:szCs w:val="21"/>
        </w:rPr>
      </w:pPr>
      <w:r>
        <w:rPr>
          <w:rFonts w:ascii="Times New Roman" w:hAnsi="Times New Roman" w:cs="Times New Roman"/>
          <w:szCs w:val="21"/>
        </w:rPr>
        <w:t>1.1.1 本合同包的质量要求：</w:t>
      </w:r>
      <w:r>
        <w:rPr>
          <w:rFonts w:ascii="Times New Roman" w:hAnsi="Times New Roman" w:cs="Times New Roman"/>
          <w:color w:val="000000"/>
          <w:szCs w:val="21"/>
          <w:u w:val="single"/>
        </w:rPr>
        <w:t>满足</w:t>
      </w:r>
      <w:r>
        <w:rPr>
          <w:rFonts w:hint="eastAsia" w:ascii="Times New Roman" w:hAnsi="Times New Roman" w:cs="Times New Roman"/>
          <w:color w:val="000000"/>
          <w:szCs w:val="21"/>
          <w:u w:val="single"/>
        </w:rPr>
        <w:t>本次采购范围、内容的要求</w:t>
      </w:r>
      <w:r>
        <w:rPr>
          <w:rFonts w:hint="eastAsia" w:ascii="Times New Roman" w:hAnsi="Times New Roman" w:cs="Times New Roman"/>
          <w:color w:val="000000"/>
          <w:szCs w:val="21"/>
        </w:rPr>
        <w:t>。</w:t>
      </w:r>
    </w:p>
    <w:p>
      <w:pPr>
        <w:spacing w:line="440" w:lineRule="exact"/>
        <w:ind w:firstLine="420"/>
        <w:rPr>
          <w:rFonts w:ascii="Times New Roman" w:hAnsi="Times New Roman" w:cs="Times New Roman"/>
          <w:szCs w:val="21"/>
        </w:rPr>
      </w:pPr>
      <w:bookmarkStart w:id="55" w:name="_Toc26656942"/>
      <w:bookmarkStart w:id="56" w:name="_Toc14201211"/>
      <w:r>
        <w:rPr>
          <w:rFonts w:ascii="Times New Roman" w:hAnsi="Times New Roman" w:cs="Times New Roman"/>
          <w:szCs w:val="21"/>
        </w:rPr>
        <w:t>1.</w:t>
      </w:r>
      <w:r>
        <w:rPr>
          <w:rFonts w:hint="eastAsia" w:ascii="Times New Roman" w:hAnsi="Times New Roman" w:cs="Times New Roman"/>
          <w:szCs w:val="21"/>
        </w:rPr>
        <w:t>1</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w:t>
      </w:r>
      <w:r>
        <w:rPr>
          <w:rFonts w:hint="eastAsia" w:ascii="Times New Roman" w:hAnsi="Times New Roman" w:cs="Times New Roman"/>
          <w:szCs w:val="21"/>
        </w:rPr>
        <w:t>本合同包的安全目标：</w:t>
      </w:r>
      <w:r>
        <w:rPr>
          <w:rFonts w:hint="eastAsia" w:ascii="Times New Roman" w:hAnsi="Times New Roman" w:cs="Times New Roman"/>
          <w:szCs w:val="21"/>
          <w:u w:val="single"/>
        </w:rPr>
        <w:t>安全无事故</w:t>
      </w:r>
      <w:r>
        <w:rPr>
          <w:rFonts w:hint="eastAsia"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bookmarkEnd w:id="55"/>
      <w:bookmarkEnd w:id="56"/>
    </w:p>
    <w:p>
      <w:pPr>
        <w:spacing w:line="440" w:lineRule="exact"/>
        <w:ind w:firstLine="420"/>
        <w:rPr>
          <w:rFonts w:ascii="Times New Roman" w:hAnsi="Times New Roman" w:cs="Times New Roman"/>
          <w:szCs w:val="21"/>
        </w:rPr>
      </w:pPr>
      <w:r>
        <w:rPr>
          <w:rFonts w:ascii="Times New Roman" w:hAnsi="Times New Roman" w:cs="Times New Roman"/>
          <w:szCs w:val="21"/>
        </w:rPr>
        <w:t>供应商应具备承担本合同包</w:t>
      </w:r>
      <w:r>
        <w:rPr>
          <w:rFonts w:hint="eastAsia" w:ascii="Times New Roman" w:hAnsi="Times New Roman" w:cs="Times New Roman"/>
          <w:szCs w:val="21"/>
        </w:rPr>
        <w:t>服务</w:t>
      </w:r>
      <w:r>
        <w:rPr>
          <w:rFonts w:ascii="Times New Roman" w:hAnsi="Times New Roman" w:cs="Times New Roman"/>
          <w:szCs w:val="21"/>
        </w:rPr>
        <w:t>的资质条件、能力和信誉：见第一章</w:t>
      </w:r>
      <w:r>
        <w:rPr>
          <w:rFonts w:hint="eastAsia" w:ascii="Times New Roman" w:hAnsi="Times New Roman" w:cs="Times New Roman"/>
          <w:szCs w:val="21"/>
        </w:rPr>
        <w:t>采购公告第3.1款要求</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bookmarkStart w:id="57" w:name="_Toc14201212"/>
      <w:bookmarkStart w:id="58" w:name="_Toc26656943"/>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bookmarkEnd w:id="57"/>
      <w:bookmarkEnd w:id="58"/>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bookmarkStart w:id="59" w:name="_Toc14201213"/>
      <w:bookmarkStart w:id="60" w:name="_Toc26656944"/>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bookmarkEnd w:id="59"/>
      <w:bookmarkEnd w:id="60"/>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bookmarkStart w:id="61" w:name="_Toc14201215"/>
      <w:bookmarkStart w:id="62" w:name="_Toc26656946"/>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bookmarkEnd w:id="61"/>
      <w:bookmarkEnd w:id="62"/>
    </w:p>
    <w:p>
      <w:pPr>
        <w:spacing w:line="440" w:lineRule="exact"/>
        <w:ind w:firstLine="420"/>
        <w:rPr>
          <w:rFonts w:ascii="Times New Roman" w:hAnsi="Times New Roman" w:cs="Times New Roman"/>
        </w:rPr>
      </w:pPr>
      <w:r>
        <w:rPr>
          <w:rFonts w:ascii="Times New Roman" w:hAnsi="Times New Roman" w:cs="Times New Roman"/>
        </w:rPr>
        <w:t>均采用中华人民共和国法定计量单位。</w:t>
      </w:r>
    </w:p>
    <w:p>
      <w:pPr>
        <w:keepNext/>
        <w:keepLines/>
        <w:spacing w:before="120" w:after="120"/>
        <w:outlineLvl w:val="2"/>
        <w:rPr>
          <w:rFonts w:ascii="Times New Roman" w:hAnsi="Times New Roman" w:eastAsia="黑体" w:cs="Times New Roman"/>
          <w:bCs/>
          <w:sz w:val="24"/>
          <w:szCs w:val="32"/>
        </w:rPr>
      </w:pPr>
      <w:bookmarkStart w:id="63" w:name="_Toc26656947"/>
      <w:bookmarkStart w:id="64" w:name="_Toc14201216"/>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bookmarkEnd w:id="63"/>
      <w:bookmarkEnd w:id="64"/>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bookmarkStart w:id="65" w:name="_Toc14201218"/>
      <w:bookmarkStart w:id="66" w:name="_Toc26656949"/>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bookmarkEnd w:id="65"/>
      <w:bookmarkEnd w:id="66"/>
    </w:p>
    <w:p>
      <w:pPr>
        <w:spacing w:line="440" w:lineRule="exact"/>
        <w:ind w:firstLine="420"/>
        <w:rPr>
          <w:rFonts w:ascii="Times New Roman" w:hAnsi="Times New Roman" w:cs="Times New Roman"/>
        </w:rPr>
      </w:pPr>
      <w:r>
        <w:rPr>
          <w:rFonts w:hint="eastAsia" w:ascii="Times New Roman" w:hAnsi="Times New Roman" w:cs="Times New Roman"/>
        </w:rPr>
        <w:t xml:space="preserve">不允许分包。 </w:t>
      </w:r>
    </w:p>
    <w:p>
      <w:pPr>
        <w:keepNext/>
        <w:keepLines/>
        <w:spacing w:before="120" w:after="120"/>
        <w:outlineLvl w:val="2"/>
        <w:rPr>
          <w:rFonts w:ascii="Times New Roman" w:hAnsi="Times New Roman" w:eastAsia="黑体" w:cs="Times New Roman"/>
          <w:bCs/>
          <w:sz w:val="24"/>
          <w:szCs w:val="32"/>
        </w:rPr>
      </w:pPr>
      <w:bookmarkStart w:id="67" w:name="_Toc14201219"/>
      <w:bookmarkStart w:id="68" w:name="_Toc26656950"/>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bookmarkEnd w:id="67"/>
      <w:bookmarkEnd w:id="68"/>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20" w:beforeLines="50" w:after="120" w:afterLines="50"/>
        <w:outlineLvl w:val="1"/>
        <w:rPr>
          <w:rFonts w:ascii="Times New Roman" w:hAnsi="Times New Roman" w:eastAsia="黑体" w:cs="Times New Roman"/>
          <w:bCs/>
          <w:sz w:val="24"/>
          <w:szCs w:val="32"/>
        </w:rPr>
      </w:pPr>
      <w:bookmarkStart w:id="69" w:name="_Toc26656951"/>
      <w:bookmarkStart w:id="70" w:name="_Toc14201220"/>
      <w:bookmarkStart w:id="71" w:name="_Toc9067721"/>
      <w:r>
        <w:rPr>
          <w:rFonts w:ascii="Times New Roman" w:hAnsi="Times New Roman" w:eastAsia="黑体" w:cs="Times New Roman"/>
          <w:bCs/>
          <w:sz w:val="24"/>
          <w:szCs w:val="32"/>
        </w:rPr>
        <w:t xml:space="preserve">2. </w:t>
      </w:r>
      <w:bookmarkEnd w:id="69"/>
      <w:bookmarkEnd w:id="70"/>
      <w:bookmarkEnd w:id="71"/>
      <w:r>
        <w:rPr>
          <w:rFonts w:ascii="Times New Roman" w:hAnsi="Times New Roman" w:eastAsia="黑体" w:cs="Times New Roman"/>
          <w:bCs/>
          <w:sz w:val="24"/>
          <w:szCs w:val="32"/>
        </w:rPr>
        <w:t>询比文件</w:t>
      </w:r>
    </w:p>
    <w:p>
      <w:pPr>
        <w:keepNext/>
        <w:keepLines/>
        <w:spacing w:before="120" w:after="120"/>
        <w:outlineLvl w:val="2"/>
        <w:rPr>
          <w:rFonts w:ascii="Times New Roman" w:hAnsi="Times New Roman" w:eastAsia="黑体" w:cs="Times New Roman"/>
          <w:bCs/>
          <w:sz w:val="24"/>
          <w:szCs w:val="32"/>
        </w:rPr>
      </w:pPr>
      <w:bookmarkStart w:id="72" w:name="_Toc26656952"/>
      <w:bookmarkStart w:id="73" w:name="_Toc14201221"/>
      <w:r>
        <w:rPr>
          <w:rFonts w:ascii="Times New Roman" w:hAnsi="Times New Roman" w:eastAsia="黑体" w:cs="Times New Roman"/>
          <w:bCs/>
          <w:sz w:val="24"/>
          <w:szCs w:val="32"/>
        </w:rPr>
        <w:t>2.1 询比文件的组成</w:t>
      </w:r>
      <w:bookmarkEnd w:id="72"/>
      <w:bookmarkEnd w:id="73"/>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bookmarkStart w:id="74" w:name="_Toc14201222"/>
      <w:bookmarkStart w:id="75" w:name="_Toc26656953"/>
      <w:r>
        <w:rPr>
          <w:rFonts w:ascii="Times New Roman" w:hAnsi="Times New Roman" w:eastAsia="黑体" w:cs="Times New Roman"/>
          <w:bCs/>
          <w:sz w:val="24"/>
          <w:szCs w:val="32"/>
        </w:rPr>
        <w:t>2.2 询比文件的澄清</w:t>
      </w:r>
      <w:bookmarkEnd w:id="74"/>
      <w:bookmarkEnd w:id="75"/>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通过书面形式</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 xml:space="preserve"> 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20" w:beforeLines="50" w:after="120" w:afterLines="50"/>
        <w:outlineLvl w:val="1"/>
        <w:rPr>
          <w:rFonts w:ascii="Times New Roman" w:hAnsi="Times New Roman" w:eastAsia="黑体" w:cs="Times New Roman"/>
          <w:bCs/>
          <w:sz w:val="24"/>
          <w:szCs w:val="32"/>
        </w:rPr>
      </w:pPr>
      <w:bookmarkStart w:id="76" w:name="_Toc26656956"/>
      <w:bookmarkStart w:id="77" w:name="_Toc9067722"/>
      <w:bookmarkStart w:id="78" w:name="_Toc14201225"/>
      <w:r>
        <w:rPr>
          <w:rFonts w:ascii="Times New Roman" w:hAnsi="Times New Roman" w:eastAsia="黑体" w:cs="Times New Roman"/>
          <w:bCs/>
          <w:sz w:val="24"/>
          <w:szCs w:val="32"/>
        </w:rPr>
        <w:t xml:space="preserve">3. </w:t>
      </w:r>
      <w:bookmarkEnd w:id="76"/>
      <w:bookmarkEnd w:id="77"/>
      <w:bookmarkEnd w:id="78"/>
      <w:r>
        <w:rPr>
          <w:rFonts w:ascii="Times New Roman" w:hAnsi="Times New Roman" w:eastAsia="黑体" w:cs="Times New Roman"/>
          <w:bCs/>
          <w:sz w:val="24"/>
          <w:szCs w:val="32"/>
        </w:rPr>
        <w:t>响应文件</w:t>
      </w:r>
    </w:p>
    <w:p>
      <w:pPr>
        <w:keepNext/>
        <w:keepLines/>
        <w:spacing w:before="120" w:after="120"/>
        <w:outlineLvl w:val="2"/>
        <w:rPr>
          <w:rFonts w:ascii="Times New Roman" w:hAnsi="Times New Roman" w:eastAsia="黑体" w:cs="Times New Roman"/>
          <w:bCs/>
          <w:sz w:val="24"/>
          <w:szCs w:val="32"/>
        </w:rPr>
      </w:pPr>
      <w:bookmarkStart w:id="79" w:name="_Toc26656957"/>
      <w:bookmarkStart w:id="80" w:name="_Toc14201226"/>
      <w:r>
        <w:rPr>
          <w:rFonts w:ascii="Times New Roman" w:hAnsi="Times New Roman" w:eastAsia="黑体" w:cs="Times New Roman"/>
          <w:bCs/>
          <w:sz w:val="24"/>
          <w:szCs w:val="32"/>
        </w:rPr>
        <w:t>3.1响应文件的组成</w:t>
      </w:r>
      <w:bookmarkEnd w:id="79"/>
      <w:bookmarkEnd w:id="80"/>
    </w:p>
    <w:p>
      <w:pPr>
        <w:spacing w:line="440" w:lineRule="exact"/>
        <w:ind w:firstLine="420"/>
        <w:rPr>
          <w:rFonts w:ascii="Times New Roman" w:hAnsi="Times New Roman" w:cs="Times New Roman"/>
        </w:rPr>
      </w:pPr>
      <w:r>
        <w:rPr>
          <w:rFonts w:ascii="Times New Roman" w:hAnsi="Times New Roman" w:cs="Times New Roman"/>
        </w:rPr>
        <w:t>响应文件应包括下列内容：</w:t>
      </w:r>
    </w:p>
    <w:p>
      <w:pPr>
        <w:spacing w:line="440" w:lineRule="exact"/>
        <w:ind w:firstLine="420"/>
        <w:rPr>
          <w:rFonts w:ascii="Times New Roman" w:hAnsi="Times New Roman" w:cs="Times New Roman"/>
        </w:rPr>
      </w:pPr>
      <w:r>
        <w:rPr>
          <w:rFonts w:hint="eastAsia" w:ascii="Times New Roman" w:hAnsi="Times New Roman" w:cs="Times New Roman"/>
        </w:rPr>
        <w:t>（1）报价函；</w:t>
      </w:r>
    </w:p>
    <w:p>
      <w:pPr>
        <w:spacing w:line="440" w:lineRule="exact"/>
        <w:ind w:firstLine="420"/>
        <w:rPr>
          <w:rFonts w:ascii="Times New Roman" w:hAnsi="Times New Roman" w:cs="Times New Roman"/>
        </w:rPr>
      </w:pPr>
      <w:r>
        <w:rPr>
          <w:rFonts w:hint="eastAsia" w:ascii="Times New Roman" w:hAnsi="Times New Roman" w:cs="Times New Roman"/>
        </w:rPr>
        <w:t>（2）法定代表人身份证明及授权委托书；</w:t>
      </w:r>
    </w:p>
    <w:p>
      <w:pPr>
        <w:spacing w:line="440" w:lineRule="exact"/>
        <w:ind w:firstLine="420"/>
        <w:rPr>
          <w:rFonts w:ascii="Times New Roman" w:hAnsi="Times New Roman" w:cs="Times New Roman"/>
        </w:rPr>
      </w:pPr>
      <w:r>
        <w:rPr>
          <w:rFonts w:hint="eastAsia" w:ascii="Times New Roman" w:hAnsi="Times New Roman" w:cs="Times New Roman"/>
        </w:rPr>
        <w:t>（3）报价清单；</w:t>
      </w:r>
    </w:p>
    <w:p>
      <w:pPr>
        <w:spacing w:line="440" w:lineRule="exact"/>
        <w:ind w:firstLine="420"/>
        <w:rPr>
          <w:rFonts w:ascii="Times New Roman" w:hAnsi="Times New Roman" w:cs="Times New Roman"/>
        </w:rPr>
      </w:pPr>
      <w:r>
        <w:rPr>
          <w:rFonts w:hint="eastAsia" w:ascii="Times New Roman" w:hAnsi="Times New Roman" w:cs="Times New Roman"/>
        </w:rPr>
        <w:t>（4）供应商基本情况；</w:t>
      </w:r>
    </w:p>
    <w:p>
      <w:pPr>
        <w:spacing w:line="440" w:lineRule="exact"/>
        <w:ind w:firstLine="420"/>
        <w:rPr>
          <w:rFonts w:ascii="Times New Roman" w:hAnsi="Times New Roman" w:cs="Times New Roman"/>
        </w:rPr>
      </w:pPr>
      <w:r>
        <w:rPr>
          <w:rFonts w:hint="eastAsia" w:ascii="Times New Roman" w:hAnsi="Times New Roman" w:cs="Times New Roman"/>
        </w:rPr>
        <w:t>（5）近三年类似业绩情况；</w:t>
      </w:r>
    </w:p>
    <w:p>
      <w:pPr>
        <w:spacing w:line="440" w:lineRule="exact"/>
        <w:ind w:firstLine="42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6</w:t>
      </w:r>
      <w:r>
        <w:rPr>
          <w:rFonts w:hint="eastAsia" w:ascii="Times New Roman" w:hAnsi="Times New Roman" w:cs="Times New Roman"/>
        </w:rPr>
        <w:t>）信誉情况；</w:t>
      </w:r>
    </w:p>
    <w:p>
      <w:pPr>
        <w:spacing w:line="440" w:lineRule="exact"/>
        <w:ind w:firstLine="42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7</w:t>
      </w:r>
      <w:r>
        <w:rPr>
          <w:rFonts w:hint="eastAsia" w:ascii="Times New Roman" w:hAnsi="Times New Roman" w:cs="Times New Roman"/>
        </w:rPr>
        <w:t>）其他材料。</w:t>
      </w:r>
    </w:p>
    <w:p>
      <w:pPr>
        <w:keepNext/>
        <w:keepLines/>
        <w:spacing w:before="120" w:after="120"/>
        <w:outlineLvl w:val="2"/>
        <w:rPr>
          <w:rFonts w:ascii="Times New Roman" w:hAnsi="Times New Roman" w:eastAsia="黑体" w:cs="Times New Roman"/>
          <w:bCs/>
          <w:sz w:val="24"/>
          <w:szCs w:val="32"/>
        </w:rPr>
      </w:pPr>
      <w:bookmarkStart w:id="81" w:name="_Toc26656958"/>
      <w:bookmarkStart w:id="82" w:name="_Toc14201227"/>
      <w:r>
        <w:rPr>
          <w:rFonts w:ascii="Times New Roman" w:hAnsi="Times New Roman" w:eastAsia="黑体" w:cs="Times New Roman"/>
          <w:bCs/>
          <w:sz w:val="24"/>
          <w:szCs w:val="32"/>
        </w:rPr>
        <w:t>3.2 报价</w:t>
      </w:r>
      <w:bookmarkEnd w:id="81"/>
      <w:bookmarkEnd w:id="82"/>
      <w:r>
        <w:rPr>
          <w:rFonts w:ascii="Times New Roman" w:hAnsi="Times New Roman" w:eastAsia="黑体" w:cs="Times New Roman"/>
          <w:bCs/>
          <w:sz w:val="24"/>
          <w:szCs w:val="32"/>
        </w:rPr>
        <w:t>要求</w:t>
      </w:r>
    </w:p>
    <w:p>
      <w:pPr>
        <w:spacing w:line="440" w:lineRule="exact"/>
        <w:ind w:firstLine="420"/>
        <w:rPr>
          <w:rFonts w:ascii="Times New Roman" w:hAnsi="Times New Roman" w:cs="Times New Roman"/>
        </w:rPr>
      </w:pPr>
      <w:r>
        <w:rPr>
          <w:rFonts w:hint="eastAsia" w:ascii="Times New Roman" w:hAnsi="Times New Roman" w:cs="Times New Roman"/>
        </w:rPr>
        <w:t>3.2.1 报价应包括国家规定的增值税税金，供应商应提供符合采购人财务要求的增值税专用发票。</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 xml:space="preserve"> 总价 </w:t>
      </w:r>
      <w:r>
        <w:rPr>
          <w:rFonts w:ascii="Times New Roman" w:hAnsi="Times New Roman" w:cs="Times New Roman"/>
        </w:rPr>
        <w:t>。</w:t>
      </w:r>
    </w:p>
    <w:p>
      <w:pPr>
        <w:spacing w:line="440" w:lineRule="exact"/>
        <w:ind w:firstLine="420"/>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r>
        <w:rPr>
          <w:rFonts w:ascii="Times New Roman" w:hAnsi="Times New Roman" w:cs="Times New Roman"/>
          <w:u w:val="single"/>
        </w:rPr>
        <w:t>本次报价</w:t>
      </w:r>
      <w:r>
        <w:rPr>
          <w:rFonts w:hint="eastAsia" w:ascii="Times New Roman" w:hAnsi="Times New Roman" w:cs="Times New Roman"/>
          <w:u w:val="single"/>
        </w:rPr>
        <w:t>不得超过最高限价。</w:t>
      </w:r>
    </w:p>
    <w:p>
      <w:pPr>
        <w:keepNext/>
        <w:keepLines/>
        <w:spacing w:before="120" w:after="120"/>
        <w:outlineLvl w:val="2"/>
        <w:rPr>
          <w:rFonts w:ascii="Times New Roman" w:hAnsi="Times New Roman" w:eastAsia="黑体" w:cs="Times New Roman"/>
          <w:bCs/>
          <w:sz w:val="24"/>
          <w:szCs w:val="32"/>
        </w:rPr>
      </w:pPr>
      <w:bookmarkStart w:id="83" w:name="_Toc26656959"/>
      <w:bookmarkStart w:id="84" w:name="_Toc14201228"/>
      <w:r>
        <w:rPr>
          <w:rFonts w:ascii="Times New Roman" w:hAnsi="Times New Roman" w:eastAsia="黑体" w:cs="Times New Roman"/>
          <w:bCs/>
          <w:sz w:val="24"/>
          <w:szCs w:val="32"/>
        </w:rPr>
        <w:t>3.3</w:t>
      </w:r>
      <w:bookmarkEnd w:id="83"/>
      <w:bookmarkEnd w:id="84"/>
      <w:r>
        <w:rPr>
          <w:rFonts w:ascii="Times New Roman" w:hAnsi="Times New Roman" w:eastAsia="黑体" w:cs="Times New Roman"/>
          <w:bCs/>
          <w:sz w:val="24"/>
          <w:szCs w:val="32"/>
        </w:rPr>
        <w:t>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outlineLvl w:val="2"/>
        <w:rPr>
          <w:rFonts w:ascii="Times New Roman" w:hAnsi="Times New Roman" w:eastAsia="黑体" w:cs="Times New Roman"/>
          <w:bCs/>
          <w:sz w:val="24"/>
          <w:szCs w:val="32"/>
        </w:rPr>
      </w:pPr>
      <w:bookmarkStart w:id="85" w:name="_Toc26656960"/>
      <w:bookmarkStart w:id="86" w:name="_Toc14201229"/>
      <w:r>
        <w:rPr>
          <w:rFonts w:ascii="Times New Roman" w:hAnsi="Times New Roman" w:eastAsia="黑体" w:cs="Times New Roman"/>
          <w:bCs/>
          <w:sz w:val="24"/>
          <w:szCs w:val="32"/>
        </w:rPr>
        <w:t>3.4</w:t>
      </w:r>
      <w:bookmarkEnd w:id="85"/>
      <w:bookmarkEnd w:id="86"/>
      <w:r>
        <w:rPr>
          <w:rFonts w:ascii="Times New Roman" w:hAnsi="Times New Roman" w:eastAsia="黑体" w:cs="Times New Roman"/>
          <w:bCs/>
          <w:sz w:val="24"/>
          <w:szCs w:val="32"/>
        </w:rPr>
        <w:t>响应保证金</w:t>
      </w:r>
    </w:p>
    <w:p>
      <w:pPr>
        <w:spacing w:line="440" w:lineRule="exact"/>
        <w:ind w:firstLine="420"/>
        <w:rPr>
          <w:rFonts w:ascii="Times New Roman" w:hAnsi="Times New Roman" w:cs="Times New Roman"/>
        </w:rPr>
      </w:pPr>
      <w:r>
        <w:rPr>
          <w:rFonts w:hint="eastAsia" w:ascii="Times New Roman" w:hAnsi="Times New Roman" w:cs="Times New Roman"/>
        </w:rPr>
        <w:t xml:space="preserve"> 供应商在递</w:t>
      </w:r>
      <w:r>
        <w:rPr>
          <w:rFonts w:ascii="Times New Roman" w:hAnsi="Times New Roman" w:cs="Times New Roman"/>
        </w:rPr>
        <w:t>交响应文件的同时，应按</w:t>
      </w:r>
      <w:r>
        <w:rPr>
          <w:rFonts w:hint="eastAsia" w:ascii="Times New Roman" w:hAnsi="Times New Roman" w:cs="Times New Roman"/>
        </w:rPr>
        <w:t>第一章</w:t>
      </w:r>
      <w:r>
        <w:rPr>
          <w:rFonts w:ascii="Times New Roman" w:hAnsi="Times New Roman" w:cs="Times New Roman"/>
        </w:rPr>
        <w:t>“</w:t>
      </w:r>
      <w:r>
        <w:rPr>
          <w:rFonts w:hint="eastAsia" w:ascii="Times New Roman" w:hAnsi="Times New Roman" w:cs="Times New Roman"/>
        </w:rPr>
        <w:t>采购公告</w:t>
      </w:r>
      <w:r>
        <w:rPr>
          <w:rFonts w:ascii="Times New Roman" w:hAnsi="Times New Roman" w:cs="Times New Roman"/>
        </w:rPr>
        <w:t>”</w:t>
      </w:r>
      <w:r>
        <w:rPr>
          <w:rFonts w:hint="eastAsia" w:ascii="Times New Roman" w:hAnsi="Times New Roman" w:cs="Times New Roman"/>
        </w:rPr>
        <w:t>第7条的要求</w:t>
      </w:r>
      <w:r>
        <w:rPr>
          <w:rFonts w:ascii="Times New Roman" w:hAnsi="Times New Roman" w:cs="Times New Roman"/>
        </w:rPr>
        <w:t>递交响应保证金，并作为其响应文件的组成部分。</w:t>
      </w:r>
    </w:p>
    <w:p>
      <w:pPr>
        <w:spacing w:line="440" w:lineRule="exact"/>
        <w:ind w:firstLine="420"/>
        <w:rPr>
          <w:rFonts w:ascii="Times New Roman" w:hAnsi="Times New Roman" w:cs="Times New Roman"/>
        </w:rPr>
      </w:pPr>
      <w:r>
        <w:rPr>
          <w:rFonts w:ascii="Times New Roman" w:hAnsi="Times New Roman" w:cs="Times New Roman"/>
        </w:rPr>
        <w:t>无论采取何种形式的响应保证金，响应保证金有效期均应与响应有效期一致。</w:t>
      </w:r>
    </w:p>
    <w:p>
      <w:pPr>
        <w:spacing w:line="440" w:lineRule="exact"/>
        <w:ind w:firstLine="420"/>
        <w:rPr>
          <w:rFonts w:ascii="Times New Roman" w:hAnsi="Times New Roman" w:cs="Times New Roman"/>
        </w:rPr>
      </w:pPr>
      <w:r>
        <w:rPr>
          <w:rFonts w:ascii="Times New Roman" w:hAnsi="Times New Roman" w:cs="Times New Roman"/>
        </w:rPr>
        <w:t>3.4.2 供应商不按本章第3.4.1项要求提交响应保证金的，</w:t>
      </w:r>
      <w:r>
        <w:rPr>
          <w:rFonts w:hint="eastAsia" w:ascii="Times New Roman" w:hAnsi="Times New Roman" w:cs="Times New Roman"/>
        </w:rPr>
        <w:t>评审小组</w:t>
      </w:r>
      <w:r>
        <w:rPr>
          <w:rFonts w:ascii="Times New Roman" w:hAnsi="Times New Roman" w:cs="Times New Roman"/>
        </w:rPr>
        <w:t>将否决其</w:t>
      </w:r>
      <w:r>
        <w:rPr>
          <w:rFonts w:hint="eastAsia" w:ascii="Times New Roman" w:hAnsi="Times New Roman" w:cs="Times New Roman"/>
        </w:rPr>
        <w:t>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3.4.3 采购人在与成交人签订合同后</w:t>
      </w:r>
      <w:r>
        <w:rPr>
          <w:rFonts w:hint="eastAsia" w:ascii="Times New Roman" w:hAnsi="Times New Roman" w:cs="Times New Roman"/>
        </w:rPr>
        <w:t>7</w:t>
      </w:r>
      <w:r>
        <w:rPr>
          <w:rFonts w:ascii="Times New Roman" w:hAnsi="Times New Roman" w:cs="Times New Roman"/>
        </w:rPr>
        <w:t>日内办理退还响应保证金手续。</w:t>
      </w:r>
    </w:p>
    <w:p>
      <w:pPr>
        <w:spacing w:line="440" w:lineRule="exact"/>
        <w:ind w:firstLine="420"/>
        <w:rPr>
          <w:rFonts w:ascii="Times New Roman" w:hAnsi="Times New Roman" w:cs="Times New Roman"/>
        </w:rPr>
      </w:pPr>
      <w:r>
        <w:rPr>
          <w:rFonts w:ascii="Times New Roman" w:hAnsi="Times New Roman" w:cs="Times New Roman"/>
        </w:rPr>
        <w:t>3.4.4 有下列情形之一的，响应保证金将不予退还：</w:t>
      </w:r>
    </w:p>
    <w:p>
      <w:pPr>
        <w:spacing w:line="440" w:lineRule="exact"/>
        <w:ind w:firstLine="420"/>
        <w:rPr>
          <w:rFonts w:ascii="Times New Roman" w:hAnsi="Times New Roman" w:cs="Times New Roman"/>
        </w:rPr>
      </w:pPr>
      <w:r>
        <w:rPr>
          <w:rFonts w:ascii="Times New Roman" w:hAnsi="Times New Roman" w:cs="Times New Roman"/>
        </w:rPr>
        <w:t>（1）供应商在规定的响应有效期内撤销其响应文件；</w:t>
      </w:r>
    </w:p>
    <w:p>
      <w:pPr>
        <w:spacing w:line="440" w:lineRule="exact"/>
        <w:ind w:firstLine="420"/>
        <w:rPr>
          <w:rFonts w:ascii="Times New Roman" w:hAnsi="Times New Roman" w:cs="Times New Roman"/>
        </w:rPr>
      </w:pPr>
      <w:r>
        <w:rPr>
          <w:rFonts w:ascii="Times New Roman" w:hAnsi="Times New Roman"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87" w:name="_Toc26656961"/>
      <w:bookmarkStart w:id="88" w:name="_Toc14201230"/>
      <w:r>
        <w:rPr>
          <w:rFonts w:ascii="Times New Roman" w:hAnsi="Times New Roman" w:eastAsia="黑体" w:cs="Times New Roman"/>
          <w:bCs/>
          <w:sz w:val="24"/>
          <w:szCs w:val="32"/>
        </w:rPr>
        <w:t>3.5资格审查资料</w:t>
      </w:r>
      <w:bookmarkEnd w:id="87"/>
      <w:bookmarkEnd w:id="88"/>
    </w:p>
    <w:p>
      <w:pPr>
        <w:spacing w:line="440" w:lineRule="exact"/>
        <w:ind w:firstLine="420"/>
        <w:rPr>
          <w:rFonts w:ascii="Times New Roman" w:hAnsi="Times New Roman" w:cs="Times New Roman"/>
        </w:rPr>
      </w:pPr>
      <w:r>
        <w:rPr>
          <w:rFonts w:ascii="Times New Roman" w:hAnsi="Times New Roman" w:cs="Times New Roman"/>
        </w:rPr>
        <w:t>供应商应按第六章“响应文件格式”</w:t>
      </w:r>
      <w:r>
        <w:rPr>
          <w:rFonts w:hint="eastAsia" w:ascii="Times New Roman" w:hAnsi="Times New Roman" w:cs="Times New Roman"/>
        </w:rPr>
        <w:t>的</w:t>
      </w:r>
      <w:r>
        <w:rPr>
          <w:rFonts w:ascii="Times New Roman" w:hAnsi="Times New Roman" w:cs="Times New Roman"/>
        </w:rPr>
        <w:t>规定提供资格审查资料，以证明其满足本章第1.</w:t>
      </w:r>
      <w:r>
        <w:rPr>
          <w:rFonts w:hint="eastAsia" w:ascii="Times New Roman" w:hAnsi="Times New Roman" w:cs="Times New Roman"/>
        </w:rPr>
        <w:t>2</w:t>
      </w:r>
      <w:r>
        <w:rPr>
          <w:rFonts w:ascii="Times New Roman" w:hAnsi="Times New Roman"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89" w:name="_Toc14201232"/>
      <w:bookmarkStart w:id="90" w:name="_Toc26656963"/>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89"/>
      <w:bookmarkEnd w:id="90"/>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.1响应文件应按第六章“响应文件格式”进行编写，如有必要，可以增加附页，作为响应文件的组成部分。</w:t>
      </w:r>
    </w:p>
    <w:p>
      <w:pPr>
        <w:spacing w:line="440" w:lineRule="exact"/>
        <w:ind w:firstLine="420"/>
        <w:rPr>
          <w:rFonts w:ascii="Times New Roman" w:hAnsi="Times New Roman" w:cs="Times New Roman"/>
        </w:rPr>
      </w:pPr>
      <w:r>
        <w:rPr>
          <w:rFonts w:ascii="Times New Roman" w:hAnsi="Times New Roman" w:cs="Times New Roman"/>
        </w:rPr>
        <w:t>3.6.2 响应文件应当对询比文件有关服务期、响应有效期、质量要求、安全目标、技术标准和要求、采购范围等实质性内容作出响应。</w:t>
      </w:r>
    </w:p>
    <w:p>
      <w:pPr>
        <w:spacing w:line="440" w:lineRule="exact"/>
        <w:ind w:firstLine="420"/>
        <w:rPr>
          <w:rFonts w:ascii="Times New Roman" w:hAnsi="Times New Roman" w:cs="Times New Roman"/>
        </w:rPr>
      </w:pPr>
      <w:r>
        <w:rPr>
          <w:rFonts w:ascii="Times New Roman" w:hAnsi="Times New Roman" w:cs="Times New Roman"/>
        </w:rPr>
        <w:t>3.6.3响应文件的制作应满足以下规定：</w:t>
      </w:r>
    </w:p>
    <w:p>
      <w:pPr>
        <w:spacing w:line="440" w:lineRule="exact"/>
        <w:ind w:firstLine="420"/>
        <w:rPr>
          <w:rFonts w:ascii="Times New Roman" w:hAnsi="Times New Roman" w:cs="Times New Roman"/>
        </w:rPr>
      </w:pPr>
      <w:r>
        <w:rPr>
          <w:rFonts w:hint="eastAsia" w:ascii="Times New Roman" w:hAnsi="Times New Roman" w:cs="Times New Roman"/>
        </w:rPr>
        <w:t>（1）响应文件应用不褪色的材料书写或打印，并按第六章“响应文件格式”的要求进行签名和（或）盖章。响应文件应尽量避免涂改、行间插字或删除。如果出现上述情况，改动之处应由供应商的法定代表人或其授权的代理人签名或盖单位章。</w:t>
      </w:r>
    </w:p>
    <w:p>
      <w:pPr>
        <w:spacing w:line="440" w:lineRule="exact"/>
        <w:ind w:firstLine="420"/>
        <w:rPr>
          <w:rFonts w:ascii="Times New Roman" w:hAnsi="Times New Roman" w:cs="Times New Roman"/>
        </w:rPr>
      </w:pPr>
      <w:r>
        <w:rPr>
          <w:rFonts w:hint="eastAsia" w:ascii="Times New Roman" w:hAnsi="Times New Roman" w:cs="Times New Roman"/>
        </w:rPr>
        <w:t>（2）响应文件正本</w:t>
      </w:r>
      <w:r>
        <w:rPr>
          <w:rFonts w:hint="eastAsia" w:ascii="Times New Roman" w:hAnsi="Times New Roman" w:cs="Times New Roman"/>
          <w:u w:val="single"/>
        </w:rPr>
        <w:t xml:space="preserve"> 一 </w:t>
      </w:r>
      <w:r>
        <w:rPr>
          <w:rFonts w:hint="eastAsia" w:ascii="Times New Roman" w:hAnsi="Times New Roman" w:cs="Times New Roman"/>
        </w:rPr>
        <w:t>份，副本</w:t>
      </w:r>
      <w:r>
        <w:rPr>
          <w:rFonts w:hint="eastAsia" w:ascii="Times New Roman" w:hAnsi="Times New Roman" w:cs="Times New Roman"/>
          <w:u w:val="single"/>
        </w:rPr>
        <w:t xml:space="preserve"> 一 </w:t>
      </w:r>
      <w:r>
        <w:rPr>
          <w:rFonts w:hint="eastAsia" w:ascii="Times New Roman" w:hAnsi="Times New Roman" w:cs="Times New Roman"/>
        </w:rPr>
        <w:t>份。正本和副本的封面右上角上应清楚地标记“正本”或“副本”的字样。当副本和正本不一致时，以正本文件为准。响应文件的正本与副本应分别装订，统一密封在信封封套中。</w:t>
      </w:r>
    </w:p>
    <w:p>
      <w:pPr>
        <w:spacing w:line="440" w:lineRule="exact"/>
        <w:ind w:firstLine="420"/>
        <w:rPr>
          <w:rFonts w:ascii="Times New Roman" w:hAnsi="Times New Roman" w:cs="Times New Roman"/>
        </w:rPr>
      </w:pPr>
      <w:r>
        <w:rPr>
          <w:rFonts w:hint="eastAsia" w:ascii="Times New Roman" w:hAnsi="Times New Roman" w:cs="Times New Roman"/>
        </w:rPr>
        <w:t>（3）电子版U盘：U盘上贴注所投项目名称为</w:t>
      </w:r>
      <w:r>
        <w:rPr>
          <w:rFonts w:hint="eastAsia" w:ascii="Times New Roman" w:hAnsi="Times New Roman" w:cs="Times New Roman"/>
          <w:u w:val="single"/>
        </w:rPr>
        <w:t xml:space="preserve"> 合肥管理处2023年部分桥梁专项检测项目董铺水库桥体外预应力索专项检测磁通量传感器采购 </w:t>
      </w:r>
      <w:r>
        <w:rPr>
          <w:rFonts w:hint="eastAsia" w:ascii="Times New Roman" w:hAnsi="Times New Roman" w:cs="Times New Roman"/>
        </w:rPr>
        <w:t>且供应商编制的响应文件（盖章扫描件）备查，</w:t>
      </w:r>
      <w:r>
        <w:rPr>
          <w:rFonts w:hint="eastAsia" w:ascii="Times New Roman" w:hAnsi="Times New Roman" w:cs="Times New Roman"/>
          <w:b/>
        </w:rPr>
        <w:t>U盘内容与纸质投标文件不一致的，按废标处理</w:t>
      </w:r>
      <w:r>
        <w:rPr>
          <w:rFonts w:hint="eastAsia" w:ascii="Times New Roman" w:hAnsi="Times New Roman" w:cs="Times New Roman"/>
        </w:rPr>
        <w:t>。U盘与响应文件正副本一同密封。</w:t>
      </w:r>
    </w:p>
    <w:p>
      <w:pPr>
        <w:spacing w:line="440" w:lineRule="exact"/>
        <w:ind w:firstLine="420"/>
        <w:rPr>
          <w:rFonts w:ascii="Times New Roman" w:hAnsi="Times New Roman" w:cs="Times New Roman"/>
        </w:rPr>
      </w:pPr>
      <w:r>
        <w:rPr>
          <w:rFonts w:hint="eastAsia" w:ascii="Times New Roman" w:hAnsi="Times New Roman" w:cs="Times New Roman"/>
        </w:rPr>
        <w:t>（4）装订要求：响应文件应用A4纸胶装成册并标注连续页码，不允许活页装订，并逐页加盖公章，采购人不承担因此造成的任何后果。</w:t>
      </w:r>
    </w:p>
    <w:p>
      <w:pPr>
        <w:spacing w:line="440" w:lineRule="exact"/>
        <w:ind w:firstLine="420"/>
        <w:rPr>
          <w:rFonts w:ascii="Times New Roman" w:hAnsi="Times New Roman" w:cs="Times New Roman"/>
        </w:rPr>
      </w:pPr>
      <w:r>
        <w:rPr>
          <w:rFonts w:hint="eastAsia" w:ascii="Times New Roman" w:hAnsi="Times New Roman" w:cs="Times New Roman"/>
        </w:rPr>
        <w:t>（5）封套上应载明的信息：信封封套表面应标明供应商名称。封套的封口处加盖供应商单位公章或由法定代表人（单位负责人）或其授权的代理人签字。</w:t>
      </w:r>
    </w:p>
    <w:p>
      <w:pPr>
        <w:keepNext/>
        <w:keepLines/>
        <w:spacing w:before="120" w:beforeLines="50" w:after="120" w:afterLines="50"/>
        <w:outlineLvl w:val="1"/>
        <w:rPr>
          <w:rFonts w:ascii="Times New Roman" w:hAnsi="Times New Roman" w:eastAsia="黑体" w:cs="Times New Roman"/>
          <w:bCs/>
          <w:sz w:val="24"/>
          <w:szCs w:val="32"/>
        </w:rPr>
      </w:pPr>
      <w:bookmarkStart w:id="91" w:name="_Toc26656964"/>
      <w:bookmarkStart w:id="92" w:name="_Toc9067723"/>
      <w:bookmarkStart w:id="93" w:name="_Toc14201233"/>
      <w:r>
        <w:rPr>
          <w:rFonts w:ascii="Times New Roman" w:hAnsi="Times New Roman" w:eastAsia="黑体" w:cs="Times New Roman"/>
          <w:bCs/>
          <w:sz w:val="24"/>
          <w:szCs w:val="32"/>
        </w:rPr>
        <w:t xml:space="preserve">4. </w:t>
      </w:r>
      <w:bookmarkEnd w:id="91"/>
      <w:bookmarkEnd w:id="92"/>
      <w:bookmarkEnd w:id="93"/>
      <w:r>
        <w:rPr>
          <w:rFonts w:ascii="Times New Roman" w:hAnsi="Times New Roman" w:eastAsia="黑体" w:cs="Times New Roman"/>
          <w:bCs/>
          <w:sz w:val="24"/>
          <w:szCs w:val="32"/>
        </w:rPr>
        <w:t>响应文件的递交</w:t>
      </w:r>
    </w:p>
    <w:p>
      <w:pPr>
        <w:keepNext/>
        <w:keepLines/>
        <w:spacing w:before="120" w:after="120"/>
        <w:outlineLvl w:val="2"/>
        <w:rPr>
          <w:rFonts w:ascii="Times New Roman" w:hAnsi="Times New Roman" w:eastAsia="黑体" w:cs="Times New Roman"/>
          <w:bCs/>
          <w:sz w:val="24"/>
          <w:szCs w:val="32"/>
        </w:rPr>
      </w:pPr>
      <w:bookmarkStart w:id="94" w:name="_Toc14201234"/>
      <w:bookmarkStart w:id="95" w:name="_Toc26656965"/>
      <w:r>
        <w:rPr>
          <w:rFonts w:ascii="Times New Roman" w:hAnsi="Times New Roman" w:eastAsia="黑体" w:cs="Times New Roman"/>
          <w:bCs/>
          <w:sz w:val="24"/>
          <w:szCs w:val="32"/>
        </w:rPr>
        <w:t>4.1响应文件的密封和标记</w:t>
      </w:r>
      <w:bookmarkEnd w:id="94"/>
      <w:bookmarkEnd w:id="95"/>
    </w:p>
    <w:p>
      <w:pPr>
        <w:spacing w:line="440" w:lineRule="exact"/>
        <w:ind w:firstLine="420"/>
        <w:rPr>
          <w:rFonts w:ascii="Times New Roman" w:hAnsi="Times New Roman" w:cs="Times New Roman"/>
        </w:rPr>
      </w:pPr>
      <w:r>
        <w:rPr>
          <w:rFonts w:hint="eastAsia" w:ascii="Times New Roman" w:hAnsi="Times New Roman" w:cs="Times New Roman"/>
        </w:rPr>
        <w:t>4.1.1响应文件正、副本应密封包装在一个封套内，封套上注明：</w:t>
      </w:r>
    </w:p>
    <w:p>
      <w:pPr>
        <w:spacing w:line="440" w:lineRule="exact"/>
        <w:ind w:firstLine="420"/>
        <w:rPr>
          <w:rFonts w:ascii="Times New Roman" w:hAnsi="Times New Roman" w:cs="Times New Roman"/>
          <w:u w:val="single"/>
        </w:rPr>
      </w:pPr>
      <w:r>
        <w:rPr>
          <w:rFonts w:hint="eastAsia" w:ascii="Times New Roman" w:hAnsi="Times New Roman" w:cs="Times New Roman"/>
        </w:rPr>
        <w:t>供应商名称：</w:t>
      </w:r>
      <w:r>
        <w:rPr>
          <w:rFonts w:hint="eastAsia" w:ascii="Times New Roman" w:hAnsi="Times New Roman" w:eastAsia="黑体" w:cs="黑体"/>
          <w:bCs/>
          <w:snapToGrid w:val="0"/>
          <w:kern w:val="0"/>
          <w:szCs w:val="21"/>
          <w:u w:val="single"/>
        </w:rPr>
        <w:t>（供应商单位全称，自行填写）</w:t>
      </w:r>
    </w:p>
    <w:p>
      <w:pPr>
        <w:snapToGrid w:val="0"/>
        <w:spacing w:line="440" w:lineRule="exact"/>
        <w:ind w:firstLine="420" w:firstLineChars="200"/>
        <w:rPr>
          <w:rFonts w:ascii="Times New Roman" w:hAnsi="Times New Roman" w:cs="Times New Roman"/>
          <w:u w:val="single"/>
        </w:rPr>
      </w:pPr>
      <w:r>
        <w:rPr>
          <w:rFonts w:hint="eastAsia" w:ascii="Times New Roman" w:hAnsi="Times New Roman" w:cs="Times New Roman"/>
          <w:szCs w:val="22"/>
          <w:u w:val="single"/>
        </w:rPr>
        <w:t>合肥管理处2023年部分桥梁专项检测项目董铺水库桥体外预应力索专项检测磁通量传感器采购</w:t>
      </w:r>
      <w:r>
        <w:rPr>
          <w:rFonts w:hint="eastAsia" w:ascii="Times New Roman" w:hAnsi="Times New Roman" w:cs="Times New Roman"/>
          <w:u w:val="single"/>
        </w:rPr>
        <w:t>响应文件</w:t>
      </w:r>
    </w:p>
    <w:p>
      <w:pPr>
        <w:spacing w:line="440" w:lineRule="exact"/>
        <w:ind w:firstLine="420"/>
        <w:rPr>
          <w:rFonts w:ascii="Times New Roman" w:hAnsi="Times New Roman" w:cs="Times New Roman"/>
        </w:rPr>
      </w:pPr>
      <w:r>
        <w:rPr>
          <w:rFonts w:hint="eastAsia" w:ascii="Times New Roman" w:hAnsi="Times New Roman" w:cs="Times New Roman"/>
          <w:u w:val="single"/>
        </w:rPr>
        <w:t>在2023年</w:t>
      </w:r>
      <w:r>
        <w:rPr>
          <w:rFonts w:ascii="Times New Roman" w:hAnsi="Times New Roman" w:cs="Times New Roman"/>
          <w:u w:val="single"/>
        </w:rPr>
        <w:t>8</w:t>
      </w:r>
      <w:r>
        <w:rPr>
          <w:rFonts w:hint="eastAsia" w:ascii="Times New Roman" w:hAnsi="Times New Roman" w:cs="Times New Roman"/>
          <w:u w:val="single"/>
        </w:rPr>
        <w:t>月</w:t>
      </w:r>
      <w:r>
        <w:rPr>
          <w:rFonts w:ascii="Times New Roman" w:hAnsi="Times New Roman" w:cs="Times New Roman"/>
          <w:u w:val="single"/>
        </w:rPr>
        <w:t>7</w:t>
      </w:r>
      <w:r>
        <w:rPr>
          <w:rFonts w:hint="eastAsia" w:ascii="Times New Roman" w:hAnsi="Times New Roman" w:cs="Times New Roman"/>
          <w:u w:val="single"/>
        </w:rPr>
        <w:t>日09时30分</w:t>
      </w:r>
      <w:r>
        <w:rPr>
          <w:rFonts w:hint="eastAsia" w:ascii="Times New Roman" w:hAnsi="Times New Roman" w:cs="Times New Roman"/>
        </w:rPr>
        <w:t>（递交响应文件的截止时间）前不得开启</w:t>
      </w:r>
    </w:p>
    <w:p>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未按本章第4.1.1项</w:t>
      </w:r>
      <w:r>
        <w:rPr>
          <w:rFonts w:ascii="Times New Roman" w:hAnsi="Times New Roman" w:cs="Times New Roman"/>
        </w:rPr>
        <w:t>要求</w:t>
      </w:r>
      <w:r>
        <w:rPr>
          <w:rFonts w:ascii="Times New Roman" w:hAnsi="Times New Roman"/>
        </w:rPr>
        <w:t>密封的</w:t>
      </w:r>
      <w:r>
        <w:rPr>
          <w:rFonts w:hint="eastAsia" w:ascii="Times New Roman" w:hAnsi="Times New Roman"/>
        </w:rPr>
        <w:t>响应文件</w:t>
      </w:r>
      <w:r>
        <w:rPr>
          <w:rFonts w:ascii="Times New Roman" w:hAnsi="Times New Roman"/>
        </w:rPr>
        <w:t>，</w:t>
      </w:r>
      <w:r>
        <w:rPr>
          <w:rFonts w:hint="eastAsia" w:ascii="Times New Roman" w:hAnsi="Times New Roman"/>
        </w:rPr>
        <w:t>采购人</w:t>
      </w:r>
      <w:r>
        <w:rPr>
          <w:rFonts w:ascii="Times New Roman" w:hAnsi="Times New Roman"/>
        </w:rPr>
        <w:t>将予以拒收。</w:t>
      </w:r>
    </w:p>
    <w:p>
      <w:pPr>
        <w:keepNext/>
        <w:keepLines/>
        <w:spacing w:before="120" w:after="120"/>
        <w:outlineLvl w:val="2"/>
        <w:rPr>
          <w:rFonts w:ascii="Times New Roman" w:hAnsi="Times New Roman" w:eastAsia="黑体" w:cs="Times New Roman"/>
          <w:bCs/>
          <w:sz w:val="24"/>
          <w:szCs w:val="32"/>
        </w:rPr>
      </w:pPr>
      <w:bookmarkStart w:id="96" w:name="_Toc14201235"/>
      <w:bookmarkStart w:id="97" w:name="_Toc26656966"/>
      <w:r>
        <w:rPr>
          <w:rFonts w:ascii="Times New Roman" w:hAnsi="Times New Roman" w:eastAsia="黑体" w:cs="Times New Roman"/>
          <w:bCs/>
          <w:sz w:val="24"/>
          <w:szCs w:val="32"/>
        </w:rPr>
        <w:t>4.2 响应文件的递交</w:t>
      </w:r>
      <w:bookmarkEnd w:id="96"/>
      <w:bookmarkEnd w:id="97"/>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bookmarkStart w:id="98" w:name="_Toc14201237"/>
      <w:bookmarkStart w:id="99" w:name="_Toc26656968"/>
      <w:bookmarkStart w:id="100" w:name="_Toc9067724"/>
      <w:r>
        <w:rPr>
          <w:rFonts w:hint="eastAsia" w:ascii="Times New Roman" w:hAnsi="Times New Roman" w:cs="Times New Roman"/>
        </w:rPr>
        <w:t>4.2.3如通过初步评审的有效供应商数量不足3家的，则宣布本次采购无效。</w:t>
      </w:r>
    </w:p>
    <w:p>
      <w:pPr>
        <w:spacing w:line="440" w:lineRule="exact"/>
        <w:ind w:firstLine="420"/>
        <w:rPr>
          <w:rFonts w:ascii="Times New Roman" w:hAnsi="Times New Roman" w:cs="Times New Roman"/>
        </w:rPr>
      </w:pPr>
      <w:r>
        <w:rPr>
          <w:rFonts w:hint="eastAsia" w:ascii="Times New Roman" w:hAnsi="Times New Roman" w:cs="Times New Roman"/>
        </w:rPr>
        <w:t>4.2.4 除第4.2.2项规定外，</w:t>
      </w:r>
      <w:r>
        <w:rPr>
          <w:rFonts w:ascii="Times New Roman" w:hAnsi="Times New Roman" w:cs="Times New Roman"/>
        </w:rPr>
        <w:t>供应商所递交的响应文件不予退还。</w:t>
      </w:r>
    </w:p>
    <w:p>
      <w:pPr>
        <w:keepNext/>
        <w:keepLines/>
        <w:spacing w:before="120" w:beforeLines="50" w:after="12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5. </w:t>
      </w:r>
      <w:bookmarkEnd w:id="98"/>
      <w:bookmarkEnd w:id="99"/>
      <w:bookmarkEnd w:id="100"/>
      <w:r>
        <w:rPr>
          <w:rFonts w:ascii="Times New Roman" w:hAnsi="Times New Roman" w:eastAsia="黑体" w:cs="Times New Roman"/>
          <w:bCs/>
          <w:sz w:val="24"/>
          <w:szCs w:val="32"/>
        </w:rPr>
        <w:t>启封</w:t>
      </w:r>
    </w:p>
    <w:p>
      <w:pPr>
        <w:keepNext/>
        <w:keepLines/>
        <w:spacing w:before="120" w:after="120"/>
        <w:outlineLvl w:val="2"/>
        <w:rPr>
          <w:rFonts w:ascii="Times New Roman" w:hAnsi="Times New Roman" w:eastAsia="黑体" w:cs="Times New Roman"/>
          <w:bCs/>
          <w:sz w:val="24"/>
          <w:szCs w:val="32"/>
        </w:rPr>
      </w:pPr>
      <w:bookmarkStart w:id="101" w:name="_Toc14201238"/>
      <w:bookmarkStart w:id="102" w:name="_Toc26656969"/>
      <w:r>
        <w:rPr>
          <w:rFonts w:ascii="Times New Roman" w:hAnsi="Times New Roman" w:eastAsia="黑体" w:cs="Times New Roman"/>
          <w:bCs/>
          <w:sz w:val="24"/>
          <w:szCs w:val="32"/>
        </w:rPr>
        <w:t>5.1 启封时间和地点</w:t>
      </w:r>
      <w:bookmarkEnd w:id="101"/>
      <w:bookmarkEnd w:id="102"/>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bookmarkStart w:id="103" w:name="_Toc26656970"/>
      <w:bookmarkStart w:id="104" w:name="_Toc14201239"/>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bookmarkEnd w:id="103"/>
      <w:bookmarkEnd w:id="104"/>
    </w:p>
    <w:p>
      <w:pPr>
        <w:spacing w:line="440" w:lineRule="exact"/>
        <w:ind w:firstLine="420"/>
        <w:rPr>
          <w:rFonts w:ascii="Times New Roman" w:hAnsi="Times New Roman" w:cs="Times New Roman"/>
        </w:rPr>
      </w:pPr>
      <w:r>
        <w:rPr>
          <w:rFonts w:ascii="Times New Roman" w:hAnsi="Times New Roman" w:cs="Times New Roman"/>
        </w:rPr>
        <w:t xml:space="preserve">5.2.1主持人按下列程序进行启封： </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 xml:space="preserve">（2）由供应商推选的代表检查响应文件的密封情况； </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服务</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启封</w:t>
      </w:r>
      <w:r>
        <w:rPr>
          <w:rFonts w:ascii="Times New Roman" w:hAnsi="Times New Roman"/>
        </w:rPr>
        <w:t>记录上</w:t>
      </w:r>
      <w:r>
        <w:rPr>
          <w:rFonts w:hint="eastAsia" w:ascii="Times New Roman" w:hAnsi="Times New Roman"/>
        </w:rPr>
        <w:t>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bCs/>
        </w:rPr>
      </w:pPr>
      <w:r>
        <w:rPr>
          <w:rFonts w:ascii="Times New Roman" w:hAnsi="Times New Roman" w:cs="Times New Roman"/>
          <w:bCs/>
        </w:rPr>
        <w:t>5.2.2若采购人发现响应文件出现以下任一情况，其报价将不再参加评审：</w:t>
      </w:r>
    </w:p>
    <w:p>
      <w:pPr>
        <w:spacing w:line="440" w:lineRule="exact"/>
        <w:ind w:firstLine="420"/>
        <w:rPr>
          <w:rFonts w:ascii="Times New Roman" w:hAnsi="Times New Roman" w:cs="Times New Roman"/>
          <w:bCs/>
        </w:rPr>
      </w:pPr>
      <w:r>
        <w:rPr>
          <w:rFonts w:ascii="Times New Roman" w:hAnsi="Times New Roman" w:cs="Times New Roman"/>
          <w:bCs/>
        </w:rPr>
        <w:t>（1）报价超出</w:t>
      </w:r>
      <w:r>
        <w:rPr>
          <w:rFonts w:hint="eastAsia" w:ascii="Times New Roman" w:hAnsi="Times New Roman" w:cs="Times New Roman"/>
          <w:bCs/>
        </w:rPr>
        <w:t>限价；</w:t>
      </w:r>
    </w:p>
    <w:p>
      <w:pPr>
        <w:spacing w:line="440" w:lineRule="exact"/>
        <w:ind w:firstLine="420"/>
        <w:rPr>
          <w:rFonts w:ascii="Times New Roman" w:hAnsi="Times New Roman" w:cs="Times New Roman"/>
          <w:bCs/>
        </w:rPr>
      </w:pPr>
      <w:r>
        <w:rPr>
          <w:rFonts w:hint="eastAsia" w:ascii="Times New Roman" w:hAnsi="Times New Roman" w:cs="Times New Roman"/>
          <w:bCs/>
        </w:rPr>
        <w:t>（2）</w:t>
      </w:r>
      <w:r>
        <w:rPr>
          <w:rFonts w:ascii="Times New Roman" w:hAnsi="Times New Roman" w:cs="Times New Roman"/>
          <w:bCs/>
        </w:rPr>
        <w:t>未在报价函上填写</w:t>
      </w:r>
      <w:r>
        <w:rPr>
          <w:rFonts w:hint="eastAsia" w:ascii="Times New Roman" w:hAnsi="Times New Roman" w:cs="Times New Roman"/>
          <w:bCs/>
        </w:rPr>
        <w:t>报价；</w:t>
      </w:r>
    </w:p>
    <w:p>
      <w:pPr>
        <w:spacing w:line="440" w:lineRule="exact"/>
        <w:ind w:firstLine="420"/>
        <w:rPr>
          <w:rFonts w:ascii="Times New Roman" w:hAnsi="Times New Roman" w:cs="Times New Roman"/>
          <w:bCs/>
        </w:rPr>
      </w:pPr>
      <w:r>
        <w:rPr>
          <w:rFonts w:hint="eastAsia" w:ascii="Times New Roman" w:hAnsi="Times New Roman" w:cs="Times New Roman"/>
          <w:bCs/>
        </w:rPr>
        <w:t>（3）报价函中的报价与已标价的报价清单总报价不一致（四舍五入除外）</w:t>
      </w:r>
      <w:r>
        <w:rPr>
          <w:rFonts w:ascii="Times New Roman" w:hAnsi="Times New Roman" w:cs="Times New Roman"/>
          <w:bCs/>
        </w:rPr>
        <w:t>；</w:t>
      </w:r>
    </w:p>
    <w:p>
      <w:pPr>
        <w:spacing w:line="440" w:lineRule="exact"/>
        <w:ind w:firstLine="420"/>
        <w:rPr>
          <w:rFonts w:ascii="Times New Roman" w:hAnsi="Times New Roman" w:cs="Times New Roman"/>
          <w:bCs/>
        </w:rPr>
      </w:pPr>
      <w:r>
        <w:rPr>
          <w:rFonts w:hint="eastAsia" w:ascii="Times New Roman" w:hAnsi="Times New Roman" w:cs="Times New Roman"/>
          <w:bCs/>
        </w:rPr>
        <w:t>（4）未按要求提交响应保证金。</w:t>
      </w:r>
    </w:p>
    <w:p>
      <w:pPr>
        <w:spacing w:line="440" w:lineRule="exact"/>
        <w:ind w:firstLine="420"/>
        <w:rPr>
          <w:rFonts w:ascii="Times New Roman" w:hAnsi="Times New Roman" w:cs="Times New Roman"/>
        </w:rPr>
      </w:pPr>
      <w:r>
        <w:rPr>
          <w:rFonts w:hint="eastAsia" w:ascii="Times New Roman" w:hAnsi="Times New Roman" w:cs="Times New Roman"/>
        </w:rPr>
        <w:t>5.2.3</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20" w:beforeLines="50" w:after="120" w:afterLines="50"/>
        <w:outlineLvl w:val="1"/>
        <w:rPr>
          <w:rFonts w:ascii="Times New Roman" w:hAnsi="Times New Roman" w:eastAsia="黑体" w:cs="Times New Roman"/>
          <w:bCs/>
          <w:sz w:val="24"/>
          <w:szCs w:val="32"/>
        </w:rPr>
      </w:pPr>
      <w:bookmarkStart w:id="105" w:name="_Toc26656972"/>
      <w:bookmarkStart w:id="106" w:name="_Toc14201241"/>
      <w:bookmarkStart w:id="107" w:name="_Toc9067725"/>
      <w:r>
        <w:rPr>
          <w:rFonts w:ascii="Times New Roman" w:hAnsi="Times New Roman" w:eastAsia="黑体" w:cs="Times New Roman"/>
          <w:bCs/>
          <w:sz w:val="24"/>
          <w:szCs w:val="32"/>
        </w:rPr>
        <w:t>6. 评</w:t>
      </w:r>
      <w:bookmarkEnd w:id="105"/>
      <w:bookmarkEnd w:id="106"/>
      <w:bookmarkEnd w:id="107"/>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108" w:name="_Toc14201242"/>
      <w:bookmarkStart w:id="109" w:name="_Toc26656973"/>
      <w:r>
        <w:rPr>
          <w:rFonts w:ascii="Times New Roman" w:hAnsi="Times New Roman" w:eastAsia="黑体" w:cs="Times New Roman"/>
          <w:bCs/>
          <w:sz w:val="24"/>
          <w:szCs w:val="32"/>
        </w:rPr>
        <w:t>6.1</w:t>
      </w:r>
      <w:bookmarkEnd w:id="108"/>
      <w:bookmarkEnd w:id="109"/>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hint="eastAsia" w:ascii="Times New Roman" w:hAnsi="Times New Roman" w:cs="Times New Roman"/>
        </w:rPr>
        <w:t>评审由采购人自行组建的评审小组负责。评审小组人数：3~7 人（单数）。</w:t>
      </w:r>
    </w:p>
    <w:p>
      <w:pPr>
        <w:keepNext/>
        <w:keepLines/>
        <w:spacing w:before="120" w:after="120"/>
        <w:outlineLvl w:val="2"/>
        <w:rPr>
          <w:rFonts w:ascii="Times New Roman" w:hAnsi="Times New Roman" w:eastAsia="黑体" w:cs="Times New Roman"/>
          <w:bCs/>
          <w:sz w:val="24"/>
          <w:szCs w:val="32"/>
        </w:rPr>
      </w:pPr>
      <w:bookmarkStart w:id="110" w:name="_Toc26656975"/>
      <w:bookmarkStart w:id="111"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110"/>
      <w:bookmarkEnd w:id="111"/>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0000FF"/>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w:t>
      </w:r>
      <w:r>
        <w:rPr>
          <w:rFonts w:hint="eastAsia" w:ascii="Times New Roman" w:hAnsi="Times New Roman" w:cs="Times New Roman"/>
        </w:rPr>
        <w:t>荐成交候选人的人数为：1人。</w:t>
      </w:r>
    </w:p>
    <w:p>
      <w:pPr>
        <w:keepNext/>
        <w:keepLines/>
        <w:spacing w:before="120" w:beforeLines="50" w:after="120" w:afterLines="50"/>
        <w:outlineLvl w:val="1"/>
        <w:rPr>
          <w:rFonts w:ascii="Times New Roman" w:hAnsi="Times New Roman" w:eastAsia="黑体" w:cs="Times New Roman"/>
          <w:bCs/>
          <w:sz w:val="24"/>
          <w:szCs w:val="32"/>
        </w:rPr>
      </w:pPr>
      <w:bookmarkStart w:id="112" w:name="_Toc9067726"/>
      <w:bookmarkStart w:id="113" w:name="_Toc26656976"/>
      <w:bookmarkStart w:id="114" w:name="_Toc14201245"/>
      <w:r>
        <w:rPr>
          <w:rFonts w:ascii="Times New Roman" w:hAnsi="Times New Roman" w:eastAsia="黑体" w:cs="Times New Roman"/>
          <w:bCs/>
          <w:sz w:val="24"/>
          <w:szCs w:val="32"/>
        </w:rPr>
        <w:t>7. 合同授予</w:t>
      </w:r>
      <w:bookmarkEnd w:id="112"/>
      <w:bookmarkEnd w:id="113"/>
      <w:bookmarkEnd w:id="114"/>
    </w:p>
    <w:p>
      <w:pPr>
        <w:keepNext/>
        <w:keepLines/>
        <w:spacing w:before="120" w:after="120"/>
        <w:outlineLvl w:val="2"/>
        <w:rPr>
          <w:rFonts w:ascii="Times New Roman" w:hAnsi="Times New Roman" w:eastAsia="黑体" w:cs="Times New Roman"/>
          <w:bCs/>
          <w:sz w:val="24"/>
          <w:szCs w:val="32"/>
        </w:rPr>
      </w:pPr>
      <w:bookmarkStart w:id="115" w:name="_Toc26656977"/>
      <w:bookmarkStart w:id="116" w:name="_Toc14201246"/>
      <w:r>
        <w:rPr>
          <w:rFonts w:ascii="Times New Roman" w:hAnsi="Times New Roman" w:eastAsia="黑体" w:cs="Times New Roman"/>
          <w:bCs/>
          <w:sz w:val="24"/>
          <w:szCs w:val="32"/>
        </w:rPr>
        <w:t>7.1成交候选人公示</w:t>
      </w:r>
      <w:bookmarkEnd w:id="115"/>
      <w:bookmarkEnd w:id="116"/>
    </w:p>
    <w:p>
      <w:pPr>
        <w:spacing w:line="440" w:lineRule="exact"/>
        <w:ind w:firstLine="420"/>
        <w:rPr>
          <w:rFonts w:ascii="Times New Roman" w:hAnsi="Times New Roman" w:cs="Times New Roman"/>
        </w:rPr>
      </w:pPr>
      <w:r>
        <w:rPr>
          <w:rFonts w:ascii="Times New Roman" w:hAnsi="Times New Roman" w:cs="Times New Roman"/>
        </w:rPr>
        <w:t>公示期</w:t>
      </w:r>
      <w:r>
        <w:rPr>
          <w:rFonts w:hint="eastAsia" w:ascii="Times New Roman" w:hAnsi="Times New Roman" w:cs="Times New Roman"/>
        </w:rPr>
        <w:t>为2</w:t>
      </w:r>
      <w:r>
        <w:rPr>
          <w:rFonts w:ascii="Times New Roman" w:hAnsi="Times New Roman" w:cs="Times New Roman"/>
        </w:rPr>
        <w:t>日。</w:t>
      </w:r>
    </w:p>
    <w:p>
      <w:pPr>
        <w:keepNext/>
        <w:keepLines/>
        <w:spacing w:before="120" w:after="120"/>
        <w:outlineLvl w:val="2"/>
        <w:rPr>
          <w:rFonts w:ascii="Times New Roman" w:hAnsi="Times New Roman" w:eastAsia="黑体" w:cs="Times New Roman"/>
          <w:bCs/>
          <w:sz w:val="24"/>
          <w:szCs w:val="32"/>
        </w:rPr>
      </w:pPr>
      <w:bookmarkStart w:id="117" w:name="_Toc26656978"/>
      <w:bookmarkStart w:id="118" w:name="_Toc14201247"/>
      <w:r>
        <w:rPr>
          <w:rFonts w:ascii="Times New Roman" w:hAnsi="Times New Roman" w:eastAsia="黑体" w:cs="Times New Roman"/>
          <w:bCs/>
          <w:sz w:val="24"/>
          <w:szCs w:val="32"/>
        </w:rPr>
        <w:t>7.2评审结果异议</w:t>
      </w:r>
      <w:bookmarkEnd w:id="117"/>
      <w:bookmarkEnd w:id="118"/>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119" w:name="_Toc26656979"/>
      <w:bookmarkStart w:id="120" w:name="_Toc14201248"/>
      <w:r>
        <w:rPr>
          <w:rFonts w:ascii="Times New Roman" w:hAnsi="Times New Roman" w:eastAsia="黑体" w:cs="Times New Roman"/>
          <w:bCs/>
          <w:sz w:val="24"/>
          <w:szCs w:val="32"/>
        </w:rPr>
        <w:t>7.3成交候选人履约能力审查</w:t>
      </w:r>
      <w:bookmarkEnd w:id="119"/>
      <w:bookmarkEnd w:id="120"/>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121" w:name="_Toc14201253"/>
      <w:bookmarkStart w:id="122"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121"/>
      <w:bookmarkEnd w:id="122"/>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w:t>
      </w:r>
      <w:r>
        <w:rPr>
          <w:rFonts w:hint="eastAsia" w:ascii="Times New Roman" w:hAnsi="Times New Roman" w:cs="Times New Roman"/>
        </w:rPr>
        <w:t>30</w:t>
      </w:r>
      <w:r>
        <w:rPr>
          <w:rFonts w:ascii="Times New Roman" w:hAnsi="Times New Roman" w:cs="Times New Roman"/>
        </w:rPr>
        <w:t>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120" w:beforeLines="50" w:after="120" w:afterLines="50"/>
        <w:outlineLvl w:val="1"/>
        <w:rPr>
          <w:rFonts w:ascii="Times New Roman" w:hAnsi="Times New Roman" w:eastAsia="黑体" w:cs="Times New Roman"/>
          <w:bCs/>
          <w:sz w:val="24"/>
          <w:szCs w:val="32"/>
        </w:rPr>
      </w:pPr>
      <w:bookmarkStart w:id="123" w:name="_Toc9067727"/>
      <w:bookmarkStart w:id="124" w:name="_Toc26656988"/>
      <w:bookmarkStart w:id="125" w:name="_Toc14201257"/>
      <w:r>
        <w:rPr>
          <w:rFonts w:ascii="Times New Roman" w:hAnsi="Times New Roman" w:eastAsia="黑体" w:cs="Times New Roman"/>
          <w:bCs/>
          <w:sz w:val="24"/>
          <w:szCs w:val="32"/>
        </w:rPr>
        <w:t>8. 纪律和监督</w:t>
      </w:r>
      <w:bookmarkEnd w:id="123"/>
      <w:bookmarkEnd w:id="124"/>
      <w:bookmarkEnd w:id="125"/>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20" w:beforeLines="50" w:after="120" w:afterLines="50"/>
        <w:outlineLvl w:val="1"/>
        <w:rPr>
          <w:rFonts w:ascii="Times New Roman" w:hAnsi="Times New Roman" w:eastAsia="黑体" w:cs="Times New Roman"/>
          <w:bCs/>
          <w:sz w:val="24"/>
          <w:szCs w:val="32"/>
        </w:rPr>
      </w:pPr>
      <w:bookmarkStart w:id="126" w:name="_Toc14201262"/>
      <w:bookmarkStart w:id="127"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 xml:space="preserve"> 投诉</w:t>
      </w:r>
      <w:bookmarkEnd w:id="126"/>
      <w:bookmarkEnd w:id="127"/>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.1 供应商或其他利害关系人认为询比活动不符合法律法规规定的，可以自知道或应当知道之日起10日内向有关部门投诉。投诉应有明确的请求和必要的证明材料。</w:t>
      </w:r>
    </w:p>
    <w:p>
      <w:pPr>
        <w:widowControl/>
        <w:spacing w:line="280" w:lineRule="exact"/>
        <w:ind w:firstLine="420" w:firstLineChars="200"/>
        <w:jc w:val="left"/>
        <w:textAlignment w:val="center"/>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.2 部门</w:t>
      </w:r>
      <w:r>
        <w:rPr>
          <w:rFonts w:hint="eastAsia" w:ascii="Times New Roman" w:hAnsi="Times New Roman" w:cs="Times New Roman"/>
        </w:rPr>
        <w:t>及</w:t>
      </w:r>
      <w:r>
        <w:rPr>
          <w:rFonts w:ascii="Times New Roman" w:hAnsi="Times New Roman" w:cs="Times New Roman"/>
        </w:rPr>
        <w:t>联系方式</w:t>
      </w:r>
      <w:r>
        <w:rPr>
          <w:rFonts w:hint="eastAsia" w:ascii="Times New Roman" w:hAnsi="Times New Roman" w:cs="Times New Roman"/>
        </w:rPr>
        <w:t>：</w:t>
      </w:r>
    </w:p>
    <w:p>
      <w:pPr>
        <w:widowControl/>
        <w:spacing w:line="440" w:lineRule="exact"/>
        <w:ind w:firstLine="420"/>
        <w:jc w:val="left"/>
        <w:rPr>
          <w:rFonts w:ascii="Times New Roman" w:hAnsi="Times New Roman" w:cs="Times New Roman"/>
        </w:rPr>
      </w:pPr>
      <w:r>
        <w:rPr>
          <w:rFonts w:ascii="Times New Roman" w:hAnsi="Times New Roman" w:cs="Times New Roman"/>
        </w:rPr>
        <w:t>（1）部门：</w:t>
      </w:r>
      <w:r>
        <w:rPr>
          <w:rFonts w:ascii="Times New Roman" w:hAnsi="Times New Roman" w:cs="Times New Roman"/>
          <w:u w:val="single"/>
        </w:rPr>
        <w:t>安徽省高速公路试验检测科研中心有限公司</w:t>
      </w:r>
      <w:r>
        <w:rPr>
          <w:rFonts w:hint="eastAsia" w:ascii="Times New Roman" w:hAnsi="Times New Roman" w:cs="Times New Roman"/>
          <w:u w:val="single"/>
        </w:rPr>
        <w:t>项目管理</w:t>
      </w:r>
      <w:r>
        <w:rPr>
          <w:rFonts w:ascii="Times New Roman" w:hAnsi="Times New Roman" w:cs="Times New Roman"/>
          <w:u w:val="single"/>
        </w:rPr>
        <w:t>部</w:t>
      </w:r>
    </w:p>
    <w:p>
      <w:pPr>
        <w:spacing w:line="440" w:lineRule="exac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联系方式：</w:t>
      </w:r>
      <w:r>
        <w:rPr>
          <w:rFonts w:ascii="Times New Roman" w:hAnsi="Times New Roman" w:cs="Times New Roman"/>
          <w:u w:val="single"/>
        </w:rPr>
        <w:t>0551-6381302</w:t>
      </w:r>
      <w:r>
        <w:rPr>
          <w:rFonts w:hint="eastAsia" w:ascii="Times New Roman" w:hAnsi="Times New Roman" w:cs="Times New Roman"/>
          <w:u w:val="single"/>
        </w:rPr>
        <w:t>4</w:t>
      </w:r>
      <w:r>
        <w:rPr>
          <w:rFonts w:ascii="Times New Roman" w:hAnsi="Times New Roman" w:cs="Times New Roman"/>
          <w:u w:val="single"/>
        </w:rPr>
        <w:t xml:space="preserve"> </w:t>
      </w: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
      <w:pPr>
        <w:pStyle w:val="2"/>
      </w:pPr>
    </w:p>
    <w:p>
      <w:pPr>
        <w:pStyle w:val="3"/>
        <w:outlineLvl w:val="9"/>
        <w:sectPr>
          <w:footerReference r:id="rId4" w:type="default"/>
          <w:pgSz w:w="11907" w:h="16840"/>
          <w:pgMar w:top="1417" w:right="1417" w:bottom="1417" w:left="1417" w:header="851" w:footer="850" w:gutter="0"/>
          <w:pgNumType w:start="1"/>
          <w:cols w:space="720" w:num="1"/>
          <w:docGrid w:linePitch="312" w:charSpace="0"/>
        </w:sectPr>
      </w:pPr>
    </w:p>
    <w:p>
      <w:pPr>
        <w:pStyle w:val="3"/>
        <w:outlineLvl w:val="9"/>
      </w:pPr>
    </w:p>
    <w:p/>
    <w:p>
      <w:pPr>
        <w:pStyle w:val="2"/>
      </w:pPr>
    </w:p>
    <w:p>
      <w:pPr>
        <w:pStyle w:val="3"/>
        <w:outlineLvl w:val="9"/>
      </w:pPr>
    </w:p>
    <w:p/>
    <w:p/>
    <w:p>
      <w:pPr>
        <w:pStyle w:val="2"/>
      </w:pPr>
    </w:p>
    <w:p>
      <w:pPr>
        <w:pStyle w:val="3"/>
        <w:outlineLvl w:val="9"/>
      </w:pPr>
    </w:p>
    <w:p/>
    <w:p>
      <w:pPr>
        <w:pStyle w:val="2"/>
      </w:pPr>
    </w:p>
    <w:p>
      <w:pPr>
        <w:pStyle w:val="3"/>
        <w:outlineLvl w:val="9"/>
      </w:pPr>
    </w:p>
    <w:p/>
    <w:p>
      <w:pPr>
        <w:pStyle w:val="2"/>
      </w:pPr>
    </w:p>
    <w:p>
      <w:pPr>
        <w:pStyle w:val="3"/>
        <w:outlineLvl w:val="9"/>
      </w:pPr>
    </w:p>
    <w:p/>
    <w:p>
      <w:pPr>
        <w:pStyle w:val="2"/>
      </w:pPr>
    </w:p>
    <w:p>
      <w:pPr>
        <w:pStyle w:val="3"/>
        <w:outlineLvl w:val="9"/>
      </w:pPr>
    </w:p>
    <w:p/>
    <w:p>
      <w:pPr>
        <w:pStyle w:val="2"/>
      </w:pPr>
    </w:p>
    <w:p>
      <w:pPr>
        <w:pStyle w:val="4"/>
        <w:numPr>
          <w:ilvl w:val="0"/>
          <w:numId w:val="0"/>
        </w:numPr>
        <w:spacing w:before="240" w:after="240"/>
        <w:rPr>
          <w:rFonts w:ascii="Times New Roman" w:hAnsi="Times New Roman" w:eastAsia="宋体" w:cs="Times New Roman"/>
        </w:rPr>
      </w:pPr>
      <w:r>
        <w:rPr>
          <w:rFonts w:hint="eastAsia" w:ascii="Times New Roman" w:hAnsi="Times New Roman" w:eastAsia="宋体" w:cs="Times New Roman"/>
        </w:rPr>
        <w:t xml:space="preserve">第三章 </w:t>
      </w:r>
      <w:r>
        <w:rPr>
          <w:rFonts w:ascii="Times New Roman" w:hAnsi="Times New Roman" w:eastAsia="宋体" w:cs="Times New Roman"/>
        </w:rPr>
        <w:t>评审办法</w:t>
      </w:r>
    </w:p>
    <w:p>
      <w:pPr>
        <w:tabs>
          <w:tab w:val="left" w:pos="0"/>
        </w:tabs>
      </w:pPr>
    </w:p>
    <w:p>
      <w:pPr>
        <w:pStyle w:val="2"/>
      </w:pPr>
    </w:p>
    <w:p>
      <w:pPr>
        <w:pStyle w:val="3"/>
        <w:outlineLvl w:val="9"/>
      </w:pPr>
    </w:p>
    <w:p/>
    <w:p>
      <w:pPr>
        <w:pStyle w:val="2"/>
      </w:pPr>
    </w:p>
    <w:p>
      <w:pPr>
        <w:pStyle w:val="3"/>
        <w:outlineLvl w:val="9"/>
      </w:pPr>
    </w:p>
    <w:p/>
    <w:p>
      <w:pPr>
        <w:pStyle w:val="2"/>
      </w:pPr>
    </w:p>
    <w:p>
      <w:pPr>
        <w:pStyle w:val="3"/>
        <w:outlineLvl w:val="9"/>
      </w:pPr>
    </w:p>
    <w:p/>
    <w:p>
      <w:pPr>
        <w:pStyle w:val="2"/>
      </w:pPr>
    </w:p>
    <w:p>
      <w:pPr>
        <w:pStyle w:val="3"/>
        <w:outlineLvl w:val="9"/>
      </w:pPr>
    </w:p>
    <w:p/>
    <w:tbl>
      <w:tblPr>
        <w:tblStyle w:val="2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0"/>
        <w:gridCol w:w="1261"/>
        <w:gridCol w:w="2034"/>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00" w:type="dxa"/>
            <w:gridSpan w:val="2"/>
            <w:vAlign w:val="center"/>
          </w:tcPr>
          <w:p>
            <w:pPr>
              <w:widowControl/>
              <w:jc w:val="center"/>
              <w:rPr>
                <w:rFonts w:ascii="Times New Roman" w:hAnsi="Times New Roman" w:cs="Times New Roman"/>
                <w:kern w:val="0"/>
                <w:szCs w:val="21"/>
              </w:rPr>
            </w:pPr>
            <w:r>
              <w:rPr>
                <w:rFonts w:ascii="Times New Roman" w:hAnsi="Times New Roman" w:eastAsia="宋体" w:cs="Times New Roman"/>
              </w:rPr>
              <w:br w:type="page"/>
            </w:r>
            <w:r>
              <w:rPr>
                <w:rFonts w:ascii="Times New Roman" w:hAnsi="Times New Roman" w:cs="Times New Roman"/>
                <w:b/>
                <w:bCs/>
                <w:kern w:val="0"/>
                <w:szCs w:val="21"/>
              </w:rPr>
              <w:t>条款号</w:t>
            </w:r>
          </w:p>
        </w:tc>
        <w:tc>
          <w:tcPr>
            <w:tcW w:w="2095" w:type="dxa"/>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838" w:type="dxa"/>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0"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1300"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评审</w:t>
            </w:r>
            <w:r>
              <w:rPr>
                <w:rFonts w:hint="eastAsia" w:ascii="Times New Roman" w:hAnsi="Times New Roman" w:cs="Times New Roman"/>
                <w:bCs/>
                <w:kern w:val="0"/>
                <w:szCs w:val="21"/>
              </w:rPr>
              <w:t>方</w:t>
            </w:r>
            <w:r>
              <w:rPr>
                <w:rFonts w:ascii="Times New Roman" w:hAnsi="Times New Roman" w:cs="Times New Roman"/>
                <w:bCs/>
                <w:kern w:val="0"/>
                <w:szCs w:val="21"/>
              </w:rPr>
              <w:t>法</w:t>
            </w:r>
          </w:p>
        </w:tc>
        <w:tc>
          <w:tcPr>
            <w:tcW w:w="2095" w:type="dxa"/>
            <w:tcMar>
              <w:left w:w="75" w:type="dxa"/>
            </w:tcMar>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成交候选人</w:t>
            </w:r>
          </w:p>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排序方法</w:t>
            </w:r>
          </w:p>
        </w:tc>
        <w:tc>
          <w:tcPr>
            <w:tcW w:w="5838" w:type="dxa"/>
            <w:tcMar>
              <w:left w:w="75" w:type="dxa"/>
            </w:tcMar>
            <w:vAlign w:val="center"/>
          </w:tcPr>
          <w:p>
            <w:pPr>
              <w:widowControl/>
              <w:adjustRightInd w:val="0"/>
              <w:snapToGrid w:val="0"/>
              <w:jc w:val="left"/>
            </w:pPr>
            <w:r>
              <w:rPr>
                <w:rFonts w:hint="eastAsia"/>
              </w:rPr>
              <w:t>按评审价由低到高的顺序依次推荐成交候选人：</w:t>
            </w:r>
          </w:p>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lang w:bidi="ar"/>
              </w:rPr>
              <w:t>（1）对满足询比文件要求的响应文件，按照报价由低到高的顺序推荐成交候选人</w:t>
            </w:r>
            <w:r>
              <w:rPr>
                <w:rFonts w:ascii="Times New Roman" w:hAnsi="Times New Roman" w:cs="Times New Roman"/>
                <w:kern w:val="0"/>
                <w:szCs w:val="21"/>
              </w:rPr>
              <w:t>；</w:t>
            </w:r>
          </w:p>
          <w:p>
            <w:pPr>
              <w:spacing w:line="360" w:lineRule="auto"/>
              <w:jc w:val="left"/>
            </w:pPr>
            <w:r>
              <w:rPr>
                <w:rFonts w:ascii="Times New Roman" w:hAnsi="Times New Roman" w:cs="Times New Roman"/>
                <w:kern w:val="0"/>
                <w:szCs w:val="21"/>
              </w:rPr>
              <w:t>（2）</w:t>
            </w:r>
            <w:r>
              <w:rPr>
                <w:rFonts w:ascii="Times New Roman" w:hAnsi="Times New Roman" w:cs="Times New Roman"/>
                <w:kern w:val="0"/>
                <w:szCs w:val="21"/>
                <w:lang w:val="zh-CN" w:bidi="ar"/>
              </w:rPr>
              <w:t>若出现报价相同的情况，按递交响应文件的时间先后顺序推荐成交候选人。</w:t>
            </w:r>
          </w:p>
        </w:tc>
      </w:tr>
    </w:tbl>
    <w:p>
      <w:pPr>
        <w:adjustRightInd w:val="0"/>
        <w:snapToGrid w:val="0"/>
        <w:spacing w:line="360" w:lineRule="auto"/>
        <w:textAlignment w:val="baseline"/>
        <w:rPr>
          <w:rFonts w:ascii="Times New Roman" w:hAnsi="Times New Roman" w:cs="Times New Roman"/>
          <w:szCs w:val="21"/>
        </w:rPr>
      </w:pPr>
    </w:p>
    <w:tbl>
      <w:tblPr>
        <w:tblStyle w:val="2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3"/>
        <w:gridCol w:w="1246"/>
        <w:gridCol w:w="2042"/>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59" w:type="dxa"/>
            <w:gridSpan w:val="2"/>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2042" w:type="dxa"/>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637" w:type="dxa"/>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713"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2.1.1</w:t>
            </w:r>
          </w:p>
        </w:tc>
        <w:tc>
          <w:tcPr>
            <w:tcW w:w="1246"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形式评审标准</w:t>
            </w:r>
          </w:p>
        </w:tc>
        <w:tc>
          <w:tcPr>
            <w:tcW w:w="2042" w:type="dxa"/>
            <w:tcMar>
              <w:left w:w="75" w:type="dxa"/>
            </w:tcMar>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供应商名称</w:t>
            </w:r>
          </w:p>
        </w:tc>
        <w:tc>
          <w:tcPr>
            <w:tcW w:w="5637"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713"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24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2042" w:type="dxa"/>
            <w:tcMar>
              <w:left w:w="75" w:type="dxa"/>
            </w:tcMar>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响应文件格式</w:t>
            </w:r>
          </w:p>
        </w:tc>
        <w:tc>
          <w:tcPr>
            <w:tcW w:w="5637"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713"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24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2042" w:type="dxa"/>
            <w:tcMar>
              <w:left w:w="75" w:type="dxa"/>
            </w:tcMar>
            <w:vAlign w:val="center"/>
          </w:tcPr>
          <w:p>
            <w:pPr>
              <w:widowControl/>
              <w:adjustRightInd w:val="0"/>
              <w:snapToGrid w:val="0"/>
              <w:spacing w:line="360" w:lineRule="atLeast"/>
              <w:jc w:val="center"/>
              <w:rPr>
                <w:rFonts w:ascii="Times New Roman" w:hAnsi="Times New Roman" w:cs="Times New Roman"/>
                <w:kern w:val="0"/>
                <w:szCs w:val="21"/>
              </w:rPr>
            </w:pPr>
            <w:r>
              <w:rPr>
                <w:rFonts w:hint="eastAsia" w:ascii="Times New Roman" w:hAnsi="Times New Roman" w:cs="Times New Roman"/>
                <w:kern w:val="0"/>
                <w:szCs w:val="21"/>
              </w:rPr>
              <w:t>签名及</w:t>
            </w:r>
            <w:r>
              <w:rPr>
                <w:rFonts w:ascii="Times New Roman" w:hAnsi="Times New Roman" w:cs="Times New Roman"/>
                <w:kern w:val="0"/>
                <w:szCs w:val="21"/>
              </w:rPr>
              <w:t>盖章</w:t>
            </w:r>
          </w:p>
        </w:tc>
        <w:tc>
          <w:tcPr>
            <w:tcW w:w="5637"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符合第二章“供应商须知”第3.</w:t>
            </w:r>
            <w:r>
              <w:rPr>
                <w:rFonts w:hint="eastAsia" w:ascii="Times New Roman" w:hAnsi="Times New Roman" w:cs="Times New Roman"/>
                <w:bCs/>
                <w:kern w:val="0"/>
                <w:szCs w:val="21"/>
              </w:rPr>
              <w:t>6</w:t>
            </w:r>
            <w:r>
              <w:rPr>
                <w:rFonts w:ascii="Times New Roman" w:hAnsi="Times New Roman"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713"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24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2042" w:type="dxa"/>
            <w:tcMar>
              <w:left w:w="75" w:type="dxa"/>
            </w:tcMar>
            <w:vAlign w:val="center"/>
          </w:tcPr>
          <w:p>
            <w:pPr>
              <w:widowControl/>
              <w:adjustRightInd w:val="0"/>
              <w:snapToGrid w:val="0"/>
              <w:spacing w:line="360" w:lineRule="atLeast"/>
              <w:jc w:val="center"/>
              <w:rPr>
                <w:rFonts w:ascii="Times New Roman" w:hAnsi="Times New Roman" w:cs="Times New Roman"/>
                <w:kern w:val="0"/>
                <w:szCs w:val="21"/>
              </w:rPr>
            </w:pPr>
            <w:r>
              <w:rPr>
                <w:rFonts w:hint="eastAsia" w:ascii="Times New Roman" w:hAnsi="Times New Roman" w:cs="Times New Roman"/>
                <w:kern w:val="0"/>
                <w:szCs w:val="21"/>
              </w:rPr>
              <w:t>U盘及响应文件份数</w:t>
            </w:r>
          </w:p>
        </w:tc>
        <w:tc>
          <w:tcPr>
            <w:tcW w:w="5637" w:type="dxa"/>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符合第二章“供应商须知”第3.</w:t>
            </w:r>
            <w:r>
              <w:rPr>
                <w:rFonts w:hint="eastAsia" w:ascii="Times New Roman" w:hAnsi="Times New Roman" w:cs="Times New Roman"/>
                <w:bCs/>
                <w:kern w:val="0"/>
                <w:szCs w:val="21"/>
              </w:rPr>
              <w:t>6</w:t>
            </w:r>
            <w:r>
              <w:rPr>
                <w:rFonts w:ascii="Times New Roman" w:hAnsi="Times New Roman"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713"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24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2042" w:type="dxa"/>
            <w:tcMar>
              <w:left w:w="75" w:type="dxa"/>
            </w:tcMar>
            <w:vAlign w:val="center"/>
          </w:tcPr>
          <w:p>
            <w:pPr>
              <w:widowControl/>
              <w:adjustRightInd w:val="0"/>
              <w:snapToGrid w:val="0"/>
              <w:spacing w:line="360" w:lineRule="atLeast"/>
              <w:jc w:val="center"/>
              <w:rPr>
                <w:rFonts w:ascii="Times New Roman" w:hAnsi="Times New Roman" w:cs="Times New Roman"/>
                <w:kern w:val="0"/>
                <w:szCs w:val="21"/>
              </w:rPr>
            </w:pPr>
            <w:r>
              <w:rPr>
                <w:rFonts w:hint="eastAsia" w:ascii="Times New Roman" w:hAnsi="Times New Roman" w:cs="Times New Roman"/>
                <w:kern w:val="0"/>
                <w:szCs w:val="21"/>
              </w:rPr>
              <w:t>装订及密封</w:t>
            </w:r>
          </w:p>
        </w:tc>
        <w:tc>
          <w:tcPr>
            <w:tcW w:w="5637" w:type="dxa"/>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符合第二章“供应商须知”第3.</w:t>
            </w:r>
            <w:r>
              <w:rPr>
                <w:rFonts w:hint="eastAsia" w:ascii="Times New Roman" w:hAnsi="Times New Roman" w:cs="Times New Roman"/>
                <w:bCs/>
                <w:kern w:val="0"/>
                <w:szCs w:val="21"/>
              </w:rPr>
              <w:t>6</w:t>
            </w:r>
            <w:r>
              <w:rPr>
                <w:rFonts w:ascii="Times New Roman" w:hAnsi="Times New Roman"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713" w:type="dxa"/>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2.1.2</w:t>
            </w:r>
          </w:p>
        </w:tc>
        <w:tc>
          <w:tcPr>
            <w:tcW w:w="1246" w:type="dxa"/>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资格评审标准</w:t>
            </w:r>
          </w:p>
        </w:tc>
        <w:tc>
          <w:tcPr>
            <w:tcW w:w="2042" w:type="dxa"/>
            <w:tcMar>
              <w:left w:w="75" w:type="dxa"/>
            </w:tcMar>
            <w:vAlign w:val="center"/>
          </w:tcPr>
          <w:p>
            <w:pPr>
              <w:widowControl/>
              <w:adjustRightInd w:val="0"/>
              <w:snapToGrid w:val="0"/>
              <w:spacing w:line="360" w:lineRule="atLeast"/>
              <w:jc w:val="center"/>
              <w:rPr>
                <w:rFonts w:ascii="Times New Roman" w:hAnsi="Times New Roman" w:cs="Times New Roman"/>
                <w:kern w:val="0"/>
                <w:szCs w:val="21"/>
              </w:rPr>
            </w:pPr>
            <w:r>
              <w:rPr>
                <w:rFonts w:hint="eastAsia" w:ascii="Times New Roman" w:hAnsi="Times New Roman" w:cs="Times New Roman"/>
                <w:kern w:val="0"/>
                <w:szCs w:val="21"/>
              </w:rPr>
              <w:t>资质条件、能力、信誉</w:t>
            </w:r>
          </w:p>
        </w:tc>
        <w:tc>
          <w:tcPr>
            <w:tcW w:w="5637" w:type="dxa"/>
            <w:tcMar>
              <w:left w:w="75" w:type="dxa"/>
            </w:tcMar>
            <w:vAlign w:val="center"/>
          </w:tcPr>
          <w:p>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w:t>
            </w:r>
            <w:r>
              <w:rPr>
                <w:rFonts w:hint="eastAsia" w:ascii="Times New Roman" w:hAnsi="Times New Roman" w:cs="Times New Roman"/>
                <w:kern w:val="0"/>
                <w:szCs w:val="21"/>
              </w:rPr>
              <w:t>2</w:t>
            </w:r>
            <w:r>
              <w:rPr>
                <w:rFonts w:ascii="Times New Roman" w:hAnsi="Times New Roman"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713"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2.1.3</w:t>
            </w:r>
          </w:p>
        </w:tc>
        <w:tc>
          <w:tcPr>
            <w:tcW w:w="1246"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响应性评审标准</w:t>
            </w:r>
          </w:p>
        </w:tc>
        <w:tc>
          <w:tcPr>
            <w:tcW w:w="2042" w:type="dxa"/>
            <w:tcMar>
              <w:left w:w="75" w:type="dxa"/>
            </w:tcMar>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报价内容</w:t>
            </w:r>
          </w:p>
        </w:tc>
        <w:tc>
          <w:tcPr>
            <w:tcW w:w="5637"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rPr>
              <w:t>符合</w:t>
            </w:r>
            <w:r>
              <w:rPr>
                <w:rFonts w:ascii="Times New Roman" w:hAnsi="Times New Roman" w:cs="Times New Roman"/>
              </w:rPr>
              <w:t>第一章“</w:t>
            </w:r>
            <w:r>
              <w:rPr>
                <w:rFonts w:hint="eastAsia" w:ascii="Times New Roman" w:hAnsi="Times New Roman" w:cs="Times New Roman"/>
                <w:szCs w:val="21"/>
              </w:rPr>
              <w:t>采购公告</w:t>
            </w:r>
            <w:r>
              <w:rPr>
                <w:rFonts w:ascii="Times New Roman" w:hAnsi="Times New Roman"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713"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24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2042" w:type="dxa"/>
            <w:tcMar>
              <w:left w:w="75" w:type="dxa"/>
            </w:tcMar>
            <w:vAlign w:val="center"/>
          </w:tcPr>
          <w:p>
            <w:pPr>
              <w:widowControl/>
              <w:adjustRightInd w:val="0"/>
              <w:snapToGrid w:val="0"/>
              <w:spacing w:line="360" w:lineRule="atLeast"/>
              <w:jc w:val="center"/>
              <w:rPr>
                <w:rFonts w:ascii="Times New Roman" w:hAnsi="Times New Roman" w:cs="Times New Roman"/>
                <w:kern w:val="0"/>
                <w:szCs w:val="21"/>
              </w:rPr>
            </w:pPr>
            <w:r>
              <w:rPr>
                <w:rFonts w:hint="eastAsia" w:ascii="Times New Roman" w:hAnsi="Times New Roman" w:cs="Times New Roman"/>
                <w:kern w:val="0"/>
                <w:szCs w:val="21"/>
              </w:rPr>
              <w:t>服务期</w:t>
            </w:r>
          </w:p>
        </w:tc>
        <w:tc>
          <w:tcPr>
            <w:tcW w:w="5637"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符合第一章</w:t>
            </w:r>
            <w:r>
              <w:rPr>
                <w:rFonts w:ascii="Times New Roman" w:hAnsi="Times New Roman" w:cs="Times New Roman"/>
                <w:kern w:val="0"/>
                <w:szCs w:val="21"/>
              </w:rPr>
              <w:t>“</w:t>
            </w:r>
            <w:r>
              <w:rPr>
                <w:rFonts w:hint="eastAsia" w:ascii="Times New Roman" w:hAnsi="Times New Roman" w:cs="Times New Roman"/>
                <w:kern w:val="0"/>
                <w:szCs w:val="21"/>
              </w:rPr>
              <w:t>采购公告</w:t>
            </w:r>
            <w:r>
              <w:rPr>
                <w:rFonts w:ascii="Times New Roman" w:hAnsi="Times New Roman" w:cs="Times New Roman"/>
                <w:kern w:val="0"/>
                <w:szCs w:val="21"/>
              </w:rPr>
              <w:t>”</w:t>
            </w:r>
            <w:r>
              <w:rPr>
                <w:rFonts w:hint="eastAsia" w:ascii="Times New Roman" w:hAnsi="Times New Roman" w:cs="Times New Roman"/>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713"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24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2042" w:type="dxa"/>
            <w:tcMar>
              <w:left w:w="75" w:type="dxa"/>
            </w:tcMar>
            <w:vAlign w:val="center"/>
          </w:tcPr>
          <w:p>
            <w:pPr>
              <w:widowControl/>
              <w:adjustRightInd w:val="0"/>
              <w:snapToGrid w:val="0"/>
              <w:spacing w:line="360" w:lineRule="atLeast"/>
              <w:jc w:val="center"/>
              <w:rPr>
                <w:rFonts w:ascii="Times New Roman" w:hAnsi="Times New Roman" w:cs="Times New Roman"/>
                <w:kern w:val="0"/>
                <w:szCs w:val="21"/>
              </w:rPr>
            </w:pPr>
            <w:r>
              <w:rPr>
                <w:rFonts w:hint="eastAsia" w:ascii="Times New Roman" w:hAnsi="Times New Roman" w:cs="Times New Roman"/>
                <w:kern w:val="0"/>
                <w:szCs w:val="21"/>
              </w:rPr>
              <w:t>质量要求</w:t>
            </w:r>
          </w:p>
        </w:tc>
        <w:tc>
          <w:tcPr>
            <w:tcW w:w="5637"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符合第二章</w:t>
            </w:r>
            <w:r>
              <w:rPr>
                <w:rFonts w:ascii="Times New Roman" w:hAnsi="Times New Roman" w:cs="Times New Roman"/>
                <w:kern w:val="0"/>
                <w:szCs w:val="21"/>
              </w:rPr>
              <w:t>“</w:t>
            </w:r>
            <w:r>
              <w:rPr>
                <w:rFonts w:hint="eastAsia" w:ascii="Times New Roman" w:hAnsi="Times New Roman" w:cs="Times New Roman"/>
                <w:kern w:val="0"/>
                <w:szCs w:val="21"/>
              </w:rPr>
              <w:t>供应商须知</w:t>
            </w:r>
            <w:r>
              <w:rPr>
                <w:rFonts w:ascii="Times New Roman" w:hAnsi="Times New Roman" w:cs="Times New Roman"/>
                <w:kern w:val="0"/>
                <w:szCs w:val="21"/>
              </w:rPr>
              <w:t>”</w:t>
            </w:r>
            <w:r>
              <w:rPr>
                <w:rFonts w:hint="eastAsia" w:ascii="Times New Roman" w:hAnsi="Times New Roman" w:cs="Times New Roman"/>
                <w:kern w:val="0"/>
                <w:szCs w:val="21"/>
              </w:rPr>
              <w:t xml:space="preserve">第 </w:t>
            </w:r>
            <w:r>
              <w:rPr>
                <w:rFonts w:ascii="Times New Roman" w:hAnsi="Times New Roman" w:cs="Times New Roman"/>
                <w:kern w:val="0"/>
                <w:szCs w:val="21"/>
              </w:rPr>
              <w:t xml:space="preserve">1.1.1 </w:t>
            </w:r>
            <w:r>
              <w:rPr>
                <w:rFonts w:hint="eastAsia" w:ascii="Times New Roman" w:hAnsi="Times New Roman"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713"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24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2042" w:type="dxa"/>
            <w:tcMar>
              <w:left w:w="75" w:type="dxa"/>
            </w:tcMar>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询比文件的获取</w:t>
            </w:r>
          </w:p>
        </w:tc>
        <w:tc>
          <w:tcPr>
            <w:tcW w:w="5637"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符合第一章“</w:t>
            </w:r>
            <w:r>
              <w:rPr>
                <w:rFonts w:hint="eastAsia" w:ascii="Times New Roman" w:hAnsi="Times New Roman" w:cs="Times New Roman"/>
                <w:kern w:val="0"/>
                <w:szCs w:val="21"/>
              </w:rPr>
              <w:t>采购公告</w:t>
            </w:r>
            <w:r>
              <w:rPr>
                <w:rFonts w:ascii="Times New Roman" w:hAnsi="Times New Roman" w:cs="Times New Roman"/>
                <w:kern w:val="0"/>
                <w:szCs w:val="21"/>
              </w:rPr>
              <w:t>”</w:t>
            </w:r>
            <w:r>
              <w:rPr>
                <w:rFonts w:hint="eastAsia" w:ascii="Times New Roman" w:hAnsi="Times New Roman" w:cs="Times New Roman"/>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713"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24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2042"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center"/>
              <w:rPr>
                <w:rFonts w:ascii="Times New Roman" w:hAnsi="Times New Roman" w:cs="Times New Roman"/>
                <w:bCs/>
                <w:kern w:val="0"/>
                <w:szCs w:val="21"/>
              </w:rPr>
            </w:pPr>
            <w:r>
              <w:rPr>
                <w:rFonts w:hint="eastAsia" w:ascii="Times New Roman" w:hAnsi="Times New Roman" w:cs="Times New Roman"/>
                <w:bCs/>
                <w:kern w:val="0"/>
                <w:szCs w:val="21"/>
              </w:rPr>
              <w:t>联合体</w:t>
            </w:r>
          </w:p>
        </w:tc>
        <w:tc>
          <w:tcPr>
            <w:tcW w:w="5637"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713"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24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2042"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bCs/>
                <w:kern w:val="0"/>
                <w:szCs w:val="21"/>
              </w:rPr>
              <w:t>分包</w:t>
            </w:r>
          </w:p>
        </w:tc>
        <w:tc>
          <w:tcPr>
            <w:tcW w:w="5637"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不得分包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24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2042"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center"/>
              <w:rPr>
                <w:rFonts w:ascii="Times New Roman" w:hAnsi="Times New Roman" w:cs="Times New Roman"/>
                <w:bCs/>
                <w:kern w:val="0"/>
                <w:szCs w:val="21"/>
              </w:rPr>
            </w:pPr>
            <w:r>
              <w:rPr>
                <w:rFonts w:ascii="Times New Roman" w:hAnsi="Times New Roman" w:cs="Times New Roman"/>
                <w:kern w:val="0"/>
                <w:szCs w:val="21"/>
              </w:rPr>
              <w:t>报价</w:t>
            </w:r>
          </w:p>
        </w:tc>
        <w:tc>
          <w:tcPr>
            <w:tcW w:w="5637"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（1）报价未超过询比文件设定的最高限价。</w:t>
            </w:r>
          </w:p>
          <w:p>
            <w:pPr>
              <w:widowControl/>
              <w:adjustRightInd w:val="0"/>
              <w:snapToGrid w:val="0"/>
              <w:spacing w:line="360" w:lineRule="atLeast"/>
              <w:jc w:val="left"/>
              <w:rPr>
                <w:rFonts w:ascii="Times New Roman" w:hAnsi="Times New Roman"/>
              </w:rPr>
            </w:pPr>
            <w:r>
              <w:rPr>
                <w:rFonts w:hint="eastAsia" w:ascii="Times New Roman" w:hAnsi="Times New Roman" w:cs="Times New Roman"/>
              </w:rPr>
              <w:t>（2）已标价的报价清单总报价和报价函的总报价一致（四舍五入除外）。</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）报价的大写数值能确定具体数值，未出现数量级错误、报价金额单位错误。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24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2042" w:type="dxa"/>
            <w:tcMar>
              <w:left w:w="75" w:type="dxa"/>
            </w:tcMar>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其他实质性要求</w:t>
            </w:r>
          </w:p>
        </w:tc>
        <w:tc>
          <w:tcPr>
            <w:tcW w:w="5637"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符合询比文件的其他实质性要求和条件</w:t>
            </w:r>
          </w:p>
        </w:tc>
      </w:tr>
    </w:tbl>
    <w:p>
      <w:pPr>
        <w:pStyle w:val="2"/>
      </w:pPr>
    </w:p>
    <w:tbl>
      <w:tblPr>
        <w:tblStyle w:val="23"/>
        <w:tblW w:w="96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1310"/>
        <w:gridCol w:w="2089"/>
        <w:gridCol w:w="55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826" w:type="dxa"/>
            <w:gridSpan w:val="2"/>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rPr>
            </w:pPr>
            <w:r>
              <w:rPr>
                <w:rFonts w:ascii="Times New Roman" w:hAnsi="Times New Roman" w:cs="Times New Roman"/>
                <w:b/>
                <w:szCs w:val="21"/>
              </w:rPr>
              <w:t>条款号</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rPr>
            </w:pPr>
            <w:r>
              <w:rPr>
                <w:rFonts w:ascii="Times New Roman" w:hAnsi="Times New Roman" w:cs="Times New Roman"/>
                <w:b/>
                <w:szCs w:val="21"/>
              </w:rPr>
              <w:t>量化因素</w:t>
            </w:r>
          </w:p>
        </w:tc>
        <w:tc>
          <w:tcPr>
            <w:tcW w:w="5056"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rPr>
            </w:pPr>
            <w:r>
              <w:rPr>
                <w:rFonts w:ascii="Times New Roman" w:hAnsi="Times New Roman" w:cs="Times New Roman"/>
                <w:b/>
                <w:szCs w:val="21"/>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2" w:type="dxa"/>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rPr>
            </w:pPr>
            <w:r>
              <w:rPr>
                <w:rFonts w:ascii="Times New Roman" w:hAnsi="Times New Roman" w:cs="Times New Roman"/>
                <w:szCs w:val="21"/>
              </w:rPr>
              <w:t>2.2</w:t>
            </w:r>
          </w:p>
        </w:tc>
        <w:tc>
          <w:tcPr>
            <w:tcW w:w="1194" w:type="dxa"/>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详细评审标准</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评审价计算</w:t>
            </w:r>
          </w:p>
        </w:tc>
        <w:tc>
          <w:tcPr>
            <w:tcW w:w="50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sz w:val="32"/>
                <w:szCs w:val="32"/>
              </w:rPr>
            </w:pPr>
            <w:r>
              <w:rPr>
                <w:rFonts w:ascii="Times New Roman" w:hAnsi="Times New Roman" w:cs="Times New Roman"/>
                <w:kern w:val="0"/>
                <w:szCs w:val="21"/>
              </w:rPr>
              <w:t>评审价＝报价函文字报价</w:t>
            </w:r>
            <w:r>
              <w:rPr>
                <w:rFonts w:hint="eastAsia" w:ascii="Times New Roman" w:hAnsi="Times New Roman" w:cs="Times New Roman"/>
                <w:szCs w:val="21"/>
              </w:rPr>
              <w:t>（大小写不一致时以大写为准）</w:t>
            </w:r>
          </w:p>
        </w:tc>
      </w:tr>
    </w:tbl>
    <w:p>
      <w:pPr>
        <w:keepNext/>
        <w:keepLines/>
        <w:spacing w:before="120" w:beforeLines="50" w:after="120"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cs="Times New Roman"/>
        </w:rPr>
      </w:pPr>
      <w:r>
        <w:rPr>
          <w:rFonts w:ascii="Times New Roman" w:hAnsi="Times New Roman" w:cs="Times New Roman"/>
        </w:rPr>
        <w:t>本次评</w:t>
      </w:r>
      <w:r>
        <w:rPr>
          <w:rFonts w:hint="eastAsia" w:ascii="Times New Roman" w:hAnsi="Times New Roman" w:cs="Times New Roman"/>
        </w:rPr>
        <w:t>审</w:t>
      </w:r>
      <w:r>
        <w:rPr>
          <w:rFonts w:ascii="Times New Roman" w:hAnsi="Times New Roman" w:cs="Times New Roman"/>
        </w:rPr>
        <w:t>采用经评审的最低价法。</w:t>
      </w:r>
      <w:r>
        <w:rPr>
          <w:rFonts w:hint="eastAsia" w:ascii="Times New Roman" w:hAnsi="Times New Roman" w:cs="Times New Roman"/>
        </w:rPr>
        <w:t>评审小组</w:t>
      </w:r>
      <w:r>
        <w:rPr>
          <w:rFonts w:ascii="Times New Roman" w:hAnsi="Times New Roman" w:cs="Times New Roman"/>
        </w:rPr>
        <w:t>对满足</w:t>
      </w:r>
      <w:r>
        <w:rPr>
          <w:rFonts w:hint="eastAsia" w:ascii="Times New Roman" w:hAnsi="Times New Roman" w:cs="Times New Roman"/>
        </w:rPr>
        <w:t>询比文件</w:t>
      </w:r>
      <w:r>
        <w:rPr>
          <w:rFonts w:ascii="Times New Roman" w:hAnsi="Times New Roman" w:cs="Times New Roman"/>
        </w:rPr>
        <w:t>实质性要求的</w:t>
      </w:r>
      <w:r>
        <w:rPr>
          <w:rFonts w:hint="eastAsia" w:ascii="Times New Roman" w:hAnsi="Times New Roman" w:cs="Times New Roman"/>
        </w:rPr>
        <w:t>响应</w:t>
      </w:r>
      <w:r>
        <w:rPr>
          <w:rFonts w:ascii="Times New Roman" w:hAnsi="Times New Roman" w:cs="Times New Roman"/>
        </w:rPr>
        <w:t>文件，按照</w:t>
      </w:r>
      <w:r>
        <w:rPr>
          <w:rFonts w:hint="eastAsia" w:ascii="Times New Roman" w:hAnsi="Times New Roman" w:cs="Times New Roman"/>
        </w:rPr>
        <w:t>评审</w:t>
      </w:r>
      <w:r>
        <w:rPr>
          <w:rFonts w:ascii="Times New Roman" w:hAnsi="Times New Roman" w:cs="Times New Roman"/>
        </w:rPr>
        <w:t>价由低到高的顺序依次推荐</w:t>
      </w:r>
      <w:r>
        <w:rPr>
          <w:rFonts w:hint="eastAsia" w:ascii="Times New Roman" w:hAnsi="Times New Roman" w:cs="Times New Roman"/>
        </w:rPr>
        <w:t>成交候选人</w:t>
      </w:r>
      <w:r>
        <w:rPr>
          <w:rFonts w:ascii="Times New Roman" w:hAnsi="Times New Roman" w:cs="Times New Roman"/>
        </w:rPr>
        <w:t>。如</w:t>
      </w:r>
      <w:r>
        <w:rPr>
          <w:rFonts w:hint="eastAsia" w:ascii="Times New Roman" w:hAnsi="Times New Roman" w:cs="Times New Roman"/>
        </w:rPr>
        <w:t>报价</w:t>
      </w:r>
      <w:r>
        <w:rPr>
          <w:rFonts w:ascii="Times New Roman" w:hAnsi="Times New Roman" w:cs="Times New Roman"/>
        </w:rPr>
        <w:t>相同的，按照</w:t>
      </w:r>
      <w:r>
        <w:rPr>
          <w:rFonts w:hint="eastAsia" w:ascii="Times New Roman" w:hAnsi="Times New Roman" w:cs="Times New Roman"/>
        </w:rPr>
        <w:t>评审</w:t>
      </w:r>
      <w:r>
        <w:rPr>
          <w:rFonts w:ascii="Times New Roman" w:hAnsi="Times New Roman" w:cs="Times New Roman"/>
        </w:rPr>
        <w:t>办法前附表中的规定确定</w:t>
      </w:r>
      <w:r>
        <w:rPr>
          <w:rFonts w:hint="eastAsia" w:ascii="Times New Roman" w:hAnsi="Times New Roman" w:cs="Times New Roman"/>
        </w:rPr>
        <w:t>成交候选人</w:t>
      </w:r>
      <w:r>
        <w:rPr>
          <w:rFonts w:ascii="Times New Roman" w:hAnsi="Times New Roman" w:cs="Times New Roman"/>
        </w:rPr>
        <w:t>顺序。</w:t>
      </w:r>
    </w:p>
    <w:p>
      <w:pPr>
        <w:keepNext/>
        <w:keepLines/>
        <w:spacing w:before="120" w:beforeLines="50" w:after="12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cs="Times New Roman"/>
        </w:rPr>
      </w:pPr>
      <w:r>
        <w:rPr>
          <w:rFonts w:ascii="Times New Roman" w:hAnsi="Times New Roman" w:cs="Times New Roman"/>
        </w:rPr>
        <w:t>2.1.1 形式评审标准：见评审办法前附表。</w:t>
      </w:r>
    </w:p>
    <w:p>
      <w:pPr>
        <w:spacing w:line="440" w:lineRule="exact"/>
        <w:ind w:firstLine="420"/>
        <w:rPr>
          <w:rFonts w:ascii="Times New Roman" w:hAnsi="Times New Roman" w:cs="Times New Roman"/>
        </w:rPr>
      </w:pPr>
      <w:r>
        <w:rPr>
          <w:rFonts w:ascii="Times New Roman" w:hAnsi="Times New Roman" w:cs="Times New Roman"/>
        </w:rPr>
        <w:t>2.1.2 资格评审标准：见评审办法前附表。</w:t>
      </w:r>
    </w:p>
    <w:p>
      <w:pPr>
        <w:spacing w:line="440" w:lineRule="exact"/>
        <w:ind w:firstLine="420"/>
        <w:rPr>
          <w:rFonts w:ascii="Times New Roman" w:hAnsi="Times New Roman" w:cs="Times New Roman"/>
        </w:rPr>
      </w:pPr>
      <w:r>
        <w:rPr>
          <w:rFonts w:ascii="Times New Roman" w:hAnsi="Times New Roman"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详细评审标准</w:t>
      </w:r>
    </w:p>
    <w:p>
      <w:pPr>
        <w:spacing w:line="440" w:lineRule="exact"/>
        <w:ind w:firstLine="420"/>
        <w:rPr>
          <w:rFonts w:ascii="Times New Roman" w:hAnsi="Times New Roman" w:cs="Times New Roman"/>
        </w:rPr>
      </w:pPr>
      <w:r>
        <w:rPr>
          <w:rFonts w:ascii="Times New Roman" w:hAnsi="Times New Roman" w:cs="Times New Roman"/>
        </w:rPr>
        <w:t>详细评审标准：见评审办法前附表。</w:t>
      </w:r>
    </w:p>
    <w:p>
      <w:pPr>
        <w:keepNext/>
        <w:keepLines/>
        <w:spacing w:before="120" w:beforeLines="50" w:after="12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cs="Times New Roman"/>
        </w:rPr>
      </w:pPr>
      <w:r>
        <w:rPr>
          <w:rFonts w:ascii="Times New Roman" w:hAnsi="Times New Roman" w:cs="Times New Roman"/>
        </w:rPr>
        <w:t>3.1.1</w:t>
      </w:r>
      <w:r>
        <w:rPr>
          <w:rFonts w:hint="eastAsia" w:ascii="Times New Roman" w:hAnsi="Times New Roman" w:cs="Times New Roman"/>
        </w:rPr>
        <w:t>评审小组</w:t>
      </w:r>
      <w:r>
        <w:rPr>
          <w:rFonts w:ascii="Times New Roman" w:hAnsi="Times New Roman" w:cs="Times New Roman"/>
        </w:rPr>
        <w:t>依据本章第2.1.1项、第2.1.2项、第2.1.3项规定的标准对响应文件进行评审。有一项不符合评审标准的，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 xml:space="preserve">2 </w:t>
      </w:r>
      <w:r>
        <w:rPr>
          <w:rFonts w:ascii="Times New Roman" w:hAnsi="Times New Roman" w:cs="Times New Roman"/>
        </w:rPr>
        <w:t>响应文件中填报</w:t>
      </w:r>
      <w:r>
        <w:rPr>
          <w:rFonts w:hint="eastAsia" w:ascii="Times New Roman" w:hAnsi="Times New Roman" w:cs="Times New Roman"/>
        </w:rPr>
        <w:t>服务期</w:t>
      </w:r>
      <w:r>
        <w:rPr>
          <w:rFonts w:ascii="Times New Roman" w:hAnsi="Times New Roman" w:cs="Times New Roman"/>
        </w:rPr>
        <w:t>、质量</w:t>
      </w:r>
      <w:r>
        <w:rPr>
          <w:rFonts w:hint="eastAsia" w:ascii="Times New Roman" w:hAnsi="Times New Roman" w:cs="Times New Roman"/>
        </w:rPr>
        <w:t>要求</w:t>
      </w:r>
      <w:r>
        <w:rPr>
          <w:rFonts w:ascii="Times New Roman" w:hAnsi="Times New Roman" w:cs="Times New Roman"/>
        </w:rPr>
        <w:t>、</w:t>
      </w:r>
      <w:r>
        <w:rPr>
          <w:rFonts w:hint="eastAsia" w:ascii="Times New Roman" w:hAnsi="Times New Roman" w:cs="Times New Roman"/>
        </w:rPr>
        <w:t>响应保证金名称</w:t>
      </w:r>
      <w:r>
        <w:rPr>
          <w:rFonts w:ascii="Times New Roman" w:hAnsi="Times New Roman" w:cs="Times New Roman"/>
        </w:rPr>
        <w:t>前后不一致时，</w:t>
      </w:r>
      <w:r>
        <w:rPr>
          <w:rFonts w:hint="eastAsia" w:ascii="Times New Roman" w:hAnsi="Times New Roman" w:cs="Times New Roman"/>
        </w:rPr>
        <w:t>按细微偏差处理。</w:t>
      </w:r>
    </w:p>
    <w:p>
      <w:pPr>
        <w:keepNext/>
        <w:keepLines/>
        <w:spacing w:before="120" w:after="120"/>
        <w:outlineLvl w:val="2"/>
        <w:rPr>
          <w:rFonts w:ascii="Times New Roman" w:hAnsi="Times New Roman" w:cs="Times New Roman"/>
        </w:rPr>
      </w:pPr>
      <w:r>
        <w:rPr>
          <w:rFonts w:ascii="Times New Roman" w:hAnsi="Times New Roman" w:eastAsia="黑体" w:cs="Times New Roman"/>
          <w:bCs/>
          <w:sz w:val="24"/>
          <w:szCs w:val="32"/>
        </w:rPr>
        <w:t>3.2 详细评审</w:t>
      </w:r>
    </w:p>
    <w:p>
      <w:pPr>
        <w:spacing w:line="440" w:lineRule="exact"/>
        <w:ind w:firstLine="44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按本章第2.2款规定</w:t>
      </w:r>
      <w:r>
        <w:rPr>
          <w:rFonts w:hint="eastAsia" w:ascii="Times New Roman" w:hAnsi="Times New Roman" w:cs="Times New Roman"/>
        </w:rPr>
        <w:t>进行评审价排序</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应对在评审过程中发现供应商存在串通报价、弄虚作假、行贿等违法行为的，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3.4响应文件的澄清和说明或补正</w:t>
      </w:r>
    </w:p>
    <w:p>
      <w:pPr>
        <w:spacing w:line="440" w:lineRule="exact"/>
        <w:ind w:firstLine="420"/>
        <w:rPr>
          <w:rFonts w:ascii="Times New Roman" w:hAnsi="Times New Roman" w:cs="Times New Roman"/>
        </w:rPr>
      </w:pPr>
      <w:r>
        <w:rPr>
          <w:rFonts w:ascii="Times New Roman" w:hAnsi="Times New Roman" w:cs="Times New Roman"/>
        </w:rPr>
        <w:t>3.4.1 在评审过程中，</w:t>
      </w:r>
      <w:r>
        <w:rPr>
          <w:rFonts w:hint="eastAsia" w:ascii="Times New Roman" w:hAnsi="Times New Roman" w:cs="Times New Roman"/>
        </w:rPr>
        <w:t>评审小组</w:t>
      </w:r>
      <w:r>
        <w:rPr>
          <w:rFonts w:ascii="Times New Roman" w:hAnsi="Times New Roman" w:cs="Times New Roman"/>
        </w:rPr>
        <w:t>可以书面形式要求供应商对响应文件中含义不明确、对同类问题表述不一致或者有明显文字</w:t>
      </w:r>
      <w:r>
        <w:rPr>
          <w:rFonts w:hint="eastAsia" w:ascii="Times New Roman" w:hAnsi="Times New Roman" w:cs="Times New Roman"/>
        </w:rPr>
        <w:t>错误</w:t>
      </w:r>
      <w:r>
        <w:rPr>
          <w:rFonts w:ascii="Times New Roman" w:hAnsi="Times New Roman" w:cs="Times New Roman"/>
        </w:rPr>
        <w:t>的内容做必要的澄清。</w:t>
      </w:r>
      <w:r>
        <w:rPr>
          <w:rFonts w:hint="eastAsia" w:ascii="Times New Roman" w:hAnsi="Times New Roman" w:cs="Times New Roman"/>
        </w:rPr>
        <w:t>评审小组</w:t>
      </w:r>
      <w:r>
        <w:rPr>
          <w:rFonts w:ascii="Times New Roman" w:hAnsi="Times New Roman" w:cs="Times New Roman"/>
        </w:rPr>
        <w:t>不接受供应商主动提出的澄清。</w:t>
      </w:r>
    </w:p>
    <w:p>
      <w:pPr>
        <w:spacing w:line="440" w:lineRule="exact"/>
        <w:ind w:firstLine="420"/>
        <w:rPr>
          <w:rFonts w:ascii="Times New Roman" w:hAnsi="Times New Roman" w:cs="Times New Roman"/>
        </w:rPr>
      </w:pPr>
      <w:r>
        <w:rPr>
          <w:rFonts w:ascii="Times New Roman" w:hAnsi="Times New Roman"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3.5 评审结果</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完成评审后，应当向采购人提交评审报告。评审报告应当如实记载以下内容：</w:t>
      </w:r>
    </w:p>
    <w:p>
      <w:pPr>
        <w:spacing w:line="440" w:lineRule="exact"/>
        <w:ind w:firstLine="420"/>
        <w:rPr>
          <w:rFonts w:ascii="Times New Roman" w:hAnsi="Times New Roman" w:cs="Times New Roman"/>
        </w:rPr>
      </w:pPr>
      <w:bookmarkStart w:id="128" w:name="_Toc21524_WPSOffice_Level2"/>
      <w:bookmarkStart w:id="129" w:name="_Toc12245_WPSOffice_Level2"/>
      <w:bookmarkStart w:id="130" w:name="_Toc218_WPSOffice_Level2"/>
      <w:r>
        <w:rPr>
          <w:rFonts w:ascii="Times New Roman" w:hAnsi="Times New Roman" w:cs="Times New Roman"/>
        </w:rPr>
        <w:t>（一）采购项目基本情况</w:t>
      </w:r>
      <w:bookmarkEnd w:id="128"/>
      <w:bookmarkEnd w:id="129"/>
      <w:bookmarkEnd w:id="130"/>
    </w:p>
    <w:p>
      <w:pPr>
        <w:spacing w:line="440" w:lineRule="exact"/>
        <w:ind w:firstLine="420"/>
        <w:rPr>
          <w:rFonts w:ascii="Times New Roman" w:hAnsi="Times New Roman" w:cs="Times New Roman"/>
        </w:rPr>
      </w:pPr>
      <w:bookmarkStart w:id="131" w:name="_Toc8414_WPSOffice_Level2"/>
      <w:bookmarkStart w:id="132" w:name="_Toc5856_WPSOffice_Level2"/>
      <w:bookmarkStart w:id="133" w:name="_Toc31322_WPSOffice_Level2"/>
      <w:r>
        <w:rPr>
          <w:rFonts w:ascii="Times New Roman" w:hAnsi="Times New Roman" w:cs="Times New Roman"/>
        </w:rPr>
        <w:t>（二）采购过程回顾</w:t>
      </w:r>
      <w:bookmarkEnd w:id="131"/>
      <w:bookmarkEnd w:id="132"/>
      <w:bookmarkEnd w:id="133"/>
    </w:p>
    <w:p>
      <w:pPr>
        <w:spacing w:line="440" w:lineRule="exact"/>
        <w:ind w:firstLine="420"/>
        <w:rPr>
          <w:rFonts w:ascii="Times New Roman" w:hAnsi="Times New Roman" w:cs="Times New Roman"/>
        </w:rPr>
      </w:pPr>
      <w:bookmarkStart w:id="134" w:name="_Toc1346_WPSOffice_Level2"/>
      <w:bookmarkStart w:id="135" w:name="_Toc15620_WPSOffice_Level2"/>
      <w:bookmarkStart w:id="136" w:name="_Toc2932_WPSOffice_Level2"/>
      <w:r>
        <w:rPr>
          <w:rFonts w:ascii="Times New Roman" w:hAnsi="Times New Roman" w:cs="Times New Roman"/>
        </w:rPr>
        <w:t>（三）评审小组成员名单</w:t>
      </w:r>
      <w:bookmarkEnd w:id="134"/>
      <w:bookmarkEnd w:id="135"/>
      <w:bookmarkEnd w:id="136"/>
    </w:p>
    <w:p>
      <w:pPr>
        <w:spacing w:line="440" w:lineRule="exact"/>
        <w:ind w:firstLine="420"/>
        <w:rPr>
          <w:rFonts w:ascii="Times New Roman" w:hAnsi="Times New Roman" w:cs="Times New Roman"/>
        </w:rPr>
      </w:pPr>
      <w:bookmarkStart w:id="137" w:name="_Toc14207_WPSOffice_Level2"/>
      <w:bookmarkStart w:id="138" w:name="_Toc14464_WPSOffice_Level2"/>
      <w:bookmarkStart w:id="139" w:name="_Toc32316_WPSOffice_Level2"/>
      <w:r>
        <w:rPr>
          <w:rFonts w:ascii="Times New Roman" w:hAnsi="Times New Roman" w:cs="Times New Roman"/>
        </w:rPr>
        <w:t>（四）询比评审工作</w:t>
      </w:r>
      <w:bookmarkEnd w:id="137"/>
      <w:bookmarkEnd w:id="138"/>
      <w:bookmarkEnd w:id="139"/>
    </w:p>
    <w:p>
      <w:pPr>
        <w:spacing w:line="440" w:lineRule="exact"/>
        <w:ind w:firstLine="420"/>
        <w:rPr>
          <w:rFonts w:ascii="Times New Roman" w:hAnsi="Times New Roman" w:cs="Times New Roman"/>
        </w:rPr>
      </w:pPr>
      <w:r>
        <w:rPr>
          <w:rFonts w:ascii="Times New Roman" w:hAnsi="Times New Roman" w:cs="Times New Roman"/>
        </w:rPr>
        <w:t>1、评审办法</w:t>
      </w:r>
    </w:p>
    <w:p>
      <w:pPr>
        <w:spacing w:line="440" w:lineRule="exact"/>
        <w:ind w:firstLine="420"/>
        <w:rPr>
          <w:rFonts w:ascii="Times New Roman" w:hAnsi="Times New Roman" w:cs="Times New Roman"/>
        </w:rPr>
      </w:pPr>
      <w:r>
        <w:rPr>
          <w:rFonts w:ascii="Times New Roman" w:hAnsi="Times New Roman" w:cs="Times New Roman"/>
        </w:rPr>
        <w:t>2、初步评审情况（资格审查、形式性审查、响应性审查）</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详细</w:t>
      </w:r>
      <w:r>
        <w:rPr>
          <w:rFonts w:ascii="Times New Roman" w:hAnsi="Times New Roman" w:cs="Times New Roman"/>
        </w:rPr>
        <w:t>评审情况</w:t>
      </w:r>
      <w:r>
        <w:rPr>
          <w:rFonts w:hint="eastAsia" w:ascii="Times New Roman" w:hAnsi="Times New Roman" w:cs="Times New Roman"/>
        </w:rPr>
        <w:t>（供应商的评审价评审情况）</w:t>
      </w:r>
    </w:p>
    <w:p>
      <w:pPr>
        <w:spacing w:line="440" w:lineRule="exact"/>
        <w:ind w:firstLine="420"/>
        <w:rPr>
          <w:rFonts w:ascii="Times New Roman" w:hAnsi="Times New Roman" w:cs="Times New Roman"/>
        </w:rPr>
      </w:pPr>
      <w:r>
        <w:rPr>
          <w:rFonts w:ascii="Times New Roman" w:hAnsi="Times New Roman" w:cs="Times New Roman"/>
        </w:rPr>
        <w:t>4、否决的供应商名单以及否决理由</w:t>
      </w:r>
    </w:p>
    <w:p>
      <w:pPr>
        <w:spacing w:line="440" w:lineRule="exact"/>
        <w:ind w:firstLine="420"/>
        <w:rPr>
          <w:rFonts w:ascii="Times New Roman" w:hAnsi="Times New Roman" w:cs="Times New Roman"/>
        </w:rPr>
      </w:pPr>
      <w:r>
        <w:rPr>
          <w:rFonts w:ascii="Times New Roman" w:hAnsi="Times New Roman" w:cs="Times New Roman"/>
        </w:rPr>
        <w:t>5、推荐候选供应商排序</w:t>
      </w:r>
    </w:p>
    <w:p>
      <w:pPr>
        <w:spacing w:line="440" w:lineRule="exact"/>
        <w:ind w:firstLine="420"/>
        <w:rPr>
          <w:rFonts w:ascii="Times New Roman" w:hAnsi="Times New Roman" w:cs="Times New Roman"/>
        </w:rPr>
      </w:pPr>
      <w:bookmarkStart w:id="140" w:name="_Toc13397_WPSOffice_Level2"/>
      <w:bookmarkStart w:id="141" w:name="_Toc3913_WPSOffice_Level2"/>
      <w:bookmarkStart w:id="142" w:name="_Toc5114_WPSOffice_Level2"/>
      <w:r>
        <w:rPr>
          <w:rFonts w:ascii="Times New Roman" w:hAnsi="Times New Roman" w:cs="Times New Roman"/>
        </w:rPr>
        <w:t>（五）需要说明的其他事项</w:t>
      </w:r>
      <w:bookmarkEnd w:id="140"/>
      <w:bookmarkEnd w:id="141"/>
      <w:bookmarkEnd w:id="142"/>
    </w:p>
    <w:p>
      <w:pPr>
        <w:spacing w:line="440" w:lineRule="exact"/>
        <w:ind w:firstLine="420"/>
        <w:rPr>
          <w:rFonts w:ascii="Times New Roman" w:hAnsi="Times New Roman" w:cs="Times New Roman"/>
        </w:rPr>
      </w:pPr>
      <w:bookmarkStart w:id="143" w:name="_Toc23800_WPSOffice_Level2"/>
      <w:bookmarkStart w:id="144" w:name="_Toc3031_WPSOffice_Level2"/>
      <w:bookmarkStart w:id="145" w:name="_Toc8934_WPSOffice_Level2"/>
      <w:r>
        <w:rPr>
          <w:rFonts w:ascii="Times New Roman" w:hAnsi="Times New Roman" w:cs="Times New Roman"/>
        </w:rPr>
        <w:t>（六）评审附表</w:t>
      </w:r>
      <w:bookmarkEnd w:id="143"/>
      <w:bookmarkEnd w:id="144"/>
      <w:bookmarkEnd w:id="145"/>
    </w:p>
    <w:p>
      <w:pPr>
        <w:spacing w:line="440" w:lineRule="exact"/>
        <w:ind w:firstLine="420"/>
        <w:rPr>
          <w:rFonts w:ascii="Times New Roman" w:hAnsi="Times New Roman" w:cs="Times New Roman"/>
        </w:rPr>
      </w:pPr>
      <w:r>
        <w:rPr>
          <w:rFonts w:ascii="Times New Roman" w:hAnsi="Times New Roman" w:cs="Times New Roman"/>
        </w:rPr>
        <w:t>1、响应文件开启记录表</w:t>
      </w:r>
    </w:p>
    <w:p>
      <w:pPr>
        <w:spacing w:line="440" w:lineRule="exact"/>
        <w:ind w:firstLine="420"/>
        <w:rPr>
          <w:rFonts w:ascii="Times New Roman" w:hAnsi="Times New Roman" w:cs="Times New Roman"/>
        </w:rPr>
      </w:pPr>
      <w:r>
        <w:rPr>
          <w:rFonts w:ascii="Times New Roman" w:hAnsi="Times New Roman" w:cs="Times New Roman"/>
        </w:rPr>
        <w:t>2、评审表格</w:t>
      </w:r>
    </w:p>
    <w:p>
      <w:pPr>
        <w:rPr>
          <w:rFonts w:ascii="Times New Roman" w:hAnsi="Times New Roman" w:cs="Times New Roman"/>
        </w:rPr>
      </w:pPr>
      <w:r>
        <w:rPr>
          <w:rFonts w:ascii="Times New Roman" w:hAnsi="Times New Roman" w:cs="Times New Roman"/>
        </w:rPr>
        <w:br w:type="page"/>
      </w:r>
    </w:p>
    <w:p>
      <w:pPr>
        <w:pStyle w:val="2"/>
        <w:rPr>
          <w:rFonts w:ascii="Times New Roman" w:hAnsi="Times New Roman"/>
        </w:rPr>
      </w:pPr>
    </w:p>
    <w:p>
      <w:pPr>
        <w:widowControl/>
        <w:jc w:val="left"/>
        <w:rPr>
          <w:rFonts w:ascii="Times New Roman" w:hAnsi="Times New Roman" w:eastAsia="宋体" w:cs="Times New Roman"/>
        </w:rPr>
      </w:pPr>
    </w:p>
    <w:p>
      <w:pPr>
        <w:rPr>
          <w:rFonts w:ascii="Times New Roman" w:hAnsi="Times New Roman" w:eastAsia="宋体" w:cs="Times New Roman"/>
        </w:rPr>
      </w:pPr>
    </w:p>
    <w:p>
      <w:pPr>
        <w:pStyle w:val="2"/>
        <w:rPr>
          <w:rFonts w:ascii="Times New Roman" w:hAnsi="Times New Roman" w:eastAsia="宋体" w:cs="Times New Roman"/>
        </w:rPr>
      </w:pPr>
    </w:p>
    <w:p>
      <w:pPr>
        <w:pStyle w:val="3"/>
        <w:outlineLvl w:val="9"/>
        <w:rPr>
          <w:rFonts w:ascii="Times New Roman" w:hAnsi="Times New Roman" w:eastAsia="宋体" w:cs="Times New Roman"/>
        </w:rPr>
      </w:pPr>
    </w:p>
    <w:p>
      <w:pPr>
        <w:rPr>
          <w:rFonts w:ascii="Times New Roman" w:hAnsi="Times New Roman" w:eastAsia="宋体" w:cs="Times New Roman"/>
        </w:rPr>
      </w:pPr>
    </w:p>
    <w:p>
      <w:pPr>
        <w:pStyle w:val="2"/>
        <w:rPr>
          <w:rFonts w:ascii="Times New Roman" w:hAnsi="Times New Roman" w:eastAsia="宋体" w:cs="Times New Roman"/>
        </w:rPr>
      </w:pPr>
    </w:p>
    <w:p>
      <w:pPr>
        <w:pStyle w:val="3"/>
        <w:outlineLvl w:val="9"/>
        <w:rPr>
          <w:rFonts w:ascii="Times New Roman" w:hAnsi="Times New Roman" w:eastAsia="宋体" w:cs="Times New Roman"/>
        </w:rPr>
      </w:pPr>
    </w:p>
    <w:p>
      <w:pPr>
        <w:rPr>
          <w:rFonts w:ascii="Times New Roman" w:hAnsi="Times New Roman" w:eastAsia="宋体" w:cs="Times New Roman"/>
        </w:rPr>
      </w:pPr>
    </w:p>
    <w:p>
      <w:pPr>
        <w:pStyle w:val="2"/>
        <w:rPr>
          <w:rFonts w:ascii="Times New Roman" w:hAnsi="Times New Roman" w:eastAsia="宋体" w:cs="Times New Roman"/>
        </w:rPr>
      </w:pPr>
    </w:p>
    <w:p>
      <w:pPr>
        <w:pStyle w:val="3"/>
        <w:jc w:val="both"/>
        <w:outlineLvl w:val="9"/>
        <w:rPr>
          <w:rFonts w:ascii="Times New Roman" w:hAnsi="Times New Roman" w:eastAsia="宋体" w:cs="Times New Roman"/>
        </w:rPr>
      </w:pPr>
    </w:p>
    <w:p/>
    <w:p/>
    <w:p>
      <w:pPr>
        <w:pStyle w:val="4"/>
        <w:numPr>
          <w:ilvl w:val="255"/>
          <w:numId w:val="0"/>
        </w:numPr>
        <w:spacing w:before="240" w:after="240"/>
        <w:rPr>
          <w:rFonts w:ascii="Times New Roman" w:hAnsi="Times New Roman" w:eastAsia="宋体" w:cs="Times New Roman"/>
        </w:rPr>
      </w:pPr>
      <w:bookmarkStart w:id="146" w:name="_Toc17480_WPSOffice_Level1"/>
      <w:r>
        <w:rPr>
          <w:rFonts w:hint="eastAsia" w:ascii="Times New Roman" w:hAnsi="Times New Roman" w:eastAsia="宋体" w:cs="Times New Roman"/>
        </w:rPr>
        <w:t xml:space="preserve">第四章 </w:t>
      </w:r>
      <w:r>
        <w:rPr>
          <w:rFonts w:ascii="Times New Roman" w:hAnsi="Times New Roman" w:eastAsia="宋体" w:cs="Times New Roman"/>
        </w:rPr>
        <w:t>合同内容</w:t>
      </w:r>
      <w:bookmarkEnd w:id="146"/>
    </w:p>
    <w:p>
      <w:pPr>
        <w:jc w:val="center"/>
        <w:rPr>
          <w:rFonts w:ascii="Times New Roman" w:hAnsi="Times New Roman" w:cs="Times New Roman"/>
          <w:sz w:val="28"/>
        </w:rPr>
      </w:pPr>
      <w:bookmarkStart w:id="147" w:name="_Toc16698_WPSOffice_Level2"/>
      <w:bookmarkStart w:id="148" w:name="_Toc447808679"/>
      <w:bookmarkStart w:id="149" w:name="_Toc12005"/>
      <w:r>
        <w:rPr>
          <w:rFonts w:ascii="Times New Roman" w:hAnsi="Times New Roman" w:cs="Times New Roman"/>
          <w:sz w:val="28"/>
        </w:rPr>
        <w:br w:type="page"/>
      </w:r>
    </w:p>
    <w:bookmarkEnd w:id="147"/>
    <w:bookmarkEnd w:id="148"/>
    <w:bookmarkEnd w:id="149"/>
    <w:p>
      <w:pPr>
        <w:spacing w:line="440" w:lineRule="exact"/>
        <w:ind w:firstLine="480"/>
        <w:rPr>
          <w:b/>
          <w:sz w:val="24"/>
        </w:rPr>
      </w:pPr>
      <w:bookmarkStart w:id="150" w:name="_bookmark259"/>
      <w:bookmarkEnd w:id="150"/>
      <w:bookmarkStart w:id="151" w:name="_Toc14756_WPSOffice_Level1"/>
      <w:r>
        <w:rPr>
          <w:rFonts w:hint="eastAsia"/>
          <w:b/>
          <w:sz w:val="24"/>
        </w:rPr>
        <w:t>甲乙双方可以根据实际情况自行选择合同格式，以实际签订的采购合同为准。</w:t>
      </w:r>
    </w:p>
    <w:p>
      <w:pPr>
        <w:jc w:val="center"/>
        <w:rPr>
          <w:rFonts w:ascii="宋体" w:hAnsi="宋体"/>
          <w:b/>
          <w:sz w:val="24"/>
        </w:rPr>
      </w:pPr>
    </w:p>
    <w:p>
      <w:pPr>
        <w:jc w:val="center"/>
        <w:rPr>
          <w:rFonts w:ascii="等线" w:hAnsi="等线" w:eastAsia="等线"/>
          <w:sz w:val="32"/>
          <w:szCs w:val="22"/>
        </w:rPr>
      </w:pPr>
      <w:r>
        <w:rPr>
          <w:rFonts w:ascii="等线" w:hAnsi="等线"/>
          <w:color w:val="000000"/>
          <w:sz w:val="27"/>
          <w:szCs w:val="22"/>
          <w:u w:val="single"/>
          <w:lang w:val="ru-RU"/>
        </w:rPr>
        <w:t xml:space="preserve">       </w:t>
      </w:r>
      <w:r>
        <w:rPr>
          <w:rFonts w:hint="eastAsia" w:ascii="等线" w:hAnsi="等线" w:eastAsia="等线"/>
          <w:sz w:val="32"/>
          <w:szCs w:val="22"/>
        </w:rPr>
        <w:t>采购合同</w:t>
      </w:r>
    </w:p>
    <w:p>
      <w:pPr>
        <w:jc w:val="center"/>
        <w:rPr>
          <w:rFonts w:ascii="等线" w:hAnsi="等线" w:eastAsia="等线"/>
          <w:szCs w:val="22"/>
        </w:rPr>
      </w:pPr>
      <w:r>
        <w:rPr>
          <w:rFonts w:hint="eastAsia" w:ascii="等线" w:hAnsi="等线" w:eastAsia="等线"/>
          <w:szCs w:val="22"/>
        </w:rPr>
        <w:t xml:space="preserve"> </w:t>
      </w:r>
      <w:r>
        <w:rPr>
          <w:rFonts w:ascii="等线" w:hAnsi="等线" w:eastAsia="等线"/>
          <w:szCs w:val="22"/>
        </w:rPr>
        <w:t xml:space="preserve">                                                      </w:t>
      </w:r>
      <w:r>
        <w:rPr>
          <w:rFonts w:hint="eastAsia" w:ascii="等线" w:hAnsi="等线" w:eastAsia="等线"/>
          <w:szCs w:val="22"/>
        </w:rPr>
        <w:t>合同编号：</w:t>
      </w:r>
      <w:r>
        <w:rPr>
          <w:rFonts w:hint="eastAsia" w:ascii="等线" w:hAnsi="等线" w:eastAsia="等线"/>
          <w:szCs w:val="22"/>
          <w:u w:val="single"/>
        </w:rPr>
        <w:t xml:space="preserve">       </w:t>
      </w:r>
    </w:p>
    <w:p>
      <w:pPr>
        <w:jc w:val="center"/>
        <w:rPr>
          <w:rFonts w:ascii="等线" w:hAnsi="等线" w:eastAsia="等线"/>
          <w:szCs w:val="22"/>
        </w:rPr>
      </w:pPr>
    </w:p>
    <w:p>
      <w:pPr>
        <w:spacing w:line="440" w:lineRule="exact"/>
        <w:ind w:firstLine="420"/>
        <w:rPr>
          <w:rFonts w:ascii="Times New Roman" w:hAnsi="Times New Roman" w:cs="Times New Roman"/>
        </w:rPr>
      </w:pPr>
      <w:r>
        <w:rPr>
          <w:rFonts w:hint="eastAsia" w:ascii="Times New Roman" w:hAnsi="Times New Roman" w:cs="Times New Roman"/>
        </w:rPr>
        <w:t>买方：</w:t>
      </w:r>
      <w:r>
        <w:rPr>
          <w:rFonts w:hint="eastAsia" w:ascii="Times New Roman" w:hAnsi="Times New Roman" w:cs="Times New Roman"/>
          <w:u w:val="single"/>
        </w:rPr>
        <w:t>安徽省高速公路试验检测科研中心有限公司</w:t>
      </w:r>
      <w:r>
        <w:rPr>
          <w:rFonts w:hint="eastAsia" w:ascii="Times New Roman" w:hAnsi="Times New Roman" w:cs="Times New Roman"/>
        </w:rPr>
        <w:t>（以下简称：“甲方”）</w:t>
      </w:r>
    </w:p>
    <w:p>
      <w:pPr>
        <w:spacing w:line="440" w:lineRule="exact"/>
        <w:ind w:firstLine="420"/>
        <w:rPr>
          <w:rFonts w:ascii="Times New Roman" w:hAnsi="Times New Roman" w:cs="Times New Roman"/>
        </w:rPr>
      </w:pPr>
      <w:r>
        <w:rPr>
          <w:rFonts w:hint="eastAsia" w:ascii="Times New Roman" w:hAnsi="Times New Roman" w:cs="Times New Roman"/>
        </w:rPr>
        <w:t>卖方：</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hint="eastAsia" w:ascii="Times New Roman" w:hAnsi="Times New Roman" w:cs="Times New Roman"/>
        </w:rPr>
        <w:t>（以下简称：“乙方”）</w:t>
      </w:r>
    </w:p>
    <w:p>
      <w:pPr>
        <w:spacing w:line="440" w:lineRule="exact"/>
        <w:ind w:firstLine="420"/>
        <w:rPr>
          <w:rFonts w:ascii="Times New Roman" w:hAnsi="Times New Roman" w:cs="Times New Roman"/>
        </w:rPr>
      </w:pPr>
      <w:r>
        <w:rPr>
          <w:rFonts w:hint="eastAsia" w:ascii="Times New Roman" w:hAnsi="Times New Roman" w:cs="Times New Roman"/>
        </w:rPr>
        <w:t>甲乙双方在平等自愿、协商一致的基础上，经友好协商，根据《中华人民共和国民法典》及其他相关法律规定，就甲方委托乙方生产</w:t>
      </w:r>
      <w:r>
        <w:rPr>
          <w:rFonts w:ascii="Times New Roman" w:hAnsi="Times New Roman" w:cs="Times New Roman"/>
        </w:rPr>
        <w:t>的</w:t>
      </w:r>
      <w:r>
        <w:rPr>
          <w:rFonts w:hint="eastAsia" w:ascii="Times New Roman" w:hAnsi="Times New Roman" w:cs="Times New Roman"/>
          <w:u w:val="single"/>
        </w:rPr>
        <w:t xml:space="preserve">         </w:t>
      </w:r>
      <w:r>
        <w:rPr>
          <w:rFonts w:ascii="Times New Roman" w:hAnsi="Times New Roman" w:cs="Times New Roman"/>
        </w:rPr>
        <w:t>产品等</w:t>
      </w:r>
      <w:r>
        <w:rPr>
          <w:rFonts w:hint="eastAsia" w:ascii="Times New Roman" w:hAnsi="Times New Roman" w:cs="Times New Roman"/>
        </w:rPr>
        <w:t>相关事宜订立本合同。</w:t>
      </w:r>
    </w:p>
    <w:p>
      <w:pPr>
        <w:spacing w:line="440" w:lineRule="exact"/>
        <w:ind w:firstLine="420"/>
        <w:rPr>
          <w:rFonts w:ascii="Times New Roman" w:hAnsi="Times New Roman" w:cs="Times New Roman"/>
        </w:rPr>
      </w:pPr>
      <w:r>
        <w:rPr>
          <w:rFonts w:hint="eastAsia" w:ascii="Times New Roman" w:hAnsi="Times New Roman" w:cs="Times New Roman"/>
        </w:rPr>
        <w:t>第一条 合同标的、数量、价格</w:t>
      </w:r>
    </w:p>
    <w:p>
      <w:pPr>
        <w:pStyle w:val="47"/>
        <w:numPr>
          <w:ilvl w:val="0"/>
          <w:numId w:val="3"/>
        </w:numPr>
        <w:spacing w:line="440" w:lineRule="exact"/>
        <w:ind w:firstLineChars="0"/>
        <w:rPr>
          <w:rFonts w:ascii="Times New Roman" w:hAnsi="Times New Roman" w:cs="Times New Roman"/>
        </w:rPr>
      </w:pPr>
      <w:r>
        <w:rPr>
          <w:rFonts w:hint="eastAsia" w:ascii="Times New Roman" w:hAnsi="Times New Roman" w:cs="Times New Roman"/>
        </w:rPr>
        <w:t>项目名称、数量</w:t>
      </w:r>
    </w:p>
    <w:tbl>
      <w:tblPr>
        <w:tblStyle w:val="23"/>
        <w:tblW w:w="5137" w:type="pct"/>
        <w:jc w:val="center"/>
        <w:tblLayout w:type="autofit"/>
        <w:tblCellMar>
          <w:top w:w="0" w:type="dxa"/>
          <w:left w:w="108" w:type="dxa"/>
          <w:bottom w:w="0" w:type="dxa"/>
          <w:right w:w="108" w:type="dxa"/>
        </w:tblCellMar>
      </w:tblPr>
      <w:tblGrid>
        <w:gridCol w:w="692"/>
        <w:gridCol w:w="3205"/>
        <w:gridCol w:w="901"/>
        <w:gridCol w:w="693"/>
        <w:gridCol w:w="693"/>
        <w:gridCol w:w="1380"/>
        <w:gridCol w:w="1260"/>
        <w:gridCol w:w="720"/>
      </w:tblGrid>
      <w:tr>
        <w:tblPrEx>
          <w:tblCellMar>
            <w:top w:w="0" w:type="dxa"/>
            <w:left w:w="108" w:type="dxa"/>
            <w:bottom w:w="0" w:type="dxa"/>
            <w:right w:w="108" w:type="dxa"/>
          </w:tblCellMar>
        </w:tblPrEx>
        <w:trPr>
          <w:trHeight w:val="276" w:hRule="atLeast"/>
          <w:jc w:val="center"/>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编号</w:t>
            </w:r>
          </w:p>
        </w:tc>
        <w:tc>
          <w:tcPr>
            <w:tcW w:w="1679"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名称</w:t>
            </w:r>
          </w:p>
        </w:tc>
        <w:tc>
          <w:tcPr>
            <w:tcW w:w="472"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型号</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单位</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数量</w:t>
            </w:r>
          </w:p>
        </w:tc>
        <w:tc>
          <w:tcPr>
            <w:tcW w:w="723" w:type="pct"/>
            <w:tcBorders>
              <w:top w:val="single" w:color="auto" w:sz="4" w:space="0"/>
              <w:left w:val="nil"/>
              <w:bottom w:val="single" w:color="auto" w:sz="4" w:space="0"/>
              <w:right w:val="single" w:color="auto" w:sz="4" w:space="0"/>
            </w:tcBorders>
            <w:shd w:val="clear" w:color="auto" w:fill="auto"/>
            <w:noWrap/>
            <w:vAlign w:val="center"/>
          </w:tcPr>
          <w:p>
            <w:pPr>
              <w:jc w:val="center"/>
            </w:pPr>
            <w:r>
              <w:t>单价</w:t>
            </w:r>
            <w:r>
              <w:rPr>
                <w:rFonts w:hint="eastAsia"/>
              </w:rPr>
              <w:t>（</w:t>
            </w:r>
            <w:r>
              <w:t>元</w:t>
            </w:r>
            <w:r>
              <w:rPr>
                <w:rFonts w:hint="eastAsia"/>
              </w:rPr>
              <w:t>）</w:t>
            </w:r>
          </w:p>
        </w:tc>
        <w:tc>
          <w:tcPr>
            <w:tcW w:w="660" w:type="pct"/>
            <w:tcBorders>
              <w:top w:val="single" w:color="auto" w:sz="4" w:space="0"/>
              <w:left w:val="nil"/>
              <w:bottom w:val="single" w:color="auto" w:sz="4" w:space="0"/>
              <w:right w:val="single" w:color="auto" w:sz="4" w:space="0"/>
            </w:tcBorders>
            <w:vAlign w:val="center"/>
          </w:tcPr>
          <w:p>
            <w:pPr>
              <w:jc w:val="center"/>
            </w:pPr>
            <w:r>
              <w:t>合计（</w:t>
            </w:r>
            <w:r>
              <w:rPr>
                <w:rFonts w:hint="eastAsia"/>
              </w:rPr>
              <w:t>元</w:t>
            </w:r>
            <w:r>
              <w:t>）</w:t>
            </w:r>
          </w:p>
        </w:tc>
        <w:tc>
          <w:tcPr>
            <w:tcW w:w="377" w:type="pct"/>
            <w:tcBorders>
              <w:top w:val="single" w:color="auto" w:sz="4" w:space="0"/>
              <w:left w:val="nil"/>
              <w:bottom w:val="single" w:color="auto" w:sz="4" w:space="0"/>
              <w:right w:val="single" w:color="auto" w:sz="4" w:space="0"/>
            </w:tcBorders>
            <w:vAlign w:val="center"/>
          </w:tcPr>
          <w:p>
            <w:pPr>
              <w:jc w:val="center"/>
            </w:pPr>
            <w:r>
              <w:t>备注</w:t>
            </w:r>
          </w:p>
        </w:tc>
      </w:tr>
      <w:tr>
        <w:tblPrEx>
          <w:tblCellMar>
            <w:top w:w="0" w:type="dxa"/>
            <w:left w:w="108" w:type="dxa"/>
            <w:bottom w:w="0" w:type="dxa"/>
            <w:right w:w="108" w:type="dxa"/>
          </w:tblCellMar>
        </w:tblPrEx>
        <w:trPr>
          <w:trHeight w:val="419" w:hRule="atLeast"/>
          <w:jc w:val="center"/>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1</w:t>
            </w:r>
          </w:p>
        </w:tc>
        <w:tc>
          <w:tcPr>
            <w:tcW w:w="1679"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磁通量传感器</w:t>
            </w:r>
          </w:p>
        </w:tc>
        <w:tc>
          <w:tcPr>
            <w:tcW w:w="472"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CCT85</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套</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16</w:t>
            </w:r>
          </w:p>
        </w:tc>
        <w:tc>
          <w:tcPr>
            <w:tcW w:w="723" w:type="pct"/>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660" w:type="pct"/>
            <w:tcBorders>
              <w:top w:val="single" w:color="auto" w:sz="4" w:space="0"/>
              <w:left w:val="nil"/>
              <w:bottom w:val="single" w:color="auto" w:sz="4" w:space="0"/>
              <w:right w:val="single" w:color="auto" w:sz="4" w:space="0"/>
            </w:tcBorders>
            <w:vAlign w:val="center"/>
          </w:tcPr>
          <w:p>
            <w:pPr>
              <w:jc w:val="center"/>
            </w:pPr>
          </w:p>
        </w:tc>
        <w:tc>
          <w:tcPr>
            <w:tcW w:w="377"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44" w:hRule="atLeast"/>
          <w:jc w:val="center"/>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2</w:t>
            </w:r>
          </w:p>
        </w:tc>
        <w:tc>
          <w:tcPr>
            <w:tcW w:w="1679"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数据采集盒</w:t>
            </w:r>
          </w:p>
        </w:tc>
        <w:tc>
          <w:tcPr>
            <w:tcW w:w="472"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套</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16</w:t>
            </w:r>
          </w:p>
        </w:tc>
        <w:tc>
          <w:tcPr>
            <w:tcW w:w="723" w:type="pct"/>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660" w:type="pct"/>
            <w:tcBorders>
              <w:top w:val="single" w:color="auto" w:sz="4" w:space="0"/>
              <w:left w:val="nil"/>
              <w:bottom w:val="single" w:color="auto" w:sz="4" w:space="0"/>
              <w:right w:val="single" w:color="auto" w:sz="4" w:space="0"/>
            </w:tcBorders>
            <w:vAlign w:val="center"/>
          </w:tcPr>
          <w:p>
            <w:pPr>
              <w:jc w:val="center"/>
            </w:pPr>
          </w:p>
        </w:tc>
        <w:tc>
          <w:tcPr>
            <w:tcW w:w="377"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44" w:hRule="atLeast"/>
          <w:jc w:val="center"/>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3</w:t>
            </w:r>
          </w:p>
        </w:tc>
        <w:tc>
          <w:tcPr>
            <w:tcW w:w="1679"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信号传输线</w:t>
            </w:r>
          </w:p>
        </w:tc>
        <w:tc>
          <w:tcPr>
            <w:tcW w:w="472"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米</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160</w:t>
            </w:r>
          </w:p>
        </w:tc>
        <w:tc>
          <w:tcPr>
            <w:tcW w:w="723" w:type="pct"/>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660" w:type="pct"/>
            <w:tcBorders>
              <w:top w:val="single" w:color="auto" w:sz="4" w:space="0"/>
              <w:left w:val="nil"/>
              <w:bottom w:val="single" w:color="auto" w:sz="4" w:space="0"/>
              <w:right w:val="single" w:color="auto" w:sz="4" w:space="0"/>
            </w:tcBorders>
            <w:vAlign w:val="center"/>
          </w:tcPr>
          <w:p>
            <w:pPr>
              <w:jc w:val="center"/>
            </w:pPr>
          </w:p>
        </w:tc>
        <w:tc>
          <w:tcPr>
            <w:tcW w:w="377"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44" w:hRule="atLeast"/>
          <w:jc w:val="center"/>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4</w:t>
            </w:r>
          </w:p>
        </w:tc>
        <w:tc>
          <w:tcPr>
            <w:tcW w:w="1679"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安装辅材</w:t>
            </w:r>
          </w:p>
        </w:tc>
        <w:tc>
          <w:tcPr>
            <w:tcW w:w="472"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套</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1</w:t>
            </w:r>
          </w:p>
        </w:tc>
        <w:tc>
          <w:tcPr>
            <w:tcW w:w="723" w:type="pct"/>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660" w:type="pct"/>
            <w:tcBorders>
              <w:top w:val="single" w:color="auto" w:sz="4" w:space="0"/>
              <w:left w:val="nil"/>
              <w:bottom w:val="single" w:color="auto" w:sz="4" w:space="0"/>
              <w:right w:val="single" w:color="auto" w:sz="4" w:space="0"/>
            </w:tcBorders>
            <w:vAlign w:val="center"/>
          </w:tcPr>
          <w:p>
            <w:pPr>
              <w:jc w:val="center"/>
            </w:pPr>
          </w:p>
        </w:tc>
        <w:tc>
          <w:tcPr>
            <w:tcW w:w="377"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44" w:hRule="atLeast"/>
          <w:jc w:val="center"/>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5</w:t>
            </w:r>
          </w:p>
        </w:tc>
        <w:tc>
          <w:tcPr>
            <w:tcW w:w="1679"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磁通量采集系统v2.0（人工）</w:t>
            </w:r>
          </w:p>
        </w:tc>
        <w:tc>
          <w:tcPr>
            <w:tcW w:w="472" w:type="pct"/>
            <w:tcBorders>
              <w:top w:val="single" w:color="auto" w:sz="4" w:space="0"/>
              <w:left w:val="nil"/>
              <w:bottom w:val="single" w:color="auto" w:sz="4" w:space="0"/>
              <w:right w:val="single" w:color="auto" w:sz="4" w:space="0"/>
            </w:tcBorders>
            <w:shd w:val="clear" w:color="auto" w:fill="auto"/>
            <w:noWrap/>
            <w:vAlign w:val="center"/>
          </w:tcPr>
          <w:p>
            <w:pPr>
              <w:jc w:val="center"/>
            </w:pPr>
            <w:r>
              <w:t>CTL</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台</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1</w:t>
            </w:r>
          </w:p>
        </w:tc>
        <w:tc>
          <w:tcPr>
            <w:tcW w:w="723" w:type="pct"/>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660" w:type="pct"/>
            <w:tcBorders>
              <w:top w:val="single" w:color="auto" w:sz="4" w:space="0"/>
              <w:left w:val="nil"/>
              <w:bottom w:val="single" w:color="auto" w:sz="4" w:space="0"/>
              <w:right w:val="single" w:color="auto" w:sz="4" w:space="0"/>
            </w:tcBorders>
            <w:vAlign w:val="center"/>
          </w:tcPr>
          <w:p>
            <w:pPr>
              <w:jc w:val="center"/>
            </w:pPr>
          </w:p>
        </w:tc>
        <w:tc>
          <w:tcPr>
            <w:tcW w:w="377"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44" w:hRule="atLeast"/>
          <w:jc w:val="center"/>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6</w:t>
            </w:r>
          </w:p>
        </w:tc>
        <w:tc>
          <w:tcPr>
            <w:tcW w:w="1679"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磁弹仪</w:t>
            </w:r>
          </w:p>
        </w:tc>
        <w:tc>
          <w:tcPr>
            <w:tcW w:w="472"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C</w:t>
            </w:r>
            <w:r>
              <w:t>TY</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台</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1</w:t>
            </w:r>
          </w:p>
        </w:tc>
        <w:tc>
          <w:tcPr>
            <w:tcW w:w="723" w:type="pct"/>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660" w:type="pct"/>
            <w:tcBorders>
              <w:top w:val="single" w:color="auto" w:sz="4" w:space="0"/>
              <w:left w:val="nil"/>
              <w:bottom w:val="single" w:color="auto" w:sz="4" w:space="0"/>
              <w:right w:val="single" w:color="auto" w:sz="4" w:space="0"/>
            </w:tcBorders>
            <w:vAlign w:val="center"/>
          </w:tcPr>
          <w:p>
            <w:pPr>
              <w:jc w:val="center"/>
            </w:pPr>
          </w:p>
        </w:tc>
        <w:tc>
          <w:tcPr>
            <w:tcW w:w="377"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44" w:hRule="atLeast"/>
          <w:jc w:val="center"/>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7</w:t>
            </w:r>
          </w:p>
        </w:tc>
        <w:tc>
          <w:tcPr>
            <w:tcW w:w="1679"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现场缠绕、安装调试</w:t>
            </w:r>
          </w:p>
        </w:tc>
        <w:tc>
          <w:tcPr>
            <w:tcW w:w="472"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项</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1</w:t>
            </w:r>
          </w:p>
        </w:tc>
        <w:tc>
          <w:tcPr>
            <w:tcW w:w="723" w:type="pct"/>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660" w:type="pct"/>
            <w:tcBorders>
              <w:top w:val="single" w:color="auto" w:sz="4" w:space="0"/>
              <w:left w:val="nil"/>
              <w:bottom w:val="single" w:color="auto" w:sz="4" w:space="0"/>
              <w:right w:val="single" w:color="auto" w:sz="4" w:space="0"/>
            </w:tcBorders>
            <w:vAlign w:val="center"/>
          </w:tcPr>
          <w:p>
            <w:pPr>
              <w:jc w:val="center"/>
            </w:pPr>
          </w:p>
        </w:tc>
        <w:tc>
          <w:tcPr>
            <w:tcW w:w="377"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44" w:hRule="atLeast"/>
          <w:jc w:val="center"/>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8</w:t>
            </w:r>
          </w:p>
        </w:tc>
        <w:tc>
          <w:tcPr>
            <w:tcW w:w="2877" w:type="pct"/>
            <w:gridSpan w:val="4"/>
            <w:tcBorders>
              <w:top w:val="single" w:color="auto" w:sz="4" w:space="0"/>
              <w:left w:val="nil"/>
              <w:bottom w:val="single" w:color="auto" w:sz="4" w:space="0"/>
              <w:right w:val="single" w:color="auto" w:sz="4" w:space="0"/>
            </w:tcBorders>
            <w:shd w:val="clear" w:color="auto" w:fill="auto"/>
            <w:noWrap/>
            <w:vAlign w:val="center"/>
          </w:tcPr>
          <w:p>
            <w:r>
              <w:rPr>
                <w:rFonts w:hint="eastAsia" w:ascii="宋体" w:hAnsi="宋体" w:eastAsia="宋体" w:cs="宋体"/>
                <w:b/>
                <w:sz w:val="24"/>
              </w:rPr>
              <w:t>总报价计（元）=（1～</w:t>
            </w:r>
            <w:r>
              <w:rPr>
                <w:rFonts w:ascii="宋体" w:hAnsi="宋体" w:eastAsia="宋体" w:cs="宋体"/>
                <w:b/>
                <w:sz w:val="24"/>
              </w:rPr>
              <w:t>7</w:t>
            </w:r>
            <w:r>
              <w:rPr>
                <w:rFonts w:hint="eastAsia" w:ascii="宋体" w:hAnsi="宋体" w:eastAsia="宋体" w:cs="宋体"/>
                <w:b/>
                <w:sz w:val="24"/>
              </w:rPr>
              <w:t>）项合计（含税）</w:t>
            </w:r>
          </w:p>
        </w:tc>
        <w:tc>
          <w:tcPr>
            <w:tcW w:w="176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pPr>
          </w:p>
        </w:tc>
      </w:tr>
    </w:tbl>
    <w:p>
      <w:pPr>
        <w:spacing w:line="440" w:lineRule="exact"/>
        <w:ind w:firstLine="420"/>
        <w:rPr>
          <w:rFonts w:ascii="Times New Roman" w:hAnsi="Times New Roman" w:cs="Times New Roman"/>
        </w:rPr>
      </w:pPr>
      <w:r>
        <w:rPr>
          <w:rFonts w:hint="eastAsia" w:ascii="Times New Roman" w:hAnsi="Times New Roman" w:cs="Times New Roman"/>
        </w:rPr>
        <w:t>2、合同总金额：上述产品总金额为人民币：</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rPr>
        <w:t>元（大写：</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rPr>
        <w:t>），本合同价为含税价，税率：</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本合同的总价包含:本协议下</w:t>
      </w:r>
      <w:r>
        <w:rPr>
          <w:rFonts w:hint="eastAsia" w:ascii="Times New Roman" w:hAnsi="Times New Roman" w:cs="Times New Roman"/>
        </w:rPr>
        <w:t>乙方</w:t>
      </w:r>
      <w:r>
        <w:rPr>
          <w:rFonts w:ascii="Times New Roman" w:hAnsi="Times New Roman" w:cs="Times New Roman"/>
        </w:rPr>
        <w:t>全部相关成本费用，</w:t>
      </w:r>
      <w:r>
        <w:rPr>
          <w:rFonts w:hint="eastAsia" w:ascii="Times New Roman" w:hAnsi="Times New Roman" w:cs="Times New Roman"/>
        </w:rPr>
        <w:t>包括但不限于</w:t>
      </w:r>
      <w:r>
        <w:rPr>
          <w:rFonts w:ascii="Times New Roman" w:hAnsi="Times New Roman" w:cs="Times New Roman"/>
        </w:rPr>
        <w:t>成本、</w:t>
      </w:r>
      <w:r>
        <w:rPr>
          <w:rFonts w:hint="eastAsia" w:ascii="Times New Roman" w:hAnsi="Times New Roman" w:cs="Times New Roman"/>
        </w:rPr>
        <w:t>包装费、</w:t>
      </w:r>
      <w:r>
        <w:rPr>
          <w:rFonts w:ascii="Times New Roman" w:hAnsi="Times New Roman" w:cs="Times New Roman"/>
        </w:rPr>
        <w:t>运费、保险</w:t>
      </w:r>
      <w:r>
        <w:rPr>
          <w:rFonts w:hint="eastAsia" w:ascii="Times New Roman" w:hAnsi="Times New Roman" w:cs="Times New Roman"/>
        </w:rPr>
        <w:t>费</w:t>
      </w:r>
      <w:r>
        <w:rPr>
          <w:rFonts w:ascii="Times New Roman" w:hAnsi="Times New Roman" w:cs="Times New Roman"/>
        </w:rPr>
        <w:t>、</w:t>
      </w:r>
      <w:r>
        <w:rPr>
          <w:rFonts w:hint="eastAsia" w:ascii="Times New Roman" w:hAnsi="Times New Roman" w:cs="Times New Roman"/>
        </w:rPr>
        <w:t>税费、软件开发、测试</w:t>
      </w:r>
      <w:r>
        <w:rPr>
          <w:rFonts w:ascii="Times New Roman" w:hAnsi="Times New Roman" w:cs="Times New Roman"/>
        </w:rPr>
        <w:t>、</w:t>
      </w:r>
      <w:r>
        <w:rPr>
          <w:rFonts w:hint="eastAsia" w:ascii="Times New Roman" w:hAnsi="Times New Roman" w:cs="Times New Roman"/>
        </w:rPr>
        <w:t>运营</w:t>
      </w:r>
      <w:r>
        <w:rPr>
          <w:rFonts w:ascii="Times New Roman" w:hAnsi="Times New Roman" w:cs="Times New Roman"/>
        </w:rPr>
        <w:t>、文件编制</w:t>
      </w:r>
      <w:r>
        <w:rPr>
          <w:rFonts w:hint="eastAsia" w:ascii="Times New Roman" w:hAnsi="Times New Roman" w:cs="Times New Roman"/>
        </w:rPr>
        <w:t>、培训费用及保修期内备品备件的更换、售后服务费用。除此之外，甲方无需另行支付其他费用。该价款不因原料、材料、劳务等市场价格的变动而变动。</w:t>
      </w:r>
    </w:p>
    <w:p>
      <w:pPr>
        <w:spacing w:line="440" w:lineRule="exact"/>
        <w:ind w:firstLine="420"/>
        <w:rPr>
          <w:rFonts w:ascii="Times New Roman" w:hAnsi="Times New Roman" w:cs="Times New Roman"/>
        </w:rPr>
      </w:pPr>
      <w:r>
        <w:rPr>
          <w:rFonts w:hint="eastAsia" w:ascii="Times New Roman" w:hAnsi="Times New Roman" w:cs="Times New Roman"/>
        </w:rPr>
        <w:t>第二条 交货时间、地点、方式</w:t>
      </w:r>
    </w:p>
    <w:p>
      <w:pPr>
        <w:spacing w:line="440" w:lineRule="exact"/>
        <w:ind w:firstLine="420"/>
        <w:rPr>
          <w:rFonts w:ascii="Times New Roman" w:hAnsi="Times New Roman" w:cs="Times New Roman"/>
        </w:rPr>
      </w:pPr>
      <w:r>
        <w:rPr>
          <w:rFonts w:hint="eastAsia" w:ascii="Times New Roman" w:hAnsi="Times New Roman" w:cs="Times New Roman"/>
        </w:rPr>
        <w:t>1、交货地点：</w:t>
      </w:r>
      <w:r>
        <w:rPr>
          <w:rFonts w:ascii="Times New Roman" w:hAnsi="Times New Roman" w:cs="Times New Roman"/>
          <w:u w:val="single"/>
        </w:rPr>
        <w:t xml:space="preserve"> </w:t>
      </w:r>
      <w:r>
        <w:rPr>
          <w:rFonts w:hint="eastAsia" w:ascii="Times New Roman" w:hAnsi="Times New Roman" w:cs="Times New Roman"/>
          <w:u w:val="single"/>
        </w:rPr>
        <w:t xml:space="preserve">                                      </w:t>
      </w:r>
    </w:p>
    <w:p>
      <w:pPr>
        <w:spacing w:line="440" w:lineRule="exact"/>
        <w:ind w:firstLine="420"/>
        <w:rPr>
          <w:rFonts w:ascii="Times New Roman" w:hAnsi="Times New Roman" w:cs="Times New Roman"/>
        </w:rPr>
      </w:pPr>
      <w:r>
        <w:rPr>
          <w:rFonts w:hint="eastAsia" w:ascii="Times New Roman" w:hAnsi="Times New Roman" w:cs="Times New Roman"/>
        </w:rPr>
        <w:t>2、交货方式：产品由乙方负责办理运输</w:t>
      </w:r>
      <w:r>
        <w:rPr>
          <w:rFonts w:ascii="Times New Roman" w:hAnsi="Times New Roman" w:cs="Times New Roman"/>
        </w:rPr>
        <w:t>并按本合同约定的</w:t>
      </w:r>
      <w:r>
        <w:rPr>
          <w:rFonts w:hint="eastAsia" w:ascii="Times New Roman" w:hAnsi="Times New Roman" w:cs="Times New Roman"/>
        </w:rPr>
        <w:t>供货日按期将货物运至甲方，并负责卸货。</w:t>
      </w:r>
    </w:p>
    <w:p>
      <w:pPr>
        <w:spacing w:line="440" w:lineRule="exact"/>
        <w:ind w:firstLine="420"/>
        <w:rPr>
          <w:rFonts w:ascii="Times New Roman" w:hAnsi="Times New Roman" w:cs="Times New Roman"/>
        </w:rPr>
      </w:pPr>
      <w:r>
        <w:rPr>
          <w:rFonts w:hint="eastAsia" w:ascii="Times New Roman" w:hAnsi="Times New Roman" w:cs="Times New Roman"/>
        </w:rPr>
        <w:t>3、交货时间：乙方应在合同签订后</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rPr>
        <w:t>日内，将货物交付到指定地点。</w:t>
      </w:r>
    </w:p>
    <w:p>
      <w:pPr>
        <w:spacing w:line="440" w:lineRule="exact"/>
        <w:ind w:firstLine="420"/>
        <w:rPr>
          <w:rFonts w:ascii="Times New Roman" w:hAnsi="Times New Roman" w:cs="Times New Roman"/>
        </w:rPr>
      </w:pPr>
      <w:r>
        <w:rPr>
          <w:rFonts w:hint="eastAsia" w:ascii="Times New Roman" w:hAnsi="Times New Roman" w:cs="Times New Roman"/>
        </w:rPr>
        <w:t>第三条 价款及结算方式</w:t>
      </w:r>
    </w:p>
    <w:p>
      <w:pPr>
        <w:spacing w:line="440" w:lineRule="exact"/>
        <w:ind w:firstLine="420"/>
        <w:rPr>
          <w:rFonts w:ascii="Times New Roman" w:hAnsi="Times New Roman" w:cs="Times New Roman"/>
        </w:rPr>
      </w:pPr>
      <w:r>
        <w:rPr>
          <w:rFonts w:hint="eastAsia" w:ascii="Times New Roman" w:hAnsi="Times New Roman" w:cs="Times New Roman"/>
        </w:rPr>
        <w:t>1、付款方式：甲方分次向乙方支付项目费用。</w:t>
      </w:r>
    </w:p>
    <w:p>
      <w:pPr>
        <w:spacing w:line="440" w:lineRule="exact"/>
        <w:ind w:firstLine="420"/>
        <w:rPr>
          <w:rFonts w:ascii="Times New Roman" w:hAnsi="Times New Roman" w:cs="Times New Roman"/>
        </w:rPr>
      </w:pPr>
      <w:r>
        <w:rPr>
          <w:rFonts w:hint="eastAsia" w:ascii="Times New Roman" w:hAnsi="Times New Roman" w:cs="Times New Roman"/>
        </w:rPr>
        <w:t>2、付款时间：合同签订后向乙方支付合同总价的</w:t>
      </w:r>
      <w:r>
        <w:rPr>
          <w:rFonts w:hint="eastAsia" w:ascii="Times New Roman" w:hAnsi="Times New Roman" w:cs="Times New Roman"/>
          <w:u w:val="single"/>
        </w:rPr>
        <w:t>30</w:t>
      </w:r>
      <w:r>
        <w:rPr>
          <w:rFonts w:hint="eastAsia" w:ascii="Times New Roman" w:hAnsi="Times New Roman" w:cs="Times New Roman"/>
        </w:rPr>
        <w:t>%，即￥</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hint="eastAsia" w:ascii="Times New Roman" w:hAnsi="Times New Roman" w:cs="Times New Roman"/>
        </w:rPr>
        <w:t>元；完成软硬件开发并通过验收后支付合同总价的</w:t>
      </w:r>
      <w:r>
        <w:rPr>
          <w:rFonts w:hint="eastAsia" w:ascii="Times New Roman" w:hAnsi="Times New Roman" w:cs="Times New Roman"/>
          <w:u w:val="single"/>
        </w:rPr>
        <w:t>60</w:t>
      </w:r>
      <w:r>
        <w:rPr>
          <w:rFonts w:hint="eastAsia" w:ascii="Times New Roman" w:hAnsi="Times New Roman" w:cs="Times New Roman"/>
        </w:rPr>
        <w:t>%，即￥</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hint="eastAsia" w:ascii="Times New Roman" w:hAnsi="Times New Roman" w:cs="Times New Roman"/>
        </w:rPr>
        <w:t>元；余款</w:t>
      </w:r>
      <w:r>
        <w:rPr>
          <w:rFonts w:hint="eastAsia" w:ascii="Times New Roman" w:hAnsi="Times New Roman" w:cs="Times New Roman"/>
          <w:u w:val="single"/>
        </w:rPr>
        <w:t>10</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cs="Times New Roman"/>
        </w:rPr>
        <w:t>，作为产品质量保证金，质保金在质保期届满后一次性无息支付。</w:t>
      </w:r>
      <w:r>
        <w:rPr>
          <w:rFonts w:ascii="Times New Roman" w:hAnsi="Times New Roman" w:cs="Times New Roman"/>
        </w:rPr>
        <w:t xml:space="preserve"> </w:t>
      </w:r>
    </w:p>
    <w:p>
      <w:pPr>
        <w:spacing w:line="440" w:lineRule="exact"/>
        <w:ind w:firstLine="420"/>
        <w:rPr>
          <w:rFonts w:ascii="Times New Roman" w:hAnsi="Times New Roman" w:cs="Times New Roman"/>
        </w:rPr>
      </w:pPr>
      <w:r>
        <w:rPr>
          <w:rFonts w:hint="eastAsia" w:ascii="Times New Roman" w:hAnsi="Times New Roman" w:cs="Times New Roman"/>
        </w:rPr>
        <w:t>3、甲方付款前5个工作日乙方应向甲方开具相应金额的增值税专用发票，如遇国家税率调整，则合同总价进行相应调整；如因乙方未提供合法有效、金额准确的正规发票，甲方有权延迟付款且不承担任何违约责任。</w:t>
      </w:r>
    </w:p>
    <w:p>
      <w:pPr>
        <w:spacing w:line="440" w:lineRule="exact"/>
        <w:ind w:firstLine="420"/>
        <w:rPr>
          <w:rFonts w:ascii="Times New Roman" w:hAnsi="Times New Roman" w:cs="Times New Roman"/>
        </w:rPr>
      </w:pPr>
      <w:r>
        <w:rPr>
          <w:rFonts w:hint="eastAsia" w:ascii="Times New Roman" w:hAnsi="Times New Roman" w:cs="Times New Roman"/>
        </w:rPr>
        <w:t>4、乙方指定收款账户：</w:t>
      </w:r>
    </w:p>
    <w:p>
      <w:pPr>
        <w:spacing w:line="440" w:lineRule="exact"/>
        <w:ind w:firstLine="420"/>
        <w:rPr>
          <w:rFonts w:ascii="Times New Roman" w:hAnsi="Times New Roman" w:cs="Times New Roman"/>
        </w:rPr>
      </w:pPr>
      <w:r>
        <w:rPr>
          <w:rFonts w:hint="eastAsia" w:ascii="Times New Roman" w:hAnsi="Times New Roman" w:cs="Times New Roman"/>
        </w:rPr>
        <w:t>（1）账户名称:</w:t>
      </w:r>
    </w:p>
    <w:p>
      <w:pPr>
        <w:spacing w:line="440" w:lineRule="exact"/>
        <w:ind w:firstLine="420"/>
        <w:rPr>
          <w:rFonts w:ascii="Times New Roman" w:hAnsi="Times New Roman" w:cs="Times New Roman"/>
        </w:rPr>
      </w:pPr>
      <w:r>
        <w:rPr>
          <w:rFonts w:hint="eastAsia" w:ascii="Times New Roman" w:hAnsi="Times New Roman" w:cs="Times New Roman"/>
        </w:rPr>
        <w:t>（2）银行账户：</w:t>
      </w:r>
    </w:p>
    <w:p>
      <w:pPr>
        <w:spacing w:line="440" w:lineRule="exact"/>
        <w:ind w:firstLine="420"/>
        <w:rPr>
          <w:rFonts w:ascii="Times New Roman" w:hAnsi="Times New Roman" w:cs="Times New Roman"/>
        </w:rPr>
      </w:pPr>
      <w:r>
        <w:rPr>
          <w:rFonts w:hint="eastAsia" w:ascii="Times New Roman" w:hAnsi="Times New Roman" w:cs="Times New Roman"/>
        </w:rPr>
        <w:t>（3）开户行：</w:t>
      </w:r>
    </w:p>
    <w:p>
      <w:pPr>
        <w:spacing w:line="440" w:lineRule="exact"/>
        <w:ind w:firstLine="420"/>
        <w:rPr>
          <w:rFonts w:ascii="Times New Roman" w:hAnsi="Times New Roman" w:cs="Times New Roman"/>
        </w:rPr>
      </w:pPr>
      <w:r>
        <w:rPr>
          <w:rFonts w:hint="eastAsia" w:ascii="Times New Roman" w:hAnsi="Times New Roman" w:cs="Times New Roman"/>
        </w:rPr>
        <w:t>甲方货款支付到乙方以上银行账户，视为已履行付款义务。</w:t>
      </w:r>
    </w:p>
    <w:p>
      <w:pPr>
        <w:spacing w:line="440" w:lineRule="exact"/>
        <w:ind w:firstLine="420"/>
        <w:rPr>
          <w:rFonts w:ascii="Times New Roman" w:hAnsi="Times New Roman" w:cs="Times New Roman"/>
        </w:rPr>
      </w:pPr>
      <w:r>
        <w:rPr>
          <w:rFonts w:hint="eastAsia" w:ascii="Times New Roman" w:hAnsi="Times New Roman" w:cs="Times New Roman"/>
        </w:rPr>
        <w:t>第四条 包装方式</w:t>
      </w:r>
    </w:p>
    <w:p>
      <w:pPr>
        <w:spacing w:line="440" w:lineRule="exact"/>
        <w:ind w:firstLine="420"/>
        <w:rPr>
          <w:rFonts w:ascii="Times New Roman" w:hAnsi="Times New Roman" w:cs="Times New Roman"/>
        </w:rPr>
      </w:pPr>
      <w:r>
        <w:rPr>
          <w:rFonts w:hint="eastAsia" w:ascii="Times New Roman" w:hAnsi="Times New Roman" w:cs="Times New Roman"/>
        </w:rPr>
        <w:t>1、产品包装必须牢固，乙方应保证货物运输途中的安全。</w:t>
      </w:r>
    </w:p>
    <w:p>
      <w:pPr>
        <w:spacing w:line="440" w:lineRule="exact"/>
        <w:ind w:firstLine="420"/>
        <w:rPr>
          <w:rFonts w:ascii="Times New Roman" w:hAnsi="Times New Roman" w:cs="Times New Roman"/>
        </w:rPr>
      </w:pPr>
      <w:r>
        <w:rPr>
          <w:rFonts w:ascii="Times New Roman" w:hAnsi="Times New Roman" w:cs="Times New Roman"/>
        </w:rPr>
        <w:t>2、由于包装不良而引起的货物损伤或由于防护措施不善而引起货物锈蚀，</w:t>
      </w:r>
      <w:r>
        <w:rPr>
          <w:rFonts w:hint="eastAsia" w:ascii="Times New Roman" w:hAnsi="Times New Roman" w:cs="Times New Roman"/>
        </w:rPr>
        <w:t>乙方</w:t>
      </w:r>
      <w:r>
        <w:rPr>
          <w:rFonts w:ascii="Times New Roman" w:hAnsi="Times New Roman" w:cs="Times New Roman"/>
        </w:rPr>
        <w:t>应赔偿由此</w:t>
      </w:r>
      <w:r>
        <w:rPr>
          <w:rFonts w:hint="eastAsia" w:ascii="Times New Roman" w:hAnsi="Times New Roman" w:cs="Times New Roman"/>
        </w:rPr>
        <w:t>而造成的全部损失费用。</w:t>
      </w:r>
    </w:p>
    <w:p>
      <w:pPr>
        <w:spacing w:line="440" w:lineRule="exact"/>
        <w:ind w:firstLine="420"/>
        <w:rPr>
          <w:rFonts w:ascii="Times New Roman" w:hAnsi="Times New Roman" w:cs="Times New Roman"/>
        </w:rPr>
      </w:pPr>
      <w:r>
        <w:rPr>
          <w:rFonts w:ascii="Times New Roman" w:hAnsi="Times New Roman" w:cs="Times New Roman"/>
        </w:rPr>
        <w:t>3、包装箱内应附有完整的维修保养、操作使用说明书。</w:t>
      </w:r>
    </w:p>
    <w:p>
      <w:pPr>
        <w:spacing w:line="440" w:lineRule="exact"/>
        <w:ind w:firstLine="420"/>
        <w:rPr>
          <w:rFonts w:ascii="Times New Roman" w:hAnsi="Times New Roman" w:cs="Times New Roman"/>
        </w:rPr>
      </w:pPr>
      <w:r>
        <w:rPr>
          <w:rFonts w:hint="eastAsia" w:ascii="Times New Roman" w:hAnsi="Times New Roman" w:cs="Times New Roman"/>
        </w:rPr>
        <w:t>第五条 质量要求</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乙方产品的制造、检验、调试和验收等应按国家及行业（或企业）相关标准及双方合同约定执行。标准不一致时，以较高者执行。</w:t>
      </w:r>
    </w:p>
    <w:p>
      <w:pPr>
        <w:spacing w:line="440" w:lineRule="exact"/>
        <w:ind w:firstLine="420"/>
        <w:rPr>
          <w:rFonts w:ascii="Times New Roman" w:hAnsi="Times New Roman" w:cs="Times New Roman"/>
        </w:rPr>
      </w:pPr>
      <w:r>
        <w:rPr>
          <w:rFonts w:ascii="Times New Roman" w:hAnsi="Times New Roman" w:cs="Times New Roman"/>
        </w:rPr>
        <w:t>2、乙方按甲方指定的产品、规格、数量等要求及时供货。</w:t>
      </w:r>
      <w:r>
        <w:rPr>
          <w:rFonts w:hint="eastAsia" w:ascii="Times New Roman" w:hAnsi="Times New Roman" w:cs="Times New Roman"/>
        </w:rPr>
        <w:t>乙方保证合同设备是全新的、未曾使用过的，质量、规格及技术特征均符合合同的要求，具备正常使用功能，</w:t>
      </w:r>
      <w:r>
        <w:rPr>
          <w:rFonts w:ascii="Times New Roman" w:hAnsi="Times New Roman" w:cs="Times New Roman"/>
        </w:rPr>
        <w:t>因产品本身质量</w:t>
      </w:r>
      <w:r>
        <w:rPr>
          <w:rFonts w:hint="eastAsia" w:ascii="Times New Roman" w:hAnsi="Times New Roman" w:cs="Times New Roman"/>
        </w:rPr>
        <w:t>问题而引起的纠纷，由乙方承担法律责任及经济责任。</w:t>
      </w:r>
    </w:p>
    <w:p>
      <w:pPr>
        <w:spacing w:line="440" w:lineRule="exact"/>
        <w:ind w:firstLine="420"/>
        <w:rPr>
          <w:rFonts w:ascii="Times New Roman" w:hAnsi="Times New Roman" w:cs="Times New Roman"/>
        </w:rPr>
      </w:pPr>
      <w:r>
        <w:rPr>
          <w:rFonts w:hint="eastAsia" w:ascii="Times New Roman" w:hAnsi="Times New Roman" w:cs="Times New Roman"/>
        </w:rPr>
        <w:t>3、乙方保证合同设备所使用的软硬件均来源合法或已取得合法授权，可以在中国境内正常使用，不涉及第三方知识产权纠纷。如有第三人向甲方主张权利的，乙方应负责解决，并承担甲方因此而承担的法律责任及相关损失，甲方责任及损失包含但不限于向其他第三方支付的赔偿金、补偿金、律师费、诉讼费、鉴定费、公告费等所有费用。</w:t>
      </w:r>
    </w:p>
    <w:p>
      <w:pPr>
        <w:spacing w:line="440" w:lineRule="exac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、若甲乙双方因商品质量发生异议，则应提请</w:t>
      </w:r>
      <w:r>
        <w:rPr>
          <w:rFonts w:ascii="Times New Roman" w:hAnsi="Times New Roman" w:cs="Times New Roman"/>
          <w:u w:val="single"/>
        </w:rPr>
        <w:t xml:space="preserve">           </w:t>
      </w:r>
      <w:r>
        <w:rPr>
          <w:rFonts w:ascii="Times New Roman" w:hAnsi="Times New Roman" w:cs="Times New Roman"/>
        </w:rPr>
        <w:t>质量检验部门检验。若</w:t>
      </w:r>
      <w:r>
        <w:rPr>
          <w:rFonts w:hint="eastAsia" w:ascii="Times New Roman" w:hAnsi="Times New Roman" w:cs="Times New Roman"/>
        </w:rPr>
        <w:t>检验证明符合国家标准，则甲方无条件接受该商品。若检验证明确实不符合国家相关标准，则乙方有义务将其更换为合格产品并支付甲方因此而造成的损失。异议提出方先行负责检验费用的支出</w:t>
      </w:r>
      <w:r>
        <w:rPr>
          <w:rFonts w:ascii="Times New Roman" w:hAnsi="Times New Roman" w:cs="Times New Roman"/>
        </w:rPr>
        <w:t>,检验完毕后若证明异议成立则由过错方负责</w:t>
      </w:r>
      <w:r>
        <w:rPr>
          <w:rFonts w:hint="eastAsia" w:ascii="Times New Roman" w:hAnsi="Times New Roman" w:cs="Times New Roman"/>
        </w:rPr>
        <w:t>向异议提出方支付该检验费用。</w:t>
      </w:r>
    </w:p>
    <w:p>
      <w:pPr>
        <w:spacing w:line="440" w:lineRule="exact"/>
        <w:ind w:firstLine="420"/>
        <w:rPr>
          <w:rFonts w:ascii="Times New Roman" w:hAnsi="Times New Roman" w:cs="Times New Roman"/>
        </w:rPr>
      </w:pPr>
      <w:r>
        <w:rPr>
          <w:rFonts w:hint="eastAsia" w:ascii="Times New Roman" w:hAnsi="Times New Roman" w:cs="Times New Roman"/>
        </w:rPr>
        <w:t>第六条 检验标准、时间、方法</w:t>
      </w:r>
    </w:p>
    <w:p>
      <w:pPr>
        <w:spacing w:line="440" w:lineRule="exact"/>
        <w:ind w:firstLine="420"/>
        <w:rPr>
          <w:rFonts w:ascii="Times New Roman" w:hAnsi="Times New Roman" w:cs="Times New Roman"/>
        </w:rPr>
      </w:pPr>
      <w:r>
        <w:rPr>
          <w:rFonts w:hint="eastAsia" w:ascii="Times New Roman" w:hAnsi="Times New Roman" w:cs="Times New Roman"/>
        </w:rPr>
        <w:t>1、乙方将产品送到指定地点后，应在</w:t>
      </w:r>
      <w:r>
        <w:rPr>
          <w:rFonts w:ascii="Times New Roman" w:hAnsi="Times New Roman" w:cs="Times New Roman"/>
          <w:u w:val="single"/>
        </w:rPr>
        <w:t xml:space="preserve"> </w:t>
      </w:r>
      <w:r>
        <w:rPr>
          <w:rFonts w:hint="eastAsia" w:ascii="Times New Roman" w:hAnsi="Times New Roman" w:cs="Times New Roman"/>
          <w:u w:val="single"/>
        </w:rPr>
        <w:t>1</w:t>
      </w:r>
      <w:r>
        <w:rPr>
          <w:rFonts w:hint="eastAsia" w:ascii="Times New Roman" w:hAnsi="Times New Roman" w:cs="Times New Roman"/>
        </w:rPr>
        <w:t>个工作日内通知甲方双方组织验收。甲方在验收中，如果发现产品不符合合同约定的，应在</w:t>
      </w:r>
      <w:r>
        <w:rPr>
          <w:rFonts w:hint="eastAsia" w:ascii="Times New Roman" w:hAnsi="Times New Roman" w:cs="Times New Roman"/>
          <w:u w:val="single"/>
        </w:rPr>
        <w:t>10</w:t>
      </w:r>
      <w:r>
        <w:rPr>
          <w:rFonts w:hint="eastAsia" w:ascii="Times New Roman" w:hAnsi="Times New Roman" w:cs="Times New Roman"/>
        </w:rPr>
        <w:t>个工作日内向乙方书面提出异议，自甲方在接到乙方验收通知之日起计算。具体说明产品不符合规定的内容并附相关验收材料，同时提出不符合规定产品的处理意见。乙方应在收到甲方处理意见后</w:t>
      </w:r>
      <w:r>
        <w:rPr>
          <w:rFonts w:ascii="Times New Roman" w:hAnsi="Times New Roman" w:cs="Times New Roman"/>
          <w:u w:val="single"/>
        </w:rPr>
        <w:t xml:space="preserve"> </w:t>
      </w:r>
      <w:r>
        <w:rPr>
          <w:rFonts w:hint="eastAsia" w:ascii="Times New Roman" w:hAnsi="Times New Roman" w:cs="Times New Roman"/>
          <w:u w:val="single"/>
        </w:rPr>
        <w:t>3</w:t>
      </w:r>
      <w:r>
        <w:rPr>
          <w:rFonts w:ascii="Times New Roman" w:hAnsi="Times New Roman" w:cs="Times New Roman"/>
          <w:u w:val="single"/>
        </w:rPr>
        <w:t xml:space="preserve"> </w:t>
      </w:r>
      <w:r>
        <w:rPr>
          <w:rFonts w:hint="eastAsia" w:ascii="Times New Roman" w:hAnsi="Times New Roman" w:cs="Times New Roman"/>
        </w:rPr>
        <w:t>日内予以处理完毕。</w:t>
      </w:r>
    </w:p>
    <w:p>
      <w:pPr>
        <w:spacing w:line="440" w:lineRule="exact"/>
        <w:ind w:firstLine="420"/>
        <w:rPr>
          <w:rFonts w:ascii="Times New Roman" w:hAnsi="Times New Roman" w:cs="Times New Roman"/>
        </w:rPr>
      </w:pPr>
      <w:r>
        <w:rPr>
          <w:rFonts w:hint="eastAsia" w:ascii="Times New Roman" w:hAnsi="Times New Roman" w:cs="Times New Roman"/>
        </w:rPr>
        <w:t>3、验收不合格的，乙方应负责重新提供符合本合同约定的质量要求的产品（按照产品对应的技术指标验收）。如乙方在收到甲方更换货物通知后3日内无法更换符合合同约定产品的，甲方有权解除合同，并要求乙方按照合同总金额的</w:t>
      </w:r>
      <w:r>
        <w:rPr>
          <w:rFonts w:hint="eastAsia" w:ascii="Times New Roman" w:hAnsi="Times New Roman" w:cs="Times New Roman"/>
          <w:u w:val="single"/>
        </w:rPr>
        <w:t>30%</w:t>
      </w:r>
      <w:r>
        <w:rPr>
          <w:rFonts w:hint="eastAsia" w:ascii="Times New Roman" w:hAnsi="Times New Roman" w:cs="Times New Roman"/>
        </w:rPr>
        <w:t>支付违约金，同时乙方须返回甲方已支付的所有费用。</w:t>
      </w:r>
    </w:p>
    <w:p>
      <w:pPr>
        <w:spacing w:line="440" w:lineRule="exact"/>
        <w:ind w:firstLine="420"/>
        <w:rPr>
          <w:rFonts w:ascii="Times New Roman" w:hAnsi="Times New Roman" w:cs="Times New Roman"/>
        </w:rPr>
      </w:pPr>
      <w:r>
        <w:rPr>
          <w:rFonts w:hint="eastAsia" w:ascii="Times New Roman" w:hAnsi="Times New Roman" w:cs="Times New Roman"/>
        </w:rPr>
        <w:t>4、乙方在交货时应一并提供产品质量合格证和相关的出厂检验报告、保修书等，否则甲方有权不予验收，且交货期不予顺延，同时乙方应按照本合同第十条向甲方承担违约责任。</w:t>
      </w:r>
    </w:p>
    <w:p>
      <w:pPr>
        <w:spacing w:line="440" w:lineRule="exact"/>
        <w:ind w:firstLine="420"/>
        <w:rPr>
          <w:rFonts w:ascii="Times New Roman" w:hAnsi="Times New Roman" w:cs="Times New Roman"/>
        </w:rPr>
      </w:pPr>
      <w:r>
        <w:rPr>
          <w:rFonts w:hint="eastAsia" w:ascii="Times New Roman" w:hAnsi="Times New Roman" w:cs="Times New Roman"/>
        </w:rPr>
        <w:t>第七条 产品风险转移</w:t>
      </w:r>
    </w:p>
    <w:p>
      <w:pPr>
        <w:spacing w:line="440" w:lineRule="exact"/>
        <w:ind w:firstLine="420"/>
        <w:rPr>
          <w:rFonts w:ascii="Times New Roman" w:hAnsi="Times New Roman" w:cs="Times New Roman"/>
        </w:rPr>
      </w:pPr>
      <w:r>
        <w:rPr>
          <w:rFonts w:hint="eastAsia" w:ascii="Times New Roman" w:hAnsi="Times New Roman" w:cs="Times New Roman"/>
        </w:rPr>
        <w:t>标的物在验收合格前，毁损、灭失的风险由乙方承担，经验收合格后，其毁损、灭失的风险由甲方承担。</w:t>
      </w:r>
    </w:p>
    <w:p>
      <w:pPr>
        <w:spacing w:line="440" w:lineRule="exact"/>
        <w:ind w:firstLine="420"/>
        <w:rPr>
          <w:rFonts w:ascii="Times New Roman" w:hAnsi="Times New Roman" w:cs="Times New Roman"/>
        </w:rPr>
      </w:pPr>
      <w:r>
        <w:rPr>
          <w:rFonts w:hint="eastAsia" w:ascii="Times New Roman" w:hAnsi="Times New Roman" w:cs="Times New Roman"/>
        </w:rPr>
        <w:t>第八条 售后服务</w:t>
      </w:r>
    </w:p>
    <w:p>
      <w:pPr>
        <w:spacing w:line="440" w:lineRule="exact"/>
        <w:ind w:firstLine="420"/>
        <w:rPr>
          <w:rFonts w:ascii="Times New Roman" w:hAnsi="Times New Roman" w:cs="Times New Roman"/>
        </w:rPr>
      </w:pPr>
      <w:r>
        <w:rPr>
          <w:rFonts w:hint="eastAsia" w:ascii="Times New Roman" w:hAnsi="Times New Roman" w:cs="Times New Roman"/>
        </w:rPr>
        <w:t>1、产品质保期为</w:t>
      </w:r>
      <w:r>
        <w:rPr>
          <w:rFonts w:ascii="Times New Roman" w:hAnsi="Times New Roman" w:cs="Times New Roman"/>
        </w:rPr>
        <w:t>___</w:t>
      </w:r>
      <w:r>
        <w:rPr>
          <w:rFonts w:hint="eastAsia" w:ascii="Times New Roman" w:hAnsi="Times New Roman" w:cs="Times New Roman"/>
        </w:rPr>
        <w:t>年</w:t>
      </w:r>
      <w:r>
        <w:rPr>
          <w:rFonts w:ascii="Times New Roman" w:hAnsi="Times New Roman" w:cs="Times New Roman"/>
        </w:rPr>
        <w:t xml:space="preserve"> </w:t>
      </w:r>
      <w:r>
        <w:rPr>
          <w:rFonts w:hint="eastAsia" w:ascii="Times New Roman" w:hAnsi="Times New Roman" w:cs="Times New Roman"/>
        </w:rPr>
        <w:t>，非易耗品不低于一年</w:t>
      </w:r>
      <w:r>
        <w:rPr>
          <w:rFonts w:ascii="Times New Roman" w:hAnsi="Times New Roman" w:cs="Times New Roman"/>
        </w:rPr>
        <w:t>( 从设备安装完毕验收合格之日起)。</w:t>
      </w:r>
      <w:r>
        <w:rPr>
          <w:rFonts w:hint="eastAsia" w:ascii="Times New Roman" w:hAnsi="Times New Roman" w:cs="Times New Roman"/>
        </w:rPr>
        <w:t>质保期内乙方免费为甲方提供合同货物的技术指导和维修服务。</w:t>
      </w:r>
      <w:r>
        <w:rPr>
          <w:rFonts w:ascii="Times New Roman" w:hAnsi="Times New Roman" w:cs="Times New Roman"/>
        </w:rPr>
        <w:t>如因产品质量问题</w:t>
      </w:r>
      <w:r>
        <w:rPr>
          <w:rFonts w:hint="eastAsia" w:ascii="Times New Roman" w:hAnsi="Times New Roman" w:cs="Times New Roman"/>
        </w:rPr>
        <w:t>导致甲方不能正常使用，由乙方负责维修，若质量问题严重，乙方负责为甲方更换质量合格的产品。若不能正常使用是由于甲方使用不当引起的，由乙方负责维修，甲方支付工本费。</w:t>
      </w:r>
    </w:p>
    <w:p>
      <w:pPr>
        <w:spacing w:line="440" w:lineRule="exact"/>
        <w:ind w:firstLine="420"/>
        <w:rPr>
          <w:rFonts w:ascii="Times New Roman" w:hAnsi="Times New Roman" w:cs="Times New Roman"/>
        </w:rPr>
      </w:pPr>
      <w:r>
        <w:rPr>
          <w:rFonts w:hint="eastAsia" w:ascii="Times New Roman" w:hAnsi="Times New Roman" w:cs="Times New Roman"/>
        </w:rPr>
        <w:t>2、乙方保证在合同货物质量保修期内发生故障和缺陷时，接到甲方提出的技术服务或维修通知后</w:t>
      </w:r>
      <w:r>
        <w:rPr>
          <w:rFonts w:ascii="Times New Roman" w:hAnsi="Times New Roman" w:cs="Times New Roman"/>
          <w:u w:val="single"/>
        </w:rPr>
        <w:t xml:space="preserve">24 </w:t>
      </w:r>
      <w:r>
        <w:rPr>
          <w:rFonts w:hint="eastAsia" w:ascii="Times New Roman" w:hAnsi="Times New Roman" w:cs="Times New Roman"/>
        </w:rPr>
        <w:t>小时内派员到甲方提供技术服务、维修或退换货。</w:t>
      </w:r>
    </w:p>
    <w:p>
      <w:pPr>
        <w:spacing w:line="440" w:lineRule="exact"/>
        <w:ind w:firstLine="420"/>
        <w:rPr>
          <w:rFonts w:ascii="Times New Roman" w:hAnsi="Times New Roman" w:cs="Times New Roman"/>
        </w:rPr>
      </w:pPr>
      <w:r>
        <w:rPr>
          <w:rFonts w:hint="eastAsia" w:ascii="Times New Roman" w:hAnsi="Times New Roman" w:cs="Times New Roman"/>
        </w:rPr>
        <w:t>3、如乙方在合同货物质量保修期内怠于履行售后服务，甲方有权委托第三方对合同货物进行维修或提供技术服务，因此产生的相关费用在乙方的质保金中扣除，如质保金不足以支付维修费用的，超出部分由乙方全部承担。</w:t>
      </w:r>
    </w:p>
    <w:p>
      <w:pPr>
        <w:spacing w:line="440" w:lineRule="exact"/>
        <w:ind w:firstLine="420"/>
        <w:rPr>
          <w:rFonts w:ascii="Times New Roman" w:hAnsi="Times New Roman" w:cs="Times New Roman"/>
        </w:rPr>
      </w:pPr>
      <w:r>
        <w:rPr>
          <w:rFonts w:hint="eastAsia" w:ascii="Times New Roman" w:hAnsi="Times New Roman" w:cs="Times New Roman"/>
        </w:rPr>
        <w:t>第九条 不可抗力</w:t>
      </w:r>
    </w:p>
    <w:p>
      <w:pPr>
        <w:spacing w:line="440" w:lineRule="exact"/>
        <w:ind w:firstLine="420"/>
        <w:rPr>
          <w:rFonts w:ascii="Times New Roman" w:hAnsi="Times New Roman" w:cs="Times New Roman"/>
        </w:rPr>
      </w:pPr>
      <w:r>
        <w:rPr>
          <w:rFonts w:hint="eastAsia" w:ascii="Times New Roman" w:hAnsi="Times New Roman" w:cs="Times New Roman"/>
        </w:rPr>
        <w:t>本合同所称不可抗力是指台风、洪水、冰雹、地震等自然灾害以及战争等政府行为等原因，致使货物延迟交付或无法交付，任何一</w:t>
      </w:r>
      <w:r>
        <w:rPr>
          <w:rFonts w:ascii="Times New Roman" w:hAnsi="Times New Roman" w:cs="Times New Roman"/>
        </w:rPr>
        <w:t>方均有权解除合同，互不</w:t>
      </w:r>
      <w:r>
        <w:rPr>
          <w:rFonts w:hint="eastAsia" w:ascii="Times New Roman" w:hAnsi="Times New Roman" w:cs="Times New Roman"/>
        </w:rPr>
        <w:t>承担责任。在乙方得知可能发生不可抗力的情况后，应当自不可抗力事件发生后10日内告知甲方，由双方重新协商安排各项有关事宜。</w:t>
      </w:r>
    </w:p>
    <w:p>
      <w:pPr>
        <w:spacing w:line="440" w:lineRule="exact"/>
        <w:ind w:firstLine="420"/>
        <w:rPr>
          <w:rFonts w:ascii="Times New Roman" w:hAnsi="Times New Roman" w:cs="Times New Roman"/>
        </w:rPr>
      </w:pPr>
      <w:r>
        <w:rPr>
          <w:rFonts w:hint="eastAsia" w:ascii="Times New Roman" w:hAnsi="Times New Roman" w:cs="Times New Roman"/>
        </w:rPr>
        <w:t>第十条 违约责任</w:t>
      </w:r>
    </w:p>
    <w:p>
      <w:pPr>
        <w:spacing w:line="440" w:lineRule="exact"/>
        <w:ind w:firstLine="420"/>
        <w:rPr>
          <w:rFonts w:ascii="Times New Roman" w:hAnsi="Times New Roman" w:cs="Times New Roman"/>
        </w:rPr>
      </w:pPr>
      <w:r>
        <w:rPr>
          <w:rFonts w:hint="eastAsia" w:ascii="Times New Roman" w:hAnsi="Times New Roman" w:cs="Times New Roman"/>
        </w:rPr>
        <w:t>1、乙方在未经甲方同意的情况下擅自变更合同标的物或转让合同义务，甲方有权解除合同，并要求乙方按照合同总金额的</w:t>
      </w:r>
      <w:r>
        <w:rPr>
          <w:rFonts w:hint="eastAsia" w:ascii="Times New Roman" w:hAnsi="Times New Roman" w:cs="Times New Roman"/>
          <w:u w:val="single"/>
        </w:rPr>
        <w:t xml:space="preserve"> 30</w:t>
      </w:r>
      <w:r>
        <w:rPr>
          <w:rFonts w:ascii="Times New Roman" w:hAnsi="Times New Roman" w:cs="Times New Roman"/>
          <w:u w:val="single"/>
        </w:rPr>
        <w:t xml:space="preserve"> </w:t>
      </w:r>
      <w:r>
        <w:rPr>
          <w:rFonts w:hint="eastAsia" w:ascii="Times New Roman" w:hAnsi="Times New Roman" w:cs="Times New Roman"/>
          <w:u w:val="single"/>
        </w:rPr>
        <w:t>%</w:t>
      </w:r>
      <w:r>
        <w:rPr>
          <w:rFonts w:hint="eastAsia" w:ascii="Times New Roman" w:hAnsi="Times New Roman" w:cs="Times New Roman"/>
        </w:rPr>
        <w:t>支付违约金，同时乙方须返回甲方已支付的所有费用。</w:t>
      </w:r>
    </w:p>
    <w:p>
      <w:pPr>
        <w:spacing w:line="440" w:lineRule="exact"/>
        <w:ind w:firstLine="420"/>
        <w:rPr>
          <w:rFonts w:ascii="Times New Roman" w:hAnsi="Times New Roman" w:cs="Times New Roman"/>
        </w:rPr>
      </w:pPr>
      <w:r>
        <w:rPr>
          <w:rFonts w:hint="eastAsia" w:ascii="Times New Roman" w:hAnsi="Times New Roman" w:cs="Times New Roman"/>
        </w:rPr>
        <w:t>2、乙方违反合同约定质量标准的，且经甲方通知后</w:t>
      </w:r>
      <w:r>
        <w:rPr>
          <w:rFonts w:hint="eastAsia" w:ascii="Times New Roman" w:hAnsi="Times New Roman" w:cs="Times New Roman"/>
          <w:u w:val="single"/>
        </w:rPr>
        <w:t>5</w:t>
      </w:r>
      <w:r>
        <w:rPr>
          <w:rFonts w:hint="eastAsia" w:ascii="Times New Roman" w:hAnsi="Times New Roman" w:cs="Times New Roman"/>
        </w:rPr>
        <w:t>日内未能更换货品或重新提供货品的，甲方有权单方解除合同，乙方需承担合同总金额的</w:t>
      </w:r>
      <w:r>
        <w:rPr>
          <w:rFonts w:hint="eastAsia" w:ascii="Times New Roman" w:hAnsi="Times New Roman" w:cs="Times New Roman"/>
          <w:u w:val="single"/>
        </w:rPr>
        <w:t>30%</w:t>
      </w:r>
      <w:r>
        <w:rPr>
          <w:rFonts w:hint="eastAsia" w:ascii="Times New Roman" w:hAnsi="Times New Roman" w:cs="Times New Roman"/>
        </w:rPr>
        <w:t>违约金，且剩余货款不予支付并要求乙方返还已收取的货款。</w:t>
      </w:r>
    </w:p>
    <w:p>
      <w:pPr>
        <w:spacing w:line="440" w:lineRule="exact"/>
        <w:ind w:firstLine="420"/>
        <w:rPr>
          <w:rFonts w:ascii="Times New Roman" w:hAnsi="Times New Roman" w:cs="Times New Roman"/>
        </w:rPr>
      </w:pPr>
      <w:r>
        <w:rPr>
          <w:rFonts w:hint="eastAsia" w:ascii="Times New Roman" w:hAnsi="Times New Roman" w:cs="Times New Roman"/>
        </w:rPr>
        <w:t>3、乙方违反合同约定的交货期限，逾期交货的，每日按合同总金额的0.4%承担违约责任。乙方逾期超过</w:t>
      </w:r>
      <w:r>
        <w:rPr>
          <w:rFonts w:hint="eastAsia" w:ascii="Times New Roman" w:hAnsi="Times New Roman" w:cs="Times New Roman"/>
          <w:u w:val="single"/>
        </w:rPr>
        <w:t>15</w:t>
      </w:r>
      <w:r>
        <w:rPr>
          <w:rFonts w:hint="eastAsia" w:ascii="Times New Roman" w:hAnsi="Times New Roman" w:cs="Times New Roman"/>
        </w:rPr>
        <w:t>日的，甲方有权单方解除合同，乙方需承担合同总金额的30%违约金。</w:t>
      </w:r>
    </w:p>
    <w:p>
      <w:pPr>
        <w:spacing w:line="440" w:lineRule="exac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甲方因违反合同约定拒绝接受货物由此造成的损失应当由甲方承担。</w:t>
      </w:r>
    </w:p>
    <w:p>
      <w:pPr>
        <w:spacing w:line="440" w:lineRule="exact"/>
        <w:ind w:firstLine="420"/>
        <w:rPr>
          <w:rFonts w:ascii="Times New Roman" w:hAnsi="Times New Roman" w:cs="Times New Roman"/>
        </w:rPr>
      </w:pPr>
      <w:r>
        <w:rPr>
          <w:rFonts w:hint="eastAsia" w:ascii="Times New Roman" w:hAnsi="Times New Roman" w:cs="Times New Roman"/>
        </w:rPr>
        <w:t>5、甲方应按照合同约定支付货款，逾期付款的，每日按合同总金额的0.4%承担违约责任。逾期超过15日的，乙方有权单方解除合同，并按照合同总金额的 30</w:t>
      </w:r>
      <w:r>
        <w:rPr>
          <w:rFonts w:ascii="Times New Roman" w:hAnsi="Times New Roman" w:cs="Times New Roman"/>
        </w:rPr>
        <w:t xml:space="preserve"> </w:t>
      </w:r>
      <w:r>
        <w:rPr>
          <w:rFonts w:hint="eastAsia" w:ascii="Times New Roman" w:hAnsi="Times New Roman" w:cs="Times New Roman"/>
        </w:rPr>
        <w:t>%支付违约金。</w:t>
      </w:r>
    </w:p>
    <w:p>
      <w:pPr>
        <w:spacing w:line="440" w:lineRule="exact"/>
        <w:ind w:firstLine="420"/>
        <w:rPr>
          <w:rFonts w:ascii="Times New Roman" w:hAnsi="Times New Roman" w:cs="Times New Roman"/>
        </w:rPr>
      </w:pPr>
      <w:r>
        <w:rPr>
          <w:rFonts w:hint="eastAsia" w:ascii="Times New Roman" w:hAnsi="Times New Roman" w:cs="Times New Roman"/>
        </w:rPr>
        <w:t>第十条 约定送达</w:t>
      </w:r>
    </w:p>
    <w:p>
      <w:pPr>
        <w:spacing w:line="440" w:lineRule="exact"/>
        <w:ind w:firstLine="420"/>
        <w:rPr>
          <w:rFonts w:ascii="Times New Roman" w:hAnsi="Times New Roman" w:cs="Times New Roman"/>
        </w:rPr>
      </w:pPr>
      <w:r>
        <w:rPr>
          <w:rFonts w:hint="eastAsia" w:ascii="Times New Roman" w:hAnsi="Times New Roman" w:cs="Times New Roman"/>
        </w:rPr>
        <w:t>1、合同各方确认本合同签署页中的地址、联系方式、电子邮箱为双方各自约定送达地址，确认上述送达地址和联系方式适用至本合同履行完毕或争议进入民事诉讼程序后的一审、二审、再审和执行程序。</w:t>
      </w:r>
    </w:p>
    <w:p>
      <w:pPr>
        <w:spacing w:line="440" w:lineRule="exact"/>
        <w:ind w:firstLine="420"/>
        <w:rPr>
          <w:rFonts w:ascii="Times New Roman" w:hAnsi="Times New Roman" w:cs="Times New Roman"/>
        </w:rPr>
      </w:pPr>
      <w:r>
        <w:rPr>
          <w:rFonts w:hint="eastAsia" w:ascii="Times New Roman" w:hAnsi="Times New Roman" w:cs="Times New Roman"/>
        </w:rPr>
        <w:t>2、任何一方送达地址和联系方式需要变更的，应提前五个工作日以书面方式向合同其他方及司法机关送交书面变更告知书。</w:t>
      </w:r>
    </w:p>
    <w:p>
      <w:pPr>
        <w:spacing w:line="440" w:lineRule="exact"/>
        <w:ind w:firstLine="420"/>
        <w:rPr>
          <w:rFonts w:ascii="Times New Roman" w:hAnsi="Times New Roman" w:cs="Times New Roman"/>
        </w:rPr>
      </w:pPr>
      <w:r>
        <w:rPr>
          <w:rFonts w:hint="eastAsia" w:ascii="Times New Roman" w:hAnsi="Times New Roman" w:cs="Times New Roman"/>
        </w:rPr>
        <w:t>3、明确因各方提供或者确认的送达地址和联系方式不准确、或者送达地址变更后未及时依程序告知对方和司法机关、当事人和指定接收人拒绝签收等原因，导致诉讼文书未能被当事人实际接收，邮寄送达的，以文书退回之日视为送达之日；直接送达的，送达人当场在送达回证上记明情况之日视为送达之日。</w:t>
      </w:r>
    </w:p>
    <w:p>
      <w:pPr>
        <w:spacing w:line="440" w:lineRule="exact"/>
        <w:ind w:firstLine="420"/>
        <w:rPr>
          <w:rFonts w:ascii="Times New Roman" w:hAnsi="Times New Roman" w:cs="Times New Roman"/>
        </w:rPr>
      </w:pPr>
      <w:r>
        <w:rPr>
          <w:rFonts w:hint="eastAsia" w:ascii="Times New Roman" w:hAnsi="Times New Roman" w:cs="Times New Roman"/>
        </w:rPr>
        <w:t>第十一条 争议解决的方式</w:t>
      </w:r>
    </w:p>
    <w:p>
      <w:pPr>
        <w:spacing w:line="440" w:lineRule="exact"/>
        <w:ind w:firstLine="420"/>
        <w:rPr>
          <w:rFonts w:ascii="Times New Roman" w:hAnsi="Times New Roman" w:cs="Times New Roman"/>
        </w:rPr>
      </w:pPr>
      <w:r>
        <w:rPr>
          <w:rFonts w:hint="eastAsia" w:ascii="Times New Roman" w:hAnsi="Times New Roman" w:cs="Times New Roman"/>
        </w:rPr>
        <w:t>因本合同发生的一切争议，双方因先协商解决，协商不成的应向甲方所在地人民法院诉讼解决。</w:t>
      </w:r>
    </w:p>
    <w:p>
      <w:pPr>
        <w:spacing w:line="440" w:lineRule="exact"/>
        <w:ind w:firstLine="420"/>
        <w:rPr>
          <w:rFonts w:ascii="Times New Roman" w:hAnsi="Times New Roman" w:cs="Times New Roman"/>
        </w:rPr>
      </w:pPr>
      <w:r>
        <w:rPr>
          <w:rFonts w:hint="eastAsia" w:ascii="Times New Roman" w:hAnsi="Times New Roman" w:cs="Times New Roman"/>
        </w:rPr>
        <w:t>第十二条 其他</w:t>
      </w:r>
    </w:p>
    <w:p>
      <w:pPr>
        <w:spacing w:line="440" w:lineRule="exact"/>
        <w:ind w:firstLine="420"/>
        <w:rPr>
          <w:rFonts w:ascii="Times New Roman" w:hAnsi="Times New Roman" w:cs="Times New Roman"/>
        </w:rPr>
      </w:pPr>
      <w:r>
        <w:rPr>
          <w:rFonts w:hint="eastAsia" w:ascii="Times New Roman" w:hAnsi="Times New Roman" w:cs="Times New Roman"/>
        </w:rPr>
        <w:t>1、本合同未尽事宜，由双方另行协商签订补充协议，与本合同具有同等法律效力。</w:t>
      </w:r>
    </w:p>
    <w:p>
      <w:pPr>
        <w:spacing w:line="440" w:lineRule="exact"/>
        <w:ind w:firstLine="420"/>
        <w:rPr>
          <w:rFonts w:ascii="Times New Roman" w:hAnsi="Times New Roman" w:cs="Times New Roman"/>
        </w:rPr>
      </w:pPr>
      <w:r>
        <w:rPr>
          <w:rFonts w:hint="eastAsia" w:ascii="Times New Roman" w:hAnsi="Times New Roman" w:cs="Times New Roman"/>
        </w:rPr>
        <w:t>2、本合同自双方签订盖章时生效，一式肆份，双方各执贰份。</w:t>
      </w:r>
    </w:p>
    <w:p>
      <w:pPr>
        <w:pStyle w:val="22"/>
      </w:pPr>
    </w:p>
    <w:p>
      <w:pPr>
        <w:spacing w:line="276" w:lineRule="auto"/>
        <w:rPr>
          <w:rFonts w:ascii="等线" w:hAnsi="等线"/>
          <w:color w:val="000000"/>
          <w:u w:val="single"/>
          <w:lang w:val="ru-RU"/>
        </w:rPr>
      </w:pPr>
      <w:r>
        <w:rPr>
          <w:rFonts w:hint="eastAsia" w:ascii="等线" w:hAnsi="等线"/>
          <w:color w:val="000000"/>
          <w:lang w:val="ru-RU"/>
        </w:rPr>
        <w:t>买方：</w:t>
      </w:r>
      <w:r>
        <w:rPr>
          <w:rFonts w:hint="eastAsia" w:ascii="等线" w:hAnsi="等线"/>
          <w:color w:val="000000"/>
          <w:u w:val="single"/>
          <w:lang w:val="ru-RU"/>
        </w:rPr>
        <w:t>安徽省高速公路试验检测科研中心有限公司</w:t>
      </w:r>
      <w:r>
        <w:rPr>
          <w:rFonts w:ascii="等线" w:hAnsi="等线"/>
          <w:color w:val="000000"/>
          <w:u w:val="single"/>
          <w:lang w:val="ru-RU"/>
        </w:rPr>
        <w:t xml:space="preserve"> </w:t>
      </w:r>
      <w:r>
        <w:rPr>
          <w:rFonts w:ascii="等线" w:hAnsi="等线"/>
          <w:color w:val="000000"/>
          <w:lang w:val="ru-RU"/>
        </w:rPr>
        <w:t xml:space="preserve">    </w:t>
      </w:r>
      <w:r>
        <w:rPr>
          <w:rFonts w:hint="eastAsia" w:ascii="等线" w:hAnsi="等线"/>
          <w:color w:val="000000"/>
          <w:lang w:val="ru-RU"/>
        </w:rPr>
        <w:t>卖方：</w:t>
      </w:r>
      <w:r>
        <w:rPr>
          <w:rFonts w:hint="eastAsia" w:ascii="等线" w:hAnsi="等线"/>
          <w:color w:val="000000"/>
          <w:u w:val="single"/>
          <w:lang w:val="ru-RU"/>
        </w:rPr>
        <w:t xml:space="preserve"> </w:t>
      </w:r>
      <w:r>
        <w:rPr>
          <w:rFonts w:ascii="等线" w:hAnsi="等线"/>
          <w:color w:val="000000"/>
          <w:u w:val="single"/>
          <w:lang w:val="ru-RU"/>
        </w:rPr>
        <w:t xml:space="preserve">                          </w:t>
      </w:r>
    </w:p>
    <w:p>
      <w:pPr>
        <w:spacing w:line="276" w:lineRule="auto"/>
        <w:rPr>
          <w:rFonts w:ascii="等线" w:hAnsi="等线"/>
          <w:color w:val="000000"/>
          <w:u w:val="single"/>
          <w:lang w:val="ru-RU"/>
        </w:rPr>
      </w:pPr>
      <w:r>
        <w:rPr>
          <w:rFonts w:hint="eastAsia" w:ascii="等线" w:hAnsi="等线"/>
          <w:color w:val="000000"/>
          <w:lang w:val="ru-RU"/>
        </w:rPr>
        <w:t>法定代表人/委托代理人：</w:t>
      </w:r>
      <w:r>
        <w:rPr>
          <w:rFonts w:hint="eastAsia" w:ascii="等线" w:hAnsi="等线"/>
          <w:color w:val="000000"/>
          <w:u w:val="single"/>
          <w:lang w:val="ru-RU"/>
        </w:rPr>
        <w:t xml:space="preserve"> </w:t>
      </w:r>
      <w:r>
        <w:rPr>
          <w:rFonts w:ascii="等线" w:hAnsi="等线"/>
          <w:color w:val="000000"/>
          <w:u w:val="single"/>
          <w:lang w:val="ru-RU"/>
        </w:rPr>
        <w:t xml:space="preserve">         </w:t>
      </w:r>
      <w:r>
        <w:rPr>
          <w:rFonts w:ascii="等线" w:hAnsi="等线"/>
          <w:color w:val="000000"/>
          <w:lang w:val="ru-RU"/>
        </w:rPr>
        <w:t xml:space="preserve">     </w:t>
      </w:r>
      <w:r>
        <w:rPr>
          <w:rFonts w:hint="eastAsia" w:ascii="等线" w:hAnsi="等线"/>
          <w:color w:val="000000"/>
          <w:lang w:val="ru-RU"/>
        </w:rPr>
        <w:t xml:space="preserve">    </w:t>
      </w:r>
      <w:r>
        <w:rPr>
          <w:rFonts w:ascii="等线" w:hAnsi="等线"/>
          <w:color w:val="000000"/>
          <w:lang w:val="ru-RU"/>
        </w:rPr>
        <w:t xml:space="preserve"> </w:t>
      </w:r>
      <w:r>
        <w:rPr>
          <w:rFonts w:hint="eastAsia" w:ascii="等线" w:hAnsi="等线"/>
          <w:color w:val="000000"/>
          <w:lang w:val="ru-RU"/>
        </w:rPr>
        <w:t xml:space="preserve">       法定代表人/委托代理人：</w:t>
      </w:r>
      <w:r>
        <w:rPr>
          <w:rFonts w:hint="eastAsia" w:ascii="等线" w:hAnsi="等线"/>
          <w:color w:val="000000"/>
          <w:u w:val="single"/>
          <w:lang w:val="ru-RU"/>
        </w:rPr>
        <w:t xml:space="preserve"> </w:t>
      </w:r>
      <w:r>
        <w:rPr>
          <w:rFonts w:ascii="等线" w:hAnsi="等线"/>
          <w:color w:val="000000"/>
          <w:u w:val="single"/>
          <w:lang w:val="ru-RU"/>
        </w:rPr>
        <w:t xml:space="preserve">        </w:t>
      </w:r>
    </w:p>
    <w:p>
      <w:pPr>
        <w:spacing w:line="276" w:lineRule="auto"/>
        <w:rPr>
          <w:rFonts w:ascii="等线" w:hAnsi="等线"/>
          <w:color w:val="000000"/>
          <w:u w:val="single"/>
          <w:lang w:val="ru-RU"/>
        </w:rPr>
      </w:pPr>
      <w:r>
        <w:rPr>
          <w:rFonts w:hint="eastAsia" w:ascii="等线" w:hAnsi="等线"/>
          <w:color w:val="000000"/>
          <w:lang w:val="ru-RU"/>
        </w:rPr>
        <w:t>地址：</w:t>
      </w:r>
      <w:r>
        <w:rPr>
          <w:rFonts w:hint="eastAsia" w:ascii="等线" w:hAnsi="等线"/>
          <w:color w:val="000000"/>
          <w:u w:val="single"/>
          <w:lang w:val="ru-RU"/>
        </w:rPr>
        <w:t>合肥市蜀山区金寨南路18号</w:t>
      </w:r>
      <w:r>
        <w:rPr>
          <w:rFonts w:ascii="等线" w:hAnsi="等线"/>
          <w:color w:val="000000"/>
          <w:lang w:val="ru-RU"/>
        </w:rPr>
        <w:t xml:space="preserve">    </w:t>
      </w:r>
      <w:r>
        <w:rPr>
          <w:rFonts w:hint="eastAsia" w:ascii="等线" w:hAnsi="等线"/>
          <w:color w:val="000000"/>
          <w:lang w:val="ru-RU"/>
        </w:rPr>
        <w:t xml:space="preserve">    </w:t>
      </w:r>
      <w:r>
        <w:rPr>
          <w:rFonts w:ascii="等线" w:hAnsi="等线"/>
          <w:color w:val="000000"/>
          <w:lang w:val="ru-RU"/>
        </w:rPr>
        <w:t xml:space="preserve"> </w:t>
      </w:r>
      <w:r>
        <w:rPr>
          <w:rFonts w:hint="eastAsia" w:ascii="等线" w:hAnsi="等线"/>
          <w:color w:val="000000"/>
          <w:lang w:val="ru-RU"/>
        </w:rPr>
        <w:t xml:space="preserve"> </w:t>
      </w:r>
      <w:r>
        <w:rPr>
          <w:rFonts w:ascii="等线" w:hAnsi="等线"/>
          <w:color w:val="000000"/>
          <w:lang w:val="ru-RU"/>
        </w:rPr>
        <w:t xml:space="preserve"> </w:t>
      </w:r>
      <w:r>
        <w:rPr>
          <w:rFonts w:hint="eastAsia" w:ascii="等线" w:hAnsi="等线"/>
          <w:color w:val="000000"/>
          <w:lang w:val="ru-RU"/>
        </w:rPr>
        <w:t xml:space="preserve">       地址：</w:t>
      </w:r>
      <w:r>
        <w:rPr>
          <w:rFonts w:hint="eastAsia" w:ascii="等线" w:hAnsi="等线"/>
          <w:color w:val="000000"/>
          <w:u w:val="single"/>
          <w:lang w:val="ru-RU"/>
        </w:rPr>
        <w:t xml:space="preserve"> </w:t>
      </w:r>
      <w:r>
        <w:rPr>
          <w:rFonts w:ascii="等线" w:hAnsi="等线"/>
          <w:color w:val="000000"/>
          <w:u w:val="single"/>
          <w:lang w:val="ru-RU"/>
        </w:rPr>
        <w:t xml:space="preserve">                         </w:t>
      </w:r>
    </w:p>
    <w:p>
      <w:pPr>
        <w:spacing w:line="276" w:lineRule="auto"/>
        <w:rPr>
          <w:rFonts w:ascii="等线" w:hAnsi="等线"/>
          <w:color w:val="000000"/>
          <w:u w:val="single"/>
          <w:lang w:val="ru-RU"/>
        </w:rPr>
      </w:pPr>
      <w:r>
        <w:rPr>
          <w:rFonts w:hint="eastAsia" w:ascii="等线" w:hAnsi="等线"/>
          <w:color w:val="000000"/>
          <w:lang w:val="ru-RU"/>
        </w:rPr>
        <w:t>联系方式：</w:t>
      </w:r>
      <w:r>
        <w:rPr>
          <w:rFonts w:hint="eastAsia" w:ascii="等线" w:hAnsi="等线"/>
          <w:color w:val="000000"/>
          <w:u w:val="single"/>
          <w:lang w:val="ru-RU"/>
        </w:rPr>
        <w:t xml:space="preserve"> </w:t>
      </w:r>
      <w:r>
        <w:rPr>
          <w:rFonts w:ascii="等线" w:hAnsi="等线"/>
          <w:color w:val="000000"/>
          <w:u w:val="single"/>
          <w:lang w:val="ru-RU"/>
        </w:rPr>
        <w:t xml:space="preserve">                      </w:t>
      </w:r>
      <w:r>
        <w:rPr>
          <w:rFonts w:ascii="等线" w:hAnsi="等线"/>
          <w:color w:val="000000"/>
          <w:lang w:val="ru-RU"/>
        </w:rPr>
        <w:t xml:space="preserve">     </w:t>
      </w:r>
      <w:r>
        <w:rPr>
          <w:rFonts w:hint="eastAsia" w:ascii="等线" w:hAnsi="等线"/>
          <w:color w:val="000000"/>
          <w:lang w:val="ru-RU"/>
        </w:rPr>
        <w:t xml:space="preserve">     </w:t>
      </w:r>
      <w:r>
        <w:rPr>
          <w:rFonts w:ascii="等线" w:hAnsi="等线"/>
          <w:color w:val="000000"/>
          <w:lang w:val="ru-RU"/>
        </w:rPr>
        <w:t xml:space="preserve"> </w:t>
      </w:r>
      <w:r>
        <w:rPr>
          <w:rFonts w:hint="eastAsia" w:ascii="等线" w:hAnsi="等线"/>
          <w:color w:val="000000"/>
          <w:lang w:val="ru-RU"/>
        </w:rPr>
        <w:t xml:space="preserve">     联系方式：</w:t>
      </w:r>
      <w:r>
        <w:rPr>
          <w:rFonts w:hint="eastAsia" w:ascii="等线" w:hAnsi="等线"/>
          <w:color w:val="000000"/>
          <w:u w:val="single"/>
          <w:lang w:val="ru-RU"/>
        </w:rPr>
        <w:t xml:space="preserve"> </w:t>
      </w:r>
      <w:r>
        <w:rPr>
          <w:rFonts w:ascii="等线" w:hAnsi="等线"/>
          <w:color w:val="000000"/>
          <w:u w:val="single"/>
          <w:lang w:val="ru-RU"/>
        </w:rPr>
        <w:t xml:space="preserve">                       </w:t>
      </w:r>
    </w:p>
    <w:p>
      <w:pPr>
        <w:spacing w:line="276" w:lineRule="auto"/>
        <w:rPr>
          <w:rFonts w:ascii="等线" w:hAnsi="等线"/>
          <w:color w:val="000000"/>
          <w:u w:val="single"/>
          <w:lang w:val="ru-RU"/>
        </w:rPr>
      </w:pPr>
      <w:r>
        <w:rPr>
          <w:rFonts w:hint="eastAsia" w:ascii="等线" w:hAnsi="等线"/>
          <w:color w:val="000000"/>
          <w:lang w:val="ru-RU"/>
        </w:rPr>
        <w:t>开户行：</w:t>
      </w:r>
      <w:r>
        <w:rPr>
          <w:rFonts w:hint="eastAsia" w:ascii="等线" w:hAnsi="等线"/>
          <w:color w:val="000000"/>
          <w:u w:val="single"/>
          <w:lang w:val="ru-RU"/>
        </w:rPr>
        <w:t>光大银行合肥经济开发区支行</w:t>
      </w:r>
      <w:r>
        <w:rPr>
          <w:rFonts w:hint="eastAsia" w:ascii="等线" w:hAnsi="等线"/>
          <w:color w:val="000000"/>
          <w:lang w:val="ru-RU"/>
        </w:rPr>
        <w:t xml:space="preserve"> </w:t>
      </w:r>
      <w:r>
        <w:rPr>
          <w:rFonts w:ascii="等线" w:hAnsi="等线"/>
          <w:color w:val="000000"/>
          <w:lang w:val="ru-RU"/>
        </w:rPr>
        <w:t xml:space="preserve">   </w:t>
      </w:r>
      <w:r>
        <w:rPr>
          <w:rFonts w:hint="eastAsia" w:ascii="等线" w:hAnsi="等线"/>
          <w:color w:val="000000"/>
          <w:lang w:val="ru-RU"/>
        </w:rPr>
        <w:t xml:space="preserve">    </w:t>
      </w:r>
      <w:r>
        <w:rPr>
          <w:rFonts w:ascii="等线" w:hAnsi="等线"/>
          <w:color w:val="000000"/>
          <w:lang w:val="ru-RU"/>
        </w:rPr>
        <w:t xml:space="preserve"> </w:t>
      </w:r>
      <w:r>
        <w:rPr>
          <w:rFonts w:hint="eastAsia" w:ascii="等线" w:hAnsi="等线"/>
          <w:color w:val="000000"/>
          <w:lang w:val="ru-RU"/>
        </w:rPr>
        <w:t xml:space="preserve">      开户行：</w:t>
      </w:r>
      <w:r>
        <w:rPr>
          <w:rFonts w:hint="eastAsia" w:ascii="等线" w:hAnsi="等线"/>
          <w:color w:val="000000"/>
          <w:u w:val="single"/>
          <w:lang w:val="ru-RU"/>
        </w:rPr>
        <w:t xml:space="preserve"> </w:t>
      </w:r>
      <w:r>
        <w:rPr>
          <w:rFonts w:ascii="等线" w:hAnsi="等线"/>
          <w:color w:val="000000"/>
          <w:u w:val="single"/>
          <w:lang w:val="ru-RU"/>
        </w:rPr>
        <w:t xml:space="preserve">                       </w:t>
      </w:r>
    </w:p>
    <w:p>
      <w:pPr>
        <w:spacing w:line="276" w:lineRule="auto"/>
        <w:rPr>
          <w:rFonts w:ascii="等线" w:hAnsi="等线"/>
          <w:color w:val="000000"/>
          <w:lang w:val="ru-RU"/>
        </w:rPr>
      </w:pPr>
      <w:r>
        <w:rPr>
          <w:rFonts w:hint="eastAsia" w:ascii="等线" w:hAnsi="等线"/>
          <w:color w:val="000000"/>
          <w:lang w:val="ru-RU"/>
        </w:rPr>
        <w:t>银行账户：</w:t>
      </w:r>
      <w:r>
        <w:rPr>
          <w:rFonts w:hint="eastAsia" w:ascii="等线" w:hAnsi="等线"/>
          <w:color w:val="000000"/>
          <w:u w:val="single"/>
          <w:lang w:val="ru-RU"/>
        </w:rPr>
        <w:t>0876 7212 0100 33000 2507</w:t>
      </w:r>
      <w:r>
        <w:rPr>
          <w:rFonts w:ascii="等线" w:hAnsi="等线"/>
          <w:color w:val="000000"/>
          <w:lang w:val="ru-RU"/>
        </w:rPr>
        <w:t xml:space="preserve">        </w:t>
      </w:r>
      <w:r>
        <w:rPr>
          <w:rFonts w:hint="eastAsia" w:ascii="等线" w:hAnsi="等线"/>
          <w:color w:val="000000"/>
          <w:lang w:val="ru-RU"/>
        </w:rPr>
        <w:t xml:space="preserve">    </w:t>
      </w:r>
      <w:r>
        <w:rPr>
          <w:rFonts w:ascii="等线" w:hAnsi="等线"/>
          <w:color w:val="000000"/>
          <w:lang w:val="ru-RU"/>
        </w:rPr>
        <w:t xml:space="preserve"> </w:t>
      </w:r>
      <w:r>
        <w:rPr>
          <w:rFonts w:hint="eastAsia" w:ascii="等线" w:hAnsi="等线"/>
          <w:color w:val="000000"/>
          <w:lang w:val="ru-RU"/>
        </w:rPr>
        <w:t>银行账户：</w:t>
      </w:r>
      <w:r>
        <w:rPr>
          <w:rFonts w:ascii="等线" w:hAnsi="等线"/>
          <w:color w:val="000000"/>
          <w:u w:val="single"/>
          <w:lang w:val="ru-RU"/>
        </w:rPr>
        <w:t xml:space="preserve">                        </w:t>
      </w:r>
    </w:p>
    <w:p>
      <w:pPr>
        <w:spacing w:line="276" w:lineRule="auto"/>
        <w:rPr>
          <w:rFonts w:ascii="等线" w:hAnsi="等线"/>
          <w:color w:val="000000"/>
          <w:u w:val="single"/>
          <w:lang w:val="ru-RU"/>
        </w:rPr>
      </w:pPr>
      <w:r>
        <w:rPr>
          <w:rFonts w:hint="eastAsia" w:ascii="等线" w:hAnsi="等线"/>
          <w:color w:val="000000"/>
          <w:lang w:val="ru-RU"/>
        </w:rPr>
        <w:t>纳税人识别号：</w:t>
      </w:r>
      <w:r>
        <w:rPr>
          <w:rFonts w:hint="eastAsia" w:ascii="等线" w:hAnsi="等线"/>
          <w:color w:val="000000"/>
          <w:u w:val="single"/>
          <w:lang w:val="ru-RU"/>
        </w:rPr>
        <w:t>913400007690138043</w:t>
      </w:r>
      <w:r>
        <w:rPr>
          <w:rFonts w:ascii="等线" w:hAnsi="等线"/>
          <w:color w:val="000000"/>
          <w:lang w:val="ru-RU"/>
        </w:rPr>
        <w:t xml:space="preserve">      </w:t>
      </w:r>
      <w:r>
        <w:rPr>
          <w:rFonts w:hint="eastAsia" w:ascii="等线" w:hAnsi="等线"/>
          <w:color w:val="000000"/>
          <w:lang w:val="ru-RU"/>
        </w:rPr>
        <w:t xml:space="preserve">         纳税人识别号：</w:t>
      </w:r>
      <w:r>
        <w:rPr>
          <w:rFonts w:ascii="等线" w:hAnsi="等线"/>
          <w:color w:val="000000"/>
          <w:u w:val="single"/>
          <w:lang w:val="ru-RU"/>
        </w:rPr>
        <w:t xml:space="preserve">                    </w:t>
      </w:r>
    </w:p>
    <w:p>
      <w:pPr>
        <w:spacing w:line="276" w:lineRule="auto"/>
        <w:rPr>
          <w:rFonts w:ascii="等线" w:hAnsi="等线"/>
          <w:color w:val="000000"/>
          <w:u w:val="single"/>
          <w:lang w:val="ru-RU"/>
        </w:rPr>
      </w:pPr>
      <w:r>
        <w:rPr>
          <w:rFonts w:hint="eastAsia" w:ascii="等线" w:hAnsi="等线"/>
          <w:color w:val="000000"/>
          <w:lang w:val="ru-RU"/>
        </w:rPr>
        <w:t xml:space="preserve">签订日期： </w:t>
      </w:r>
      <w:r>
        <w:rPr>
          <w:rFonts w:ascii="等线" w:hAnsi="等线"/>
          <w:color w:val="000000"/>
          <w:lang w:val="ru-RU"/>
        </w:rPr>
        <w:t xml:space="preserve"> </w:t>
      </w:r>
      <w:r>
        <w:rPr>
          <w:rFonts w:hint="eastAsia" w:ascii="等线" w:hAnsi="等线"/>
          <w:color w:val="000000"/>
          <w:lang w:val="ru-RU"/>
        </w:rPr>
        <w:t xml:space="preserve">年 </w:t>
      </w:r>
      <w:r>
        <w:rPr>
          <w:rFonts w:ascii="等线" w:hAnsi="等线"/>
          <w:color w:val="000000"/>
          <w:lang w:val="ru-RU"/>
        </w:rPr>
        <w:t xml:space="preserve"> </w:t>
      </w:r>
      <w:r>
        <w:rPr>
          <w:rFonts w:hint="eastAsia" w:ascii="等线" w:hAnsi="等线"/>
          <w:color w:val="000000"/>
          <w:lang w:val="ru-RU"/>
        </w:rPr>
        <w:t xml:space="preserve"> 月  </w:t>
      </w:r>
      <w:r>
        <w:rPr>
          <w:rFonts w:ascii="等线" w:hAnsi="等线"/>
          <w:color w:val="000000"/>
          <w:lang w:val="ru-RU"/>
        </w:rPr>
        <w:t xml:space="preserve"> </w:t>
      </w:r>
      <w:r>
        <w:rPr>
          <w:rFonts w:hint="eastAsia" w:ascii="等线" w:hAnsi="等线"/>
          <w:color w:val="000000"/>
          <w:lang w:val="ru-RU"/>
        </w:rPr>
        <w:t xml:space="preserve">日 </w:t>
      </w:r>
      <w:r>
        <w:rPr>
          <w:rFonts w:ascii="等线" w:hAnsi="等线"/>
          <w:color w:val="000000"/>
          <w:lang w:val="ru-RU"/>
        </w:rPr>
        <w:t xml:space="preserve">                </w:t>
      </w:r>
      <w:r>
        <w:rPr>
          <w:rFonts w:hint="eastAsia" w:ascii="等线" w:hAnsi="等线"/>
          <w:color w:val="000000"/>
          <w:lang w:val="ru-RU"/>
        </w:rPr>
        <w:t xml:space="preserve">        签订日期： </w:t>
      </w:r>
      <w:r>
        <w:rPr>
          <w:rFonts w:ascii="等线" w:hAnsi="等线"/>
          <w:color w:val="000000"/>
          <w:lang w:val="ru-RU"/>
        </w:rPr>
        <w:t xml:space="preserve"> </w:t>
      </w:r>
      <w:r>
        <w:rPr>
          <w:rFonts w:hint="eastAsia" w:ascii="等线" w:hAnsi="等线"/>
          <w:color w:val="000000"/>
          <w:lang w:val="ru-RU"/>
        </w:rPr>
        <w:t xml:space="preserve">年 </w:t>
      </w:r>
      <w:r>
        <w:rPr>
          <w:rFonts w:ascii="等线" w:hAnsi="等线"/>
          <w:color w:val="000000"/>
          <w:lang w:val="ru-RU"/>
        </w:rPr>
        <w:t xml:space="preserve"> </w:t>
      </w:r>
      <w:r>
        <w:rPr>
          <w:rFonts w:hint="eastAsia" w:ascii="等线" w:hAnsi="等线"/>
          <w:color w:val="000000"/>
          <w:lang w:val="ru-RU"/>
        </w:rPr>
        <w:t xml:space="preserve">月 </w:t>
      </w:r>
      <w:r>
        <w:rPr>
          <w:rFonts w:ascii="等线" w:hAnsi="等线"/>
          <w:color w:val="000000"/>
          <w:lang w:val="ru-RU"/>
        </w:rPr>
        <w:t xml:space="preserve"> </w:t>
      </w:r>
      <w:r>
        <w:rPr>
          <w:rFonts w:hint="eastAsia" w:ascii="等线" w:hAnsi="等线"/>
          <w:color w:val="000000"/>
          <w:lang w:val="ru-RU"/>
        </w:rPr>
        <w:t>日</w:t>
      </w:r>
    </w:p>
    <w:p>
      <w:pPr>
        <w:rPr>
          <w:rFonts w:ascii="等线" w:hAnsi="等线"/>
          <w:color w:val="000000"/>
          <w:sz w:val="27"/>
          <w:szCs w:val="22"/>
          <w:u w:val="single"/>
          <w:lang w:val="ru-RU"/>
        </w:rPr>
      </w:pPr>
      <w:r>
        <w:rPr>
          <w:rFonts w:hint="eastAsia" w:ascii="等线" w:hAnsi="等线"/>
          <w:color w:val="000000"/>
          <w:lang w:val="ru-RU"/>
        </w:rPr>
        <w:t xml:space="preserve"> </w:t>
      </w:r>
    </w:p>
    <w:p>
      <w:pPr>
        <w:rPr>
          <w:rFonts w:ascii="等线" w:hAnsi="等线"/>
          <w:color w:val="000000"/>
          <w:sz w:val="27"/>
          <w:szCs w:val="22"/>
          <w:u w:val="single"/>
          <w:lang w:val="ru-RU"/>
        </w:rPr>
      </w:pPr>
      <w:r>
        <w:rPr>
          <w:rFonts w:hint="eastAsia" w:ascii="等线" w:hAnsi="等线"/>
          <w:color w:val="000000"/>
          <w:sz w:val="27"/>
          <w:szCs w:val="22"/>
          <w:u w:val="single"/>
          <w:lang w:val="ru-RU"/>
        </w:rPr>
        <w:t>签订地点：安徽省合肥市蜀山区方兴大道与彩虹路交口东北角设计总院生产研发基地2号楼</w:t>
      </w:r>
    </w:p>
    <w:p>
      <w:pPr>
        <w:pStyle w:val="4"/>
        <w:numPr>
          <w:ilvl w:val="255"/>
          <w:numId w:val="0"/>
        </w:numPr>
        <w:spacing w:before="240" w:after="240"/>
        <w:ind w:left="402"/>
        <w:jc w:val="both"/>
        <w:rPr>
          <w:rFonts w:ascii="Times New Roman" w:hAnsi="Times New Roman" w:eastAsia="宋体" w:cs="Times New Roman"/>
          <w:lang w:val="ru-RU"/>
        </w:rPr>
      </w:pPr>
    </w:p>
    <w:p>
      <w:pPr>
        <w:pStyle w:val="4"/>
        <w:numPr>
          <w:ilvl w:val="255"/>
          <w:numId w:val="0"/>
        </w:numPr>
        <w:spacing w:before="240" w:after="240"/>
        <w:ind w:left="402"/>
        <w:jc w:val="both"/>
        <w:rPr>
          <w:rFonts w:ascii="Times New Roman" w:hAnsi="Times New Roman" w:eastAsia="宋体" w:cs="Times New Roman"/>
        </w:rPr>
      </w:pPr>
    </w:p>
    <w:p>
      <w:pPr>
        <w:pStyle w:val="4"/>
        <w:numPr>
          <w:ilvl w:val="255"/>
          <w:numId w:val="0"/>
        </w:numPr>
        <w:spacing w:before="240" w:after="240"/>
        <w:ind w:left="402"/>
        <w:jc w:val="both"/>
        <w:rPr>
          <w:rFonts w:ascii="Times New Roman" w:hAnsi="Times New Roman" w:eastAsia="宋体" w:cs="Times New Roman"/>
        </w:rPr>
      </w:pPr>
    </w:p>
    <w:p>
      <w:pPr>
        <w:pStyle w:val="4"/>
        <w:numPr>
          <w:ilvl w:val="255"/>
          <w:numId w:val="0"/>
        </w:numPr>
        <w:spacing w:before="240" w:after="240"/>
        <w:ind w:left="402"/>
        <w:jc w:val="both"/>
        <w:rPr>
          <w:rFonts w:ascii="Times New Roman" w:hAnsi="Times New Roman" w:eastAsia="宋体" w:cs="Times New Roman"/>
        </w:rPr>
      </w:pPr>
    </w:p>
    <w:p>
      <w:pPr>
        <w:pStyle w:val="4"/>
        <w:numPr>
          <w:ilvl w:val="255"/>
          <w:numId w:val="0"/>
        </w:numPr>
        <w:spacing w:before="240" w:after="240"/>
        <w:ind w:left="402"/>
        <w:jc w:val="both"/>
        <w:rPr>
          <w:rFonts w:ascii="Times New Roman" w:hAnsi="Times New Roman" w:eastAsia="宋体" w:cs="Times New Roman"/>
        </w:rPr>
      </w:pPr>
    </w:p>
    <w:p>
      <w:pPr>
        <w:pStyle w:val="4"/>
        <w:numPr>
          <w:ilvl w:val="255"/>
          <w:numId w:val="0"/>
        </w:numPr>
        <w:spacing w:before="240" w:after="240"/>
        <w:ind w:left="402"/>
        <w:rPr>
          <w:rFonts w:ascii="Times New Roman" w:hAnsi="Times New Roman" w:eastAsia="宋体" w:cs="Times New Roman"/>
        </w:rPr>
      </w:pPr>
    </w:p>
    <w:p>
      <w:pPr>
        <w:pStyle w:val="4"/>
        <w:numPr>
          <w:ilvl w:val="255"/>
          <w:numId w:val="0"/>
        </w:numPr>
        <w:spacing w:before="240" w:after="240"/>
        <w:ind w:left="402"/>
        <w:rPr>
          <w:rFonts w:ascii="Times New Roman" w:hAnsi="Times New Roman" w:eastAsia="宋体" w:cs="Times New Roman"/>
        </w:rPr>
      </w:pPr>
      <w:r>
        <w:rPr>
          <w:rFonts w:hint="eastAsia" w:ascii="Times New Roman" w:hAnsi="Times New Roman" w:eastAsia="宋体" w:cs="Times New Roman"/>
        </w:rPr>
        <w:t xml:space="preserve">第五章 </w:t>
      </w:r>
      <w:r>
        <w:rPr>
          <w:rFonts w:ascii="Times New Roman" w:hAnsi="Times New Roman" w:eastAsia="宋体" w:cs="Times New Roman"/>
        </w:rPr>
        <w:t>采购需求及清单</w:t>
      </w:r>
      <w:bookmarkEnd w:id="151"/>
    </w:p>
    <w:p>
      <w:pPr>
        <w:pStyle w:val="5"/>
        <w:numPr>
          <w:ilvl w:val="0"/>
          <w:numId w:val="0"/>
        </w:numPr>
        <w:snapToGrid w:val="0"/>
        <w:spacing w:before="120" w:after="120" w:line="240" w:lineRule="auto"/>
        <w:ind w:left="630"/>
        <w:jc w:val="center"/>
        <w:rPr>
          <w:rFonts w:ascii="Times New Roman" w:hAnsi="Times New Roman" w:cs="Times New Roman"/>
        </w:rPr>
      </w:pPr>
      <w:bookmarkStart w:id="152" w:name="_Toc28814_WPSOffice_Level2"/>
      <w:bookmarkStart w:id="153" w:name="_Toc8332_WPSOffice_Level1"/>
    </w:p>
    <w:p>
      <w:pPr>
        <w:pStyle w:val="5"/>
        <w:numPr>
          <w:ilvl w:val="0"/>
          <w:numId w:val="0"/>
        </w:numPr>
        <w:snapToGrid w:val="0"/>
        <w:spacing w:before="120" w:after="120" w:line="240" w:lineRule="auto"/>
        <w:ind w:left="630"/>
        <w:jc w:val="center"/>
        <w:rPr>
          <w:rFonts w:ascii="Times New Roman" w:hAnsi="Times New Roman" w:cs="Times New Roman"/>
        </w:rPr>
      </w:pPr>
    </w:p>
    <w:p>
      <w:pPr>
        <w:pStyle w:val="5"/>
        <w:numPr>
          <w:ilvl w:val="0"/>
          <w:numId w:val="0"/>
        </w:numPr>
        <w:snapToGrid w:val="0"/>
        <w:spacing w:before="120" w:after="120" w:line="240" w:lineRule="auto"/>
        <w:ind w:left="630"/>
        <w:jc w:val="center"/>
        <w:rPr>
          <w:rFonts w:ascii="Times New Roman" w:hAnsi="Times New Roman" w:cs="Times New Roman"/>
        </w:rPr>
      </w:pPr>
    </w:p>
    <w:p>
      <w:pPr>
        <w:pStyle w:val="5"/>
        <w:numPr>
          <w:ilvl w:val="0"/>
          <w:numId w:val="0"/>
        </w:numPr>
        <w:snapToGrid w:val="0"/>
        <w:spacing w:before="120" w:after="120" w:line="240" w:lineRule="auto"/>
        <w:ind w:left="630"/>
        <w:jc w:val="center"/>
        <w:rPr>
          <w:rFonts w:ascii="Times New Roman" w:hAnsi="Times New Roman" w:cs="Times New Roman"/>
        </w:rPr>
      </w:pPr>
    </w:p>
    <w:p>
      <w:pPr>
        <w:pStyle w:val="5"/>
        <w:numPr>
          <w:ilvl w:val="0"/>
          <w:numId w:val="0"/>
        </w:numPr>
        <w:snapToGrid w:val="0"/>
        <w:spacing w:before="120" w:after="120" w:line="240" w:lineRule="auto"/>
        <w:ind w:left="630"/>
        <w:jc w:val="center"/>
        <w:rPr>
          <w:rFonts w:ascii="Times New Roman" w:hAnsi="Times New Roman" w:cs="Times New Roman"/>
        </w:rPr>
      </w:pPr>
    </w:p>
    <w:p>
      <w:pPr>
        <w:pStyle w:val="5"/>
        <w:numPr>
          <w:ilvl w:val="0"/>
          <w:numId w:val="0"/>
        </w:numPr>
        <w:snapToGrid w:val="0"/>
        <w:spacing w:before="120" w:after="120" w:line="240" w:lineRule="auto"/>
        <w:ind w:left="630"/>
        <w:jc w:val="center"/>
        <w:rPr>
          <w:rFonts w:ascii="Times New Roman" w:hAnsi="Times New Roman" w:cs="Times New Roman"/>
        </w:rPr>
      </w:pPr>
    </w:p>
    <w:p>
      <w:pPr>
        <w:pStyle w:val="5"/>
        <w:numPr>
          <w:ilvl w:val="0"/>
          <w:numId w:val="0"/>
        </w:numPr>
        <w:snapToGrid w:val="0"/>
        <w:spacing w:before="120" w:after="120" w:line="240" w:lineRule="auto"/>
        <w:ind w:left="630"/>
        <w:jc w:val="center"/>
        <w:rPr>
          <w:rFonts w:ascii="Times New Roman" w:hAnsi="Times New Roman" w:cs="Times New Roman"/>
        </w:rPr>
      </w:pPr>
    </w:p>
    <w:p>
      <w:pPr>
        <w:pStyle w:val="5"/>
        <w:numPr>
          <w:ilvl w:val="0"/>
          <w:numId w:val="0"/>
        </w:numPr>
        <w:snapToGrid w:val="0"/>
        <w:spacing w:before="120" w:after="120" w:line="240" w:lineRule="auto"/>
        <w:ind w:left="630"/>
        <w:jc w:val="center"/>
        <w:rPr>
          <w:rFonts w:ascii="Times New Roman" w:hAnsi="Times New Roman" w:cs="Times New Roman"/>
        </w:rPr>
      </w:pPr>
    </w:p>
    <w:p>
      <w:pPr>
        <w:pStyle w:val="5"/>
        <w:numPr>
          <w:ilvl w:val="0"/>
          <w:numId w:val="0"/>
        </w:numPr>
        <w:snapToGrid w:val="0"/>
        <w:spacing w:before="120" w:after="120" w:line="240" w:lineRule="auto"/>
        <w:ind w:left="630"/>
        <w:jc w:val="center"/>
        <w:rPr>
          <w:rFonts w:ascii="Times New Roman" w:hAnsi="Times New Roman" w:cs="Times New Roman"/>
        </w:rPr>
      </w:pPr>
    </w:p>
    <w:p>
      <w:pPr>
        <w:pStyle w:val="5"/>
        <w:numPr>
          <w:ilvl w:val="0"/>
          <w:numId w:val="0"/>
        </w:numPr>
        <w:snapToGrid w:val="0"/>
        <w:spacing w:before="120" w:after="120" w:line="240" w:lineRule="auto"/>
        <w:ind w:left="630"/>
        <w:jc w:val="center"/>
        <w:rPr>
          <w:rFonts w:ascii="Times New Roman" w:hAnsi="Times New Roman" w:cs="Times New Roman"/>
        </w:rPr>
      </w:pPr>
    </w:p>
    <w:p>
      <w:pPr>
        <w:pStyle w:val="5"/>
        <w:numPr>
          <w:ilvl w:val="0"/>
          <w:numId w:val="0"/>
        </w:numPr>
        <w:snapToGrid w:val="0"/>
        <w:spacing w:before="120" w:after="120" w:line="240" w:lineRule="auto"/>
        <w:ind w:left="630"/>
        <w:jc w:val="center"/>
        <w:rPr>
          <w:rFonts w:ascii="Times New Roman" w:hAnsi="Times New Roman" w:cs="Times New Roman"/>
        </w:rPr>
      </w:pPr>
    </w:p>
    <w:p>
      <w:pPr>
        <w:pStyle w:val="5"/>
        <w:numPr>
          <w:ilvl w:val="0"/>
          <w:numId w:val="0"/>
        </w:numPr>
        <w:snapToGrid w:val="0"/>
        <w:spacing w:before="120" w:after="120" w:line="240" w:lineRule="auto"/>
        <w:rPr>
          <w:rFonts w:ascii="Times New Roman" w:hAnsi="Times New Roman" w:cs="Times New Roman"/>
        </w:rPr>
        <w:sectPr>
          <w:pgSz w:w="11907" w:h="16840"/>
          <w:pgMar w:top="1417" w:right="1417" w:bottom="1417" w:left="1417" w:header="851" w:footer="850" w:gutter="0"/>
          <w:cols w:space="720" w:num="1"/>
          <w:docGrid w:linePitch="312" w:charSpace="0"/>
        </w:sectPr>
      </w:pPr>
    </w:p>
    <w:p>
      <w:pPr>
        <w:spacing w:line="440" w:lineRule="exact"/>
        <w:jc w:val="center"/>
        <w:outlineLvl w:val="1"/>
        <w:rPr>
          <w:rFonts w:ascii="Times New Roman" w:hAnsi="Times New Roman" w:cs="Times New Roman"/>
          <w:sz w:val="28"/>
          <w:szCs w:val="28"/>
        </w:rPr>
      </w:pPr>
      <w:r>
        <w:rPr>
          <w:rFonts w:hint="eastAsia" w:ascii="Times New Roman" w:hAnsi="Times New Roman" w:cs="Times New Roman"/>
          <w:sz w:val="28"/>
          <w:szCs w:val="28"/>
        </w:rPr>
        <w:t>采购清单</w:t>
      </w:r>
    </w:p>
    <w:tbl>
      <w:tblPr>
        <w:tblStyle w:val="23"/>
        <w:tblW w:w="5137" w:type="pct"/>
        <w:jc w:val="center"/>
        <w:tblLayout w:type="autofit"/>
        <w:tblCellMar>
          <w:top w:w="0" w:type="dxa"/>
          <w:left w:w="108" w:type="dxa"/>
          <w:bottom w:w="0" w:type="dxa"/>
          <w:right w:w="108" w:type="dxa"/>
        </w:tblCellMar>
      </w:tblPr>
      <w:tblGrid>
        <w:gridCol w:w="743"/>
        <w:gridCol w:w="3437"/>
        <w:gridCol w:w="966"/>
        <w:gridCol w:w="743"/>
        <w:gridCol w:w="743"/>
        <w:gridCol w:w="1480"/>
        <w:gridCol w:w="1351"/>
        <w:gridCol w:w="772"/>
      </w:tblGrid>
      <w:tr>
        <w:tblPrEx>
          <w:tblCellMar>
            <w:top w:w="0" w:type="dxa"/>
            <w:left w:w="108" w:type="dxa"/>
            <w:bottom w:w="0" w:type="dxa"/>
            <w:right w:w="108" w:type="dxa"/>
          </w:tblCellMar>
        </w:tblPrEx>
        <w:trPr>
          <w:trHeight w:val="276" w:hRule="atLeast"/>
          <w:jc w:val="center"/>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bookmarkStart w:id="154" w:name="_Hlk141087875"/>
            <w:r>
              <w:rPr>
                <w:rFonts w:hint="eastAsia"/>
              </w:rPr>
              <w:t>编号</w:t>
            </w:r>
          </w:p>
        </w:tc>
        <w:tc>
          <w:tcPr>
            <w:tcW w:w="1679"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名称</w:t>
            </w:r>
          </w:p>
        </w:tc>
        <w:tc>
          <w:tcPr>
            <w:tcW w:w="472"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型号</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单位</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数量</w:t>
            </w:r>
          </w:p>
        </w:tc>
        <w:tc>
          <w:tcPr>
            <w:tcW w:w="723" w:type="pct"/>
            <w:tcBorders>
              <w:top w:val="single" w:color="auto" w:sz="4" w:space="0"/>
              <w:left w:val="nil"/>
              <w:bottom w:val="single" w:color="auto" w:sz="4" w:space="0"/>
              <w:right w:val="single" w:color="auto" w:sz="4" w:space="0"/>
            </w:tcBorders>
            <w:shd w:val="clear" w:color="auto" w:fill="auto"/>
            <w:noWrap/>
            <w:vAlign w:val="center"/>
          </w:tcPr>
          <w:p>
            <w:pPr>
              <w:jc w:val="center"/>
            </w:pPr>
            <w:r>
              <w:t>单价</w:t>
            </w:r>
            <w:r>
              <w:rPr>
                <w:rFonts w:hint="eastAsia"/>
              </w:rPr>
              <w:t>（</w:t>
            </w:r>
            <w:r>
              <w:t>元</w:t>
            </w:r>
            <w:r>
              <w:rPr>
                <w:rFonts w:hint="eastAsia"/>
              </w:rPr>
              <w:t>）</w:t>
            </w:r>
          </w:p>
        </w:tc>
        <w:tc>
          <w:tcPr>
            <w:tcW w:w="660" w:type="pct"/>
            <w:tcBorders>
              <w:top w:val="single" w:color="auto" w:sz="4" w:space="0"/>
              <w:left w:val="nil"/>
              <w:bottom w:val="single" w:color="auto" w:sz="4" w:space="0"/>
              <w:right w:val="single" w:color="auto" w:sz="4" w:space="0"/>
            </w:tcBorders>
            <w:vAlign w:val="center"/>
          </w:tcPr>
          <w:p>
            <w:pPr>
              <w:jc w:val="center"/>
            </w:pPr>
            <w:r>
              <w:t>合计（</w:t>
            </w:r>
            <w:r>
              <w:rPr>
                <w:rFonts w:hint="eastAsia"/>
              </w:rPr>
              <w:t>元</w:t>
            </w:r>
            <w:r>
              <w:t>）</w:t>
            </w:r>
          </w:p>
        </w:tc>
        <w:tc>
          <w:tcPr>
            <w:tcW w:w="377" w:type="pct"/>
            <w:tcBorders>
              <w:top w:val="single" w:color="auto" w:sz="4" w:space="0"/>
              <w:left w:val="nil"/>
              <w:bottom w:val="single" w:color="auto" w:sz="4" w:space="0"/>
              <w:right w:val="single" w:color="auto" w:sz="4" w:space="0"/>
            </w:tcBorders>
            <w:vAlign w:val="center"/>
          </w:tcPr>
          <w:p>
            <w:pPr>
              <w:jc w:val="center"/>
            </w:pPr>
            <w:r>
              <w:t>备注</w:t>
            </w:r>
          </w:p>
        </w:tc>
      </w:tr>
      <w:tr>
        <w:tblPrEx>
          <w:tblCellMar>
            <w:top w:w="0" w:type="dxa"/>
            <w:left w:w="108" w:type="dxa"/>
            <w:bottom w:w="0" w:type="dxa"/>
            <w:right w:w="108" w:type="dxa"/>
          </w:tblCellMar>
        </w:tblPrEx>
        <w:trPr>
          <w:trHeight w:val="1009" w:hRule="atLeast"/>
          <w:jc w:val="center"/>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1</w:t>
            </w:r>
          </w:p>
        </w:tc>
        <w:tc>
          <w:tcPr>
            <w:tcW w:w="1679"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磁通量传感器</w:t>
            </w:r>
          </w:p>
        </w:tc>
        <w:tc>
          <w:tcPr>
            <w:tcW w:w="472"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CCT85</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套</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16</w:t>
            </w:r>
          </w:p>
        </w:tc>
        <w:tc>
          <w:tcPr>
            <w:tcW w:w="723" w:type="pct"/>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660" w:type="pct"/>
            <w:tcBorders>
              <w:top w:val="single" w:color="auto" w:sz="4" w:space="0"/>
              <w:left w:val="nil"/>
              <w:bottom w:val="single" w:color="auto" w:sz="4" w:space="0"/>
              <w:right w:val="single" w:color="auto" w:sz="4" w:space="0"/>
            </w:tcBorders>
            <w:vAlign w:val="center"/>
          </w:tcPr>
          <w:p>
            <w:pPr>
              <w:jc w:val="center"/>
            </w:pPr>
          </w:p>
        </w:tc>
        <w:tc>
          <w:tcPr>
            <w:tcW w:w="377"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44" w:hRule="atLeast"/>
          <w:jc w:val="center"/>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2</w:t>
            </w:r>
          </w:p>
        </w:tc>
        <w:tc>
          <w:tcPr>
            <w:tcW w:w="1679"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数据采集盒</w:t>
            </w:r>
          </w:p>
        </w:tc>
        <w:tc>
          <w:tcPr>
            <w:tcW w:w="472"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套</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16</w:t>
            </w:r>
          </w:p>
        </w:tc>
        <w:tc>
          <w:tcPr>
            <w:tcW w:w="723" w:type="pct"/>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660" w:type="pct"/>
            <w:tcBorders>
              <w:top w:val="single" w:color="auto" w:sz="4" w:space="0"/>
              <w:left w:val="nil"/>
              <w:bottom w:val="single" w:color="auto" w:sz="4" w:space="0"/>
              <w:right w:val="single" w:color="auto" w:sz="4" w:space="0"/>
            </w:tcBorders>
            <w:vAlign w:val="center"/>
          </w:tcPr>
          <w:p>
            <w:pPr>
              <w:jc w:val="center"/>
            </w:pPr>
          </w:p>
        </w:tc>
        <w:tc>
          <w:tcPr>
            <w:tcW w:w="377"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44" w:hRule="atLeast"/>
          <w:jc w:val="center"/>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3</w:t>
            </w:r>
          </w:p>
        </w:tc>
        <w:tc>
          <w:tcPr>
            <w:tcW w:w="1679"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信号传输线</w:t>
            </w:r>
          </w:p>
        </w:tc>
        <w:tc>
          <w:tcPr>
            <w:tcW w:w="472"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米</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160</w:t>
            </w:r>
          </w:p>
        </w:tc>
        <w:tc>
          <w:tcPr>
            <w:tcW w:w="723" w:type="pct"/>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660" w:type="pct"/>
            <w:tcBorders>
              <w:top w:val="single" w:color="auto" w:sz="4" w:space="0"/>
              <w:left w:val="nil"/>
              <w:bottom w:val="single" w:color="auto" w:sz="4" w:space="0"/>
              <w:right w:val="single" w:color="auto" w:sz="4" w:space="0"/>
            </w:tcBorders>
            <w:vAlign w:val="center"/>
          </w:tcPr>
          <w:p>
            <w:pPr>
              <w:jc w:val="center"/>
            </w:pPr>
          </w:p>
        </w:tc>
        <w:tc>
          <w:tcPr>
            <w:tcW w:w="377"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44" w:hRule="atLeast"/>
          <w:jc w:val="center"/>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4</w:t>
            </w:r>
          </w:p>
        </w:tc>
        <w:tc>
          <w:tcPr>
            <w:tcW w:w="1679"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安装辅材</w:t>
            </w:r>
          </w:p>
        </w:tc>
        <w:tc>
          <w:tcPr>
            <w:tcW w:w="472"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套</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1</w:t>
            </w:r>
          </w:p>
        </w:tc>
        <w:tc>
          <w:tcPr>
            <w:tcW w:w="723" w:type="pct"/>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660" w:type="pct"/>
            <w:tcBorders>
              <w:top w:val="single" w:color="auto" w:sz="4" w:space="0"/>
              <w:left w:val="nil"/>
              <w:bottom w:val="single" w:color="auto" w:sz="4" w:space="0"/>
              <w:right w:val="single" w:color="auto" w:sz="4" w:space="0"/>
            </w:tcBorders>
            <w:vAlign w:val="center"/>
          </w:tcPr>
          <w:p>
            <w:pPr>
              <w:jc w:val="center"/>
            </w:pPr>
          </w:p>
        </w:tc>
        <w:tc>
          <w:tcPr>
            <w:tcW w:w="377"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44" w:hRule="atLeast"/>
          <w:jc w:val="center"/>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5</w:t>
            </w:r>
          </w:p>
        </w:tc>
        <w:tc>
          <w:tcPr>
            <w:tcW w:w="1679"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磁通量采集系统v2.0（人工）</w:t>
            </w:r>
          </w:p>
        </w:tc>
        <w:tc>
          <w:tcPr>
            <w:tcW w:w="472" w:type="pct"/>
            <w:tcBorders>
              <w:top w:val="single" w:color="auto" w:sz="4" w:space="0"/>
              <w:left w:val="nil"/>
              <w:bottom w:val="single" w:color="auto" w:sz="4" w:space="0"/>
              <w:right w:val="single" w:color="auto" w:sz="4" w:space="0"/>
            </w:tcBorders>
            <w:shd w:val="clear" w:color="auto" w:fill="auto"/>
            <w:noWrap/>
            <w:vAlign w:val="center"/>
          </w:tcPr>
          <w:p>
            <w:pPr>
              <w:jc w:val="center"/>
            </w:pPr>
            <w:r>
              <w:t>CTL</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台</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1</w:t>
            </w:r>
          </w:p>
        </w:tc>
        <w:tc>
          <w:tcPr>
            <w:tcW w:w="723" w:type="pct"/>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660" w:type="pct"/>
            <w:tcBorders>
              <w:top w:val="single" w:color="auto" w:sz="4" w:space="0"/>
              <w:left w:val="nil"/>
              <w:bottom w:val="single" w:color="auto" w:sz="4" w:space="0"/>
              <w:right w:val="single" w:color="auto" w:sz="4" w:space="0"/>
            </w:tcBorders>
            <w:vAlign w:val="center"/>
          </w:tcPr>
          <w:p>
            <w:pPr>
              <w:jc w:val="center"/>
            </w:pPr>
          </w:p>
        </w:tc>
        <w:tc>
          <w:tcPr>
            <w:tcW w:w="377"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44" w:hRule="atLeast"/>
          <w:jc w:val="center"/>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6</w:t>
            </w:r>
          </w:p>
        </w:tc>
        <w:tc>
          <w:tcPr>
            <w:tcW w:w="1679"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磁弹仪</w:t>
            </w:r>
          </w:p>
        </w:tc>
        <w:tc>
          <w:tcPr>
            <w:tcW w:w="472"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C</w:t>
            </w:r>
            <w:r>
              <w:t>TY</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台</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1</w:t>
            </w:r>
          </w:p>
        </w:tc>
        <w:tc>
          <w:tcPr>
            <w:tcW w:w="723" w:type="pct"/>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660" w:type="pct"/>
            <w:tcBorders>
              <w:top w:val="single" w:color="auto" w:sz="4" w:space="0"/>
              <w:left w:val="nil"/>
              <w:bottom w:val="single" w:color="auto" w:sz="4" w:space="0"/>
              <w:right w:val="single" w:color="auto" w:sz="4" w:space="0"/>
            </w:tcBorders>
            <w:vAlign w:val="center"/>
          </w:tcPr>
          <w:p>
            <w:pPr>
              <w:jc w:val="center"/>
            </w:pPr>
          </w:p>
        </w:tc>
        <w:tc>
          <w:tcPr>
            <w:tcW w:w="377"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44" w:hRule="atLeast"/>
          <w:jc w:val="center"/>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7</w:t>
            </w:r>
          </w:p>
        </w:tc>
        <w:tc>
          <w:tcPr>
            <w:tcW w:w="1679"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现场缠绕、安装调试</w:t>
            </w:r>
          </w:p>
        </w:tc>
        <w:tc>
          <w:tcPr>
            <w:tcW w:w="472"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项</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1</w:t>
            </w:r>
          </w:p>
        </w:tc>
        <w:tc>
          <w:tcPr>
            <w:tcW w:w="723" w:type="pct"/>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660" w:type="pct"/>
            <w:tcBorders>
              <w:top w:val="single" w:color="auto" w:sz="4" w:space="0"/>
              <w:left w:val="nil"/>
              <w:bottom w:val="single" w:color="auto" w:sz="4" w:space="0"/>
              <w:right w:val="single" w:color="auto" w:sz="4" w:space="0"/>
            </w:tcBorders>
            <w:vAlign w:val="center"/>
          </w:tcPr>
          <w:p>
            <w:pPr>
              <w:jc w:val="center"/>
            </w:pPr>
          </w:p>
        </w:tc>
        <w:tc>
          <w:tcPr>
            <w:tcW w:w="377"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44" w:hRule="atLeast"/>
          <w:jc w:val="center"/>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8</w:t>
            </w:r>
          </w:p>
        </w:tc>
        <w:tc>
          <w:tcPr>
            <w:tcW w:w="2877" w:type="pct"/>
            <w:gridSpan w:val="4"/>
            <w:tcBorders>
              <w:top w:val="single" w:color="auto" w:sz="4" w:space="0"/>
              <w:left w:val="nil"/>
              <w:bottom w:val="single" w:color="auto" w:sz="4" w:space="0"/>
              <w:right w:val="single" w:color="auto" w:sz="4" w:space="0"/>
            </w:tcBorders>
            <w:shd w:val="clear" w:color="auto" w:fill="auto"/>
            <w:noWrap/>
            <w:vAlign w:val="center"/>
          </w:tcPr>
          <w:p>
            <w:r>
              <w:rPr>
                <w:rFonts w:hint="eastAsia" w:ascii="宋体" w:hAnsi="宋体" w:eastAsia="宋体" w:cs="宋体"/>
                <w:b/>
                <w:sz w:val="24"/>
              </w:rPr>
              <w:t>总报价计（元）=（1～</w:t>
            </w:r>
            <w:r>
              <w:rPr>
                <w:rFonts w:ascii="宋体" w:hAnsi="宋体" w:eastAsia="宋体" w:cs="宋体"/>
                <w:b/>
                <w:sz w:val="24"/>
              </w:rPr>
              <w:t>7</w:t>
            </w:r>
            <w:r>
              <w:rPr>
                <w:rFonts w:hint="eastAsia" w:ascii="宋体" w:hAnsi="宋体" w:eastAsia="宋体" w:cs="宋体"/>
                <w:b/>
                <w:sz w:val="24"/>
              </w:rPr>
              <w:t>）项合计（含税）</w:t>
            </w:r>
          </w:p>
        </w:tc>
        <w:tc>
          <w:tcPr>
            <w:tcW w:w="176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pPr>
          </w:p>
        </w:tc>
      </w:tr>
      <w:bookmarkEnd w:id="154"/>
    </w:tbl>
    <w:p>
      <w:pPr>
        <w:pStyle w:val="2"/>
      </w:pPr>
      <w:r>
        <w:rPr>
          <w:rFonts w:hint="eastAsia" w:asciiTheme="minorEastAsia" w:hAnsiTheme="minorEastAsia"/>
          <w:sz w:val="24"/>
        </w:rPr>
        <w:t>注：以上报价含税13%。</w:t>
      </w:r>
    </w:p>
    <w:p>
      <w:pPr>
        <w:pStyle w:val="3"/>
      </w:pPr>
    </w:p>
    <w:p>
      <w:pPr>
        <w:pStyle w:val="2"/>
      </w:pPr>
    </w:p>
    <w:p>
      <w:pPr>
        <w:pStyle w:val="2"/>
        <w:ind w:left="368" w:leftChars="175"/>
      </w:pPr>
    </w:p>
    <w:p>
      <w:pPr>
        <w:pStyle w:val="3"/>
        <w:outlineLvl w:val="9"/>
      </w:pPr>
    </w:p>
    <w:p/>
    <w:p>
      <w:pPr>
        <w:pStyle w:val="2"/>
      </w:pPr>
    </w:p>
    <w:p>
      <w:pPr>
        <w:pStyle w:val="3"/>
        <w:jc w:val="both"/>
        <w:outlineLvl w:val="9"/>
      </w:pPr>
    </w:p>
    <w:bookmarkEnd w:id="152"/>
    <w:bookmarkEnd w:id="153"/>
    <w:p>
      <w:pPr>
        <w:rPr>
          <w:rFonts w:ascii="Times New Roman" w:hAnsi="Times New Roman" w:eastAsia="宋体" w:cs="Times New Roman"/>
        </w:rPr>
      </w:pPr>
      <w:bookmarkStart w:id="155" w:name="_Toc24739_WPSOffice_Level1"/>
    </w:p>
    <w:p>
      <w:pPr>
        <w:pStyle w:val="2"/>
      </w:pPr>
    </w:p>
    <w:p>
      <w:pPr>
        <w:pStyle w:val="4"/>
        <w:numPr>
          <w:ilvl w:val="255"/>
          <w:numId w:val="0"/>
        </w:numPr>
        <w:spacing w:before="312" w:after="312"/>
        <w:ind w:left="402"/>
        <w:rPr>
          <w:rFonts w:ascii="Times New Roman" w:hAnsi="Times New Roman" w:eastAsia="宋体" w:cs="Times New Roman"/>
        </w:rPr>
      </w:pPr>
    </w:p>
    <w:p>
      <w:pPr>
        <w:pStyle w:val="4"/>
        <w:numPr>
          <w:ilvl w:val="255"/>
          <w:numId w:val="0"/>
        </w:numPr>
        <w:spacing w:before="312" w:after="312"/>
        <w:ind w:left="402"/>
        <w:rPr>
          <w:rFonts w:ascii="Times New Roman" w:hAnsi="Times New Roman" w:eastAsia="宋体" w:cs="Times New Roman"/>
        </w:rPr>
      </w:pPr>
    </w:p>
    <w:p>
      <w:pPr>
        <w:pStyle w:val="4"/>
        <w:numPr>
          <w:ilvl w:val="255"/>
          <w:numId w:val="0"/>
        </w:numPr>
        <w:spacing w:before="312" w:after="312"/>
        <w:jc w:val="both"/>
        <w:rPr>
          <w:rFonts w:ascii="Times New Roman" w:hAnsi="Times New Roman" w:eastAsia="宋体" w:cs="Times New Roman"/>
        </w:rPr>
      </w:pPr>
    </w:p>
    <w:p>
      <w:pPr>
        <w:sectPr>
          <w:pgSz w:w="11906" w:h="16838"/>
          <w:pgMar w:top="1191" w:right="1080" w:bottom="1191" w:left="1080" w:header="851" w:footer="992" w:gutter="0"/>
          <w:cols w:space="425" w:num="1"/>
          <w:docGrid w:type="lines" w:linePitch="312" w:charSpace="0"/>
        </w:sectPr>
      </w:pPr>
    </w:p>
    <w:p>
      <w:pPr>
        <w:pStyle w:val="2"/>
      </w:pPr>
    </w:p>
    <w:p>
      <w:pPr>
        <w:pStyle w:val="3"/>
        <w:outlineLvl w:val="9"/>
      </w:pPr>
    </w:p>
    <w:p/>
    <w:p>
      <w:pPr>
        <w:pStyle w:val="2"/>
      </w:pPr>
    </w:p>
    <w:p>
      <w:pPr>
        <w:pStyle w:val="3"/>
        <w:outlineLvl w:val="9"/>
      </w:pPr>
    </w:p>
    <w:p/>
    <w:p>
      <w:pPr>
        <w:pStyle w:val="2"/>
      </w:pPr>
    </w:p>
    <w:p>
      <w:pPr>
        <w:pStyle w:val="3"/>
        <w:outlineLvl w:val="9"/>
      </w:pPr>
    </w:p>
    <w:p/>
    <w:p>
      <w:pPr>
        <w:pStyle w:val="2"/>
      </w:pPr>
    </w:p>
    <w:p>
      <w:pPr>
        <w:pStyle w:val="4"/>
        <w:numPr>
          <w:ilvl w:val="255"/>
          <w:numId w:val="0"/>
        </w:numPr>
        <w:spacing w:before="312" w:after="312"/>
        <w:jc w:val="both"/>
        <w:rPr>
          <w:rFonts w:ascii="Times New Roman" w:hAnsi="Times New Roman" w:eastAsia="宋体" w:cs="Times New Roman"/>
        </w:rPr>
      </w:pPr>
    </w:p>
    <w:bookmarkEnd w:id="155"/>
    <w:p>
      <w:pPr>
        <w:spacing w:line="440" w:lineRule="exact"/>
        <w:jc w:val="center"/>
        <w:rPr>
          <w:rFonts w:ascii="Times New Roman" w:hAnsi="Times New Roman" w:eastAsia="宋体" w:cs="Times New Roman"/>
          <w:b/>
          <w:bCs/>
          <w:kern w:val="44"/>
          <w:sz w:val="36"/>
          <w:szCs w:val="44"/>
        </w:rPr>
      </w:pPr>
    </w:p>
    <w:p>
      <w:pPr>
        <w:spacing w:line="440" w:lineRule="exact"/>
        <w:jc w:val="center"/>
        <w:rPr>
          <w:rFonts w:ascii="Times New Roman" w:hAnsi="Times New Roman" w:eastAsia="宋体" w:cs="Times New Roman"/>
          <w:b/>
          <w:bCs/>
          <w:kern w:val="44"/>
          <w:sz w:val="36"/>
          <w:szCs w:val="44"/>
        </w:rPr>
      </w:pPr>
    </w:p>
    <w:p>
      <w:pPr>
        <w:spacing w:line="440" w:lineRule="exact"/>
        <w:jc w:val="center"/>
        <w:outlineLvl w:val="0"/>
        <w:rPr>
          <w:rFonts w:ascii="Times New Roman" w:hAnsi="Times New Roman" w:eastAsia="黑体" w:cs="Times New Roman"/>
          <w:szCs w:val="21"/>
        </w:rPr>
      </w:pPr>
      <w:r>
        <w:rPr>
          <w:rFonts w:hint="eastAsia" w:ascii="Times New Roman" w:hAnsi="Times New Roman" w:eastAsia="宋体" w:cs="Times New Roman"/>
          <w:b/>
          <w:bCs/>
          <w:kern w:val="44"/>
          <w:sz w:val="36"/>
          <w:szCs w:val="44"/>
        </w:rPr>
        <w:t>第六章 响应文件格式</w:t>
      </w:r>
    </w:p>
    <w:p>
      <w:pPr>
        <w:spacing w:line="440" w:lineRule="exact"/>
        <w:rPr>
          <w:rFonts w:ascii="Times New Roman" w:hAnsi="Times New Roman" w:eastAsia="黑体" w:cs="Times New Roman"/>
          <w:szCs w:val="21"/>
        </w:rPr>
      </w:pPr>
    </w:p>
    <w:p>
      <w:pPr>
        <w:spacing w:line="440" w:lineRule="exact"/>
        <w:rPr>
          <w:rFonts w:ascii="Times New Roman" w:hAnsi="Times New Roman" w:eastAsia="黑体" w:cs="Times New Roman"/>
          <w:szCs w:val="21"/>
        </w:rPr>
      </w:pPr>
    </w:p>
    <w:p>
      <w:pPr>
        <w:spacing w:line="440" w:lineRule="exact"/>
        <w:rPr>
          <w:rFonts w:ascii="Times New Roman" w:hAnsi="Times New Roman" w:eastAsia="黑体" w:cs="Times New Roman"/>
          <w:szCs w:val="21"/>
        </w:rPr>
      </w:pPr>
    </w:p>
    <w:p>
      <w:pPr>
        <w:spacing w:line="440" w:lineRule="exact"/>
        <w:rPr>
          <w:rFonts w:ascii="Times New Roman" w:hAnsi="Times New Roman" w:eastAsia="黑体" w:cs="Times New Roman"/>
          <w:szCs w:val="21"/>
        </w:rPr>
      </w:pPr>
    </w:p>
    <w:p>
      <w:pPr>
        <w:pStyle w:val="2"/>
        <w:rPr>
          <w:rFonts w:ascii="Times New Roman" w:hAnsi="Times New Roman" w:eastAsia="黑体" w:cs="Times New Roman"/>
          <w:szCs w:val="21"/>
        </w:rPr>
      </w:pPr>
    </w:p>
    <w:p>
      <w:pPr>
        <w:pStyle w:val="3"/>
        <w:outlineLvl w:val="9"/>
        <w:rPr>
          <w:rFonts w:ascii="Times New Roman" w:hAnsi="Times New Roman" w:eastAsia="黑体" w:cs="Times New Roman"/>
          <w:sz w:val="21"/>
          <w:szCs w:val="21"/>
        </w:rPr>
      </w:pPr>
    </w:p>
    <w:p>
      <w:pPr>
        <w:rPr>
          <w:rFonts w:ascii="Times New Roman" w:hAnsi="Times New Roman" w:eastAsia="黑体" w:cs="Times New Roman"/>
          <w:szCs w:val="21"/>
        </w:rPr>
      </w:pPr>
    </w:p>
    <w:p>
      <w:pPr>
        <w:pStyle w:val="2"/>
        <w:rPr>
          <w:rFonts w:ascii="Times New Roman" w:hAnsi="Times New Roman" w:eastAsia="黑体" w:cs="Times New Roman"/>
          <w:szCs w:val="21"/>
        </w:rPr>
      </w:pPr>
    </w:p>
    <w:p>
      <w:pPr>
        <w:pStyle w:val="3"/>
        <w:outlineLvl w:val="9"/>
        <w:rPr>
          <w:rFonts w:ascii="Times New Roman" w:hAnsi="Times New Roman" w:eastAsia="黑体" w:cs="Times New Roman"/>
          <w:sz w:val="21"/>
          <w:szCs w:val="21"/>
        </w:rPr>
      </w:pPr>
    </w:p>
    <w:p>
      <w:pPr>
        <w:rPr>
          <w:rFonts w:ascii="Times New Roman" w:hAnsi="Times New Roman" w:eastAsia="黑体" w:cs="Times New Roman"/>
          <w:szCs w:val="21"/>
        </w:rPr>
      </w:pPr>
    </w:p>
    <w:p>
      <w:pPr>
        <w:pStyle w:val="2"/>
        <w:rPr>
          <w:rFonts w:ascii="Times New Roman" w:hAnsi="Times New Roman" w:eastAsia="黑体" w:cs="Times New Roman"/>
          <w:szCs w:val="21"/>
        </w:rPr>
      </w:pPr>
    </w:p>
    <w:p>
      <w:pPr>
        <w:pStyle w:val="3"/>
        <w:outlineLvl w:val="9"/>
        <w:rPr>
          <w:rFonts w:ascii="Times New Roman" w:hAnsi="Times New Roman" w:eastAsia="黑体" w:cs="Times New Roman"/>
          <w:sz w:val="21"/>
          <w:szCs w:val="21"/>
        </w:rPr>
      </w:pPr>
    </w:p>
    <w:p>
      <w:pPr>
        <w:rPr>
          <w:rFonts w:ascii="Times New Roman" w:hAnsi="Times New Roman" w:eastAsia="黑体" w:cs="Times New Roman"/>
          <w:szCs w:val="21"/>
        </w:rPr>
      </w:pPr>
    </w:p>
    <w:p>
      <w:pPr>
        <w:pStyle w:val="2"/>
        <w:rPr>
          <w:rFonts w:ascii="Times New Roman" w:hAnsi="Times New Roman" w:eastAsia="黑体" w:cs="Times New Roman"/>
          <w:szCs w:val="21"/>
        </w:rPr>
      </w:pPr>
    </w:p>
    <w:p>
      <w:pPr>
        <w:pStyle w:val="3"/>
        <w:outlineLvl w:val="9"/>
        <w:rPr>
          <w:rFonts w:ascii="Times New Roman" w:hAnsi="Times New Roman" w:eastAsia="黑体" w:cs="Times New Roman"/>
          <w:sz w:val="21"/>
          <w:szCs w:val="21"/>
        </w:rPr>
      </w:pPr>
    </w:p>
    <w:p>
      <w:pPr>
        <w:pStyle w:val="3"/>
        <w:jc w:val="right"/>
      </w:pPr>
      <w:r>
        <w:rPr>
          <w:rFonts w:hint="eastAsia"/>
        </w:rPr>
        <w:t>正本/副本</w:t>
      </w:r>
    </w:p>
    <w:p>
      <w:pPr>
        <w:widowControl/>
        <w:rPr>
          <w:rFonts w:ascii="Times New Roman" w:hAnsi="Times New Roman" w:eastAsia="宋体" w:cs="Times New Roman"/>
          <w:sz w:val="24"/>
        </w:rPr>
      </w:pPr>
    </w:p>
    <w:p>
      <w:pPr>
        <w:widowControl/>
        <w:jc w:val="center"/>
        <w:outlineLvl w:val="0"/>
        <w:rPr>
          <w:rFonts w:ascii="Times New Roman" w:hAnsi="Times New Roman" w:eastAsia="黑体" w:cs="Times New Roman"/>
          <w:sz w:val="44"/>
          <w:szCs w:val="44"/>
        </w:rPr>
      </w:pPr>
      <w:r>
        <w:rPr>
          <w:rFonts w:hint="eastAsia" w:ascii="Times New Roman" w:hAnsi="Times New Roman" w:eastAsia="黑体" w:cs="Times New Roman"/>
          <w:sz w:val="44"/>
          <w:szCs w:val="44"/>
        </w:rPr>
        <w:t>合肥管理处2023年部分桥梁专项检测项目董铺水库桥体外预应力索专项检测磁通量传感器采购</w:t>
      </w:r>
    </w:p>
    <w:p>
      <w:pPr>
        <w:widowControl/>
        <w:jc w:val="center"/>
        <w:rPr>
          <w:sz w:val="44"/>
          <w:szCs w:val="44"/>
        </w:rPr>
      </w:pPr>
    </w:p>
    <w:p>
      <w:pPr>
        <w:widowControl/>
        <w:jc w:val="center"/>
        <w:rPr>
          <w:rFonts w:ascii="Times New Roman" w:hAnsi="Times New Roman" w:eastAsia="黑体" w:cs="Times New Roman"/>
          <w:color w:val="0000FF"/>
          <w:sz w:val="50"/>
          <w:szCs w:val="50"/>
        </w:rPr>
      </w:pPr>
    </w:p>
    <w:p>
      <w:pPr>
        <w:spacing w:line="440" w:lineRule="exact"/>
        <w:rPr>
          <w:rFonts w:ascii="Times New Roman" w:hAnsi="Times New Roman" w:eastAsia="黑体" w:cs="Times New Roman"/>
          <w:sz w:val="20"/>
          <w:szCs w:val="20"/>
        </w:rPr>
      </w:pPr>
    </w:p>
    <w:p>
      <w:pPr>
        <w:pStyle w:val="2"/>
        <w:rPr>
          <w:rFonts w:ascii="Times New Roman" w:hAnsi="Times New Roman" w:eastAsia="黑体" w:cs="Times New Roman"/>
          <w:sz w:val="20"/>
          <w:szCs w:val="20"/>
        </w:rPr>
      </w:pPr>
    </w:p>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outlineLvl w:val="0"/>
        <w:rPr>
          <w:rFonts w:ascii="Times New Roman" w:hAnsi="Times New Roman" w:eastAsia="黑体" w:cs="Times New Roman"/>
          <w:sz w:val="50"/>
          <w:szCs w:val="50"/>
        </w:rPr>
      </w:pPr>
      <w:bookmarkStart w:id="156" w:name="_Toc27552_WPSOffice_Level1"/>
      <w:bookmarkStart w:id="157" w:name="_Toc17394_WPSOffice_Level1"/>
      <w:bookmarkStart w:id="158" w:name="_Toc14496_WPSOffice_Level1"/>
      <w:bookmarkStart w:id="159" w:name="_Toc1914_WPSOffice_Level1"/>
      <w:r>
        <w:rPr>
          <w:rFonts w:ascii="Times New Roman" w:hAnsi="Times New Roman" w:eastAsia="黑体" w:cs="Times New Roman"/>
          <w:sz w:val="50"/>
          <w:szCs w:val="50"/>
        </w:rPr>
        <w:t>响  应  文  件</w:t>
      </w:r>
      <w:bookmarkEnd w:id="156"/>
      <w:bookmarkEnd w:id="157"/>
      <w:bookmarkEnd w:id="158"/>
      <w:bookmarkEnd w:id="15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outlineLvl w:val="0"/>
        <w:rPr>
          <w:rFonts w:ascii="Times New Roman" w:hAnsi="Times New Roman" w:eastAsia="黑体" w:cs="Times New Roman"/>
          <w:sz w:val="28"/>
          <w:szCs w:val="28"/>
        </w:rPr>
      </w:pPr>
      <w:bookmarkStart w:id="160" w:name="_Toc25232_WPSOffice_Level2"/>
      <w:bookmarkStart w:id="161"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160"/>
      <w:bookmarkEnd w:id="161"/>
    </w:p>
    <w:p>
      <w:pPr>
        <w:spacing w:line="440" w:lineRule="exact"/>
        <w:ind w:firstLine="2158" w:firstLineChars="771"/>
        <w:rPr>
          <w:rFonts w:ascii="Times New Roman" w:hAnsi="Times New Roman" w:eastAsia="黑体" w:cs="Times New Roman"/>
          <w:sz w:val="28"/>
          <w:szCs w:val="28"/>
        </w:rPr>
      </w:pPr>
    </w:p>
    <w:p>
      <w:pPr>
        <w:spacing w:line="440" w:lineRule="exact"/>
        <w:jc w:val="center"/>
        <w:outlineLvl w:val="0"/>
        <w:rPr>
          <w:rFonts w:ascii="Times New Roman" w:hAnsi="Times New Roman" w:eastAsia="黑体" w:cs="Times New Roman"/>
          <w:sz w:val="28"/>
          <w:szCs w:val="28"/>
        </w:rPr>
      </w:pPr>
      <w:bookmarkStart w:id="162" w:name="_Toc31577_WPSOffice_Level2"/>
      <w:bookmarkStart w:id="163" w:name="_Toc20076_WPSOffice_Level2"/>
      <w:r>
        <w:rPr>
          <w:rFonts w:hint="eastAsia" w:ascii="Times New Roman" w:hAnsi="Times New Roman" w:eastAsia="黑体" w:cs="Times New Roman"/>
          <w:sz w:val="28"/>
          <w:szCs w:val="28"/>
          <w:u w:val="single"/>
        </w:rPr>
        <w:t xml:space="preserve">      </w:t>
      </w:r>
      <w:r>
        <w:rPr>
          <w:rFonts w:ascii="Times New Roman" w:hAnsi="Times New Roman" w:eastAsia="黑体" w:cs="Times New Roman"/>
          <w:sz w:val="28"/>
          <w:szCs w:val="28"/>
        </w:rPr>
        <w:t>年</w:t>
      </w:r>
      <w:r>
        <w:rPr>
          <w:rFonts w:hint="eastAsia"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162"/>
      <w:bookmarkEnd w:id="163"/>
    </w:p>
    <w:p>
      <w:pPr>
        <w:spacing w:line="440" w:lineRule="exact"/>
        <w:jc w:val="center"/>
        <w:rPr>
          <w:rFonts w:ascii="Times New Roman" w:hAnsi="Times New Roman" w:eastAsia="黑体" w:cs="Times New Roman"/>
          <w:sz w:val="28"/>
          <w:szCs w:val="28"/>
        </w:rPr>
      </w:pPr>
      <w:bookmarkStart w:id="164" w:name="_Toc21974_WPSOffice_Level2"/>
      <w:bookmarkStart w:id="165" w:name="_Toc22351_WPSOffice_Level2"/>
    </w:p>
    <w:p>
      <w:pPr>
        <w:spacing w:line="440" w:lineRule="exact"/>
        <w:jc w:val="center"/>
        <w:rPr>
          <w:rFonts w:ascii="Times New Roman" w:hAnsi="Times New Roman" w:eastAsia="黑体" w:cs="Times New Roman"/>
          <w:sz w:val="28"/>
          <w:szCs w:val="28"/>
        </w:rPr>
      </w:pPr>
    </w:p>
    <w:p>
      <w:pPr>
        <w:pStyle w:val="2"/>
      </w:pPr>
    </w:p>
    <w:p>
      <w:pPr>
        <w:spacing w:line="440" w:lineRule="exact"/>
        <w:jc w:val="center"/>
        <w:outlineLvl w:val="0"/>
        <w:rPr>
          <w:rFonts w:ascii="Times New Roman" w:hAnsi="Times New Roman" w:eastAsia="黑体" w:cs="Times New Roman"/>
          <w:sz w:val="28"/>
          <w:szCs w:val="28"/>
        </w:rPr>
      </w:pPr>
      <w:r>
        <w:rPr>
          <w:rFonts w:ascii="Times New Roman" w:hAnsi="Times New Roman" w:eastAsia="黑体" w:cs="Times New Roman"/>
          <w:sz w:val="28"/>
          <w:szCs w:val="28"/>
        </w:rPr>
        <w:t>目     录</w:t>
      </w:r>
      <w:bookmarkEnd w:id="164"/>
      <w:bookmarkEnd w:id="165"/>
    </w:p>
    <w:p>
      <w:pPr>
        <w:spacing w:line="440" w:lineRule="exact"/>
        <w:rPr>
          <w:rFonts w:ascii="Times New Roman" w:hAnsi="Times New Roman" w:eastAsia="黑体" w:cs="Times New Roman"/>
          <w:sz w:val="24"/>
        </w:rPr>
      </w:pPr>
    </w:p>
    <w:p>
      <w:pPr>
        <w:spacing w:line="440" w:lineRule="exact"/>
        <w:outlineLvl w:val="1"/>
        <w:rPr>
          <w:rFonts w:ascii="Times New Roman" w:hAnsi="Times New Roman" w:eastAsia="黑体" w:cs="Times New Roman"/>
          <w:sz w:val="24"/>
        </w:rPr>
      </w:pPr>
      <w:bookmarkStart w:id="166" w:name="_Toc30529_WPSOffice_Level1"/>
      <w:bookmarkStart w:id="167" w:name="_Toc11424_WPSOffice_Level1"/>
      <w:bookmarkStart w:id="168" w:name="_Toc6353_WPSOffice_Level1"/>
      <w:bookmarkStart w:id="169" w:name="_Toc23368_WPSOffice_Level1"/>
      <w:bookmarkStart w:id="170" w:name="_Toc12670_WPSOffice_Level1"/>
      <w:r>
        <w:rPr>
          <w:rFonts w:ascii="Times New Roman" w:hAnsi="Times New Roman" w:eastAsia="黑体" w:cs="Times New Roman"/>
          <w:sz w:val="24"/>
        </w:rPr>
        <w:t>一、报价函</w:t>
      </w:r>
      <w:bookmarkEnd w:id="166"/>
      <w:bookmarkEnd w:id="167"/>
      <w:bookmarkEnd w:id="168"/>
      <w:bookmarkEnd w:id="169"/>
    </w:p>
    <w:p>
      <w:pPr>
        <w:spacing w:line="440" w:lineRule="exact"/>
        <w:outlineLvl w:val="1"/>
        <w:rPr>
          <w:rFonts w:ascii="Times New Roman" w:hAnsi="Times New Roman" w:eastAsia="黑体" w:cs="Times New Roman"/>
          <w:sz w:val="24"/>
        </w:rPr>
      </w:pPr>
      <w:bookmarkStart w:id="171" w:name="_Toc21229_WPSOffice_Level1"/>
      <w:bookmarkStart w:id="172" w:name="_Toc31927_WPSOffice_Level1"/>
      <w:bookmarkStart w:id="173" w:name="_Toc32729_WPSOffice_Level1"/>
      <w:bookmarkStart w:id="174" w:name="_Toc5317_WPSOffice_Level1"/>
      <w:r>
        <w:rPr>
          <w:rFonts w:ascii="Times New Roman" w:hAnsi="Times New Roman" w:eastAsia="黑体" w:cs="Times New Roman"/>
          <w:sz w:val="24"/>
        </w:rPr>
        <w:t>二、法定代表人身份证明及授权委托书</w:t>
      </w:r>
      <w:bookmarkEnd w:id="171"/>
      <w:bookmarkEnd w:id="172"/>
      <w:bookmarkEnd w:id="173"/>
      <w:bookmarkEnd w:id="174"/>
    </w:p>
    <w:p>
      <w:pPr>
        <w:spacing w:line="440" w:lineRule="exact"/>
        <w:outlineLvl w:val="1"/>
        <w:rPr>
          <w:rFonts w:ascii="Times New Roman" w:hAnsi="Times New Roman" w:eastAsia="黑体" w:cs="Times New Roman"/>
          <w:sz w:val="24"/>
        </w:rPr>
      </w:pPr>
      <w:bookmarkStart w:id="175" w:name="_Toc23356_WPSOffice_Level1"/>
      <w:bookmarkStart w:id="176" w:name="_Toc4728_WPSOffice_Level1"/>
      <w:bookmarkStart w:id="177" w:name="_Toc29085_WPSOffice_Level1"/>
      <w:bookmarkStart w:id="178" w:name="_Toc25965_WPSOffice_Level1"/>
      <w:r>
        <w:rPr>
          <w:rFonts w:hint="eastAsia" w:ascii="Times New Roman" w:hAnsi="Times New Roman" w:eastAsia="黑体" w:cs="Times New Roman"/>
          <w:sz w:val="24"/>
        </w:rPr>
        <w:t>三</w:t>
      </w:r>
      <w:r>
        <w:rPr>
          <w:rFonts w:ascii="Times New Roman" w:hAnsi="Times New Roman" w:eastAsia="黑体" w:cs="Times New Roman"/>
          <w:sz w:val="24"/>
        </w:rPr>
        <w:t>、</w:t>
      </w:r>
      <w:bookmarkEnd w:id="175"/>
      <w:bookmarkEnd w:id="176"/>
      <w:bookmarkEnd w:id="177"/>
      <w:bookmarkEnd w:id="178"/>
      <w:r>
        <w:rPr>
          <w:rFonts w:hint="eastAsia" w:ascii="Times New Roman" w:hAnsi="Times New Roman" w:eastAsia="黑体" w:cs="Times New Roman"/>
          <w:sz w:val="24"/>
        </w:rPr>
        <w:t>报价清单</w:t>
      </w:r>
    </w:p>
    <w:p>
      <w:pPr>
        <w:spacing w:line="440" w:lineRule="exact"/>
        <w:outlineLvl w:val="1"/>
        <w:rPr>
          <w:rFonts w:ascii="Times New Roman" w:hAnsi="Times New Roman" w:eastAsia="黑体" w:cs="Times New Roman"/>
          <w:sz w:val="24"/>
        </w:rPr>
      </w:pPr>
      <w:bookmarkStart w:id="179" w:name="_Toc10608_WPSOffice_Level1"/>
      <w:bookmarkStart w:id="180" w:name="_Toc7453_WPSOffice_Level1"/>
      <w:bookmarkStart w:id="181" w:name="_Toc23744_WPSOffice_Level1"/>
      <w:bookmarkStart w:id="182" w:name="_Toc1896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79"/>
      <w:bookmarkEnd w:id="180"/>
      <w:bookmarkEnd w:id="181"/>
      <w:bookmarkEnd w:id="182"/>
      <w:r>
        <w:rPr>
          <w:rFonts w:hint="eastAsia" w:ascii="Times New Roman" w:hAnsi="Times New Roman" w:eastAsia="黑体" w:cs="Times New Roman"/>
          <w:sz w:val="24"/>
        </w:rPr>
        <w:t>供应商基本情况</w:t>
      </w:r>
    </w:p>
    <w:p>
      <w:pPr>
        <w:spacing w:line="440" w:lineRule="exact"/>
        <w:outlineLvl w:val="1"/>
        <w:rPr>
          <w:rFonts w:ascii="Times New Roman" w:hAnsi="Times New Roman" w:eastAsia="黑体" w:cs="Times New Roman"/>
          <w:sz w:val="24"/>
        </w:rPr>
      </w:pPr>
      <w:bookmarkStart w:id="183" w:name="_Toc27403_WPSOffice_Level1"/>
      <w:bookmarkStart w:id="184" w:name="_Toc32648_WPSOffice_Level1"/>
      <w:bookmarkStart w:id="185" w:name="_Toc30273_WPSOffice_Level1"/>
      <w:bookmarkStart w:id="186" w:name="_Toc25804_WPSOffice_Level1"/>
      <w:r>
        <w:rPr>
          <w:rFonts w:hint="eastAsia" w:ascii="Times New Roman" w:hAnsi="Times New Roman" w:eastAsia="黑体" w:cs="Times New Roman"/>
          <w:sz w:val="24"/>
        </w:rPr>
        <w:t>五</w:t>
      </w:r>
      <w:r>
        <w:rPr>
          <w:rFonts w:ascii="Times New Roman" w:hAnsi="Times New Roman" w:eastAsia="黑体" w:cs="Times New Roman"/>
          <w:sz w:val="24"/>
        </w:rPr>
        <w:t>、</w:t>
      </w:r>
      <w:bookmarkEnd w:id="183"/>
      <w:bookmarkEnd w:id="184"/>
      <w:bookmarkEnd w:id="185"/>
      <w:bookmarkEnd w:id="186"/>
      <w:r>
        <w:rPr>
          <w:rFonts w:ascii="Times New Roman" w:hAnsi="Times New Roman" w:eastAsia="黑体" w:cs="Times New Roman"/>
          <w:sz w:val="24"/>
        </w:rPr>
        <w:t>近</w:t>
      </w:r>
      <w:r>
        <w:rPr>
          <w:rFonts w:hint="eastAsia" w:ascii="Times New Roman" w:hAnsi="Times New Roman" w:eastAsia="黑体" w:cs="Times New Roman"/>
          <w:sz w:val="24"/>
        </w:rPr>
        <w:t>三</w:t>
      </w:r>
      <w:r>
        <w:rPr>
          <w:rFonts w:ascii="Times New Roman" w:hAnsi="Times New Roman" w:eastAsia="黑体" w:cs="Times New Roman"/>
          <w:sz w:val="24"/>
        </w:rPr>
        <w:t>年业绩情况</w:t>
      </w:r>
    </w:p>
    <w:p>
      <w:pPr>
        <w:spacing w:line="440" w:lineRule="exact"/>
        <w:outlineLvl w:val="1"/>
        <w:rPr>
          <w:rFonts w:ascii="Times New Roman" w:hAnsi="Times New Roman" w:eastAsia="黑体" w:cs="Times New Roman"/>
          <w:sz w:val="24"/>
        </w:rPr>
      </w:pPr>
      <w:bookmarkStart w:id="187" w:name="_Toc16988_WPSOffice_Level1"/>
      <w:bookmarkStart w:id="188" w:name="_Toc5885_WPSOffice_Level1"/>
      <w:r>
        <w:rPr>
          <w:rFonts w:hint="eastAsia" w:ascii="Times New Roman" w:hAnsi="Times New Roman" w:eastAsia="黑体" w:cs="Times New Roman"/>
          <w:sz w:val="24"/>
        </w:rPr>
        <w:t>六、</w:t>
      </w:r>
      <w:bookmarkEnd w:id="170"/>
      <w:bookmarkEnd w:id="187"/>
      <w:bookmarkEnd w:id="188"/>
      <w:r>
        <w:rPr>
          <w:rFonts w:hint="eastAsia" w:ascii="Times New Roman" w:hAnsi="Times New Roman" w:eastAsia="黑体" w:cs="Times New Roman"/>
          <w:sz w:val="24"/>
        </w:rPr>
        <w:t>信誉情况</w:t>
      </w:r>
    </w:p>
    <w:p>
      <w:pPr>
        <w:spacing w:line="440" w:lineRule="exact"/>
        <w:outlineLvl w:val="1"/>
        <w:rPr>
          <w:rFonts w:ascii="Times New Roman" w:hAnsi="Times New Roman" w:eastAsia="黑体" w:cs="Times New Roman"/>
          <w:sz w:val="24"/>
        </w:rPr>
      </w:pPr>
      <w:r>
        <w:rPr>
          <w:rFonts w:hint="eastAsia" w:ascii="Times New Roman" w:hAnsi="Times New Roman" w:eastAsia="黑体" w:cs="Times New Roman"/>
          <w:sz w:val="24"/>
        </w:rPr>
        <w:t>七、其他资料</w:t>
      </w:r>
    </w:p>
    <w:p>
      <w:pPr>
        <w:spacing w:line="440" w:lineRule="exact"/>
        <w:ind w:left="1619" w:leftChars="771"/>
        <w:rPr>
          <w:rFonts w:ascii="Times New Roman" w:hAnsi="Times New Roman" w:eastAsia="黑体" w:cs="Times New Roman"/>
          <w:sz w:val="24"/>
        </w:rPr>
      </w:pPr>
    </w:p>
    <w:p>
      <w:pPr>
        <w:spacing w:line="440" w:lineRule="exact"/>
        <w:ind w:left="1619" w:leftChars="771"/>
        <w:rPr>
          <w:rFonts w:ascii="Times New Roman" w:hAnsi="Times New Roman" w:eastAsia="黑体" w:cs="Times New Roman"/>
          <w:sz w:val="24"/>
        </w:rPr>
      </w:pPr>
    </w:p>
    <w:p>
      <w:pPr>
        <w:spacing w:line="440" w:lineRule="exact"/>
        <w:jc w:val="center"/>
        <w:outlineLvl w:val="0"/>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89" w:name="_Toc2765_WPSOffice_Level1"/>
      <w:bookmarkStart w:id="190" w:name="_Toc25394_WPSOffice_Level1"/>
      <w:bookmarkStart w:id="191" w:name="_Toc18312_WPSOffice_Level1"/>
      <w:bookmarkStart w:id="192" w:name="_Toc30031_WPSOffice_Level1"/>
      <w:bookmarkStart w:id="193" w:name="_Toc1687_WPSOffice_Level1"/>
      <w:r>
        <w:rPr>
          <w:rFonts w:ascii="Times New Roman" w:hAnsi="Times New Roman" w:eastAsia="黑体" w:cs="Times New Roman"/>
          <w:sz w:val="28"/>
          <w:szCs w:val="28"/>
        </w:rPr>
        <w:t>一、报价函</w:t>
      </w:r>
      <w:bookmarkEnd w:id="189"/>
      <w:bookmarkEnd w:id="190"/>
      <w:bookmarkEnd w:id="191"/>
      <w:bookmarkEnd w:id="192"/>
      <w:bookmarkEnd w:id="193"/>
    </w:p>
    <w:p>
      <w:pPr>
        <w:spacing w:line="440" w:lineRule="exact"/>
        <w:rPr>
          <w:rFonts w:ascii="Times New Roman" w:hAnsi="Times New Roman" w:cs="Times New Roman"/>
          <w:sz w:val="24"/>
          <w:u w:val="single"/>
        </w:rPr>
      </w:pPr>
      <w:r>
        <w:rPr>
          <w:rFonts w:ascii="Times New Roman" w:hAnsi="Times New Roman" w:cs="Times New Roman"/>
          <w:sz w:val="24"/>
        </w:rPr>
        <w:t>(采购人名称)：</w:t>
      </w:r>
      <w:r>
        <w:rPr>
          <w:rFonts w:hint="eastAsia" w:ascii="Times New Roman" w:hAnsi="Times New Roman" w:cs="Times New Roman"/>
          <w:sz w:val="24"/>
          <w:u w:val="single"/>
        </w:rPr>
        <w:t xml:space="preserve">               </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ascii="Times New Roman" w:hAnsi="Times New Roman" w:cs="Times New Roman"/>
          <w:sz w:val="24"/>
        </w:rPr>
        <w:t>合同包询比文件的全部内容，愿意以人民币(大写)</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w:t>
      </w:r>
      <w:r>
        <w:rPr>
          <w:rFonts w:hint="eastAsia" w:ascii="Times New Roman" w:hAnsi="Times New Roman" w:cs="Times New Roman"/>
          <w:sz w:val="24"/>
        </w:rPr>
        <w:t>服务期</w:t>
      </w:r>
      <w:r>
        <w:rPr>
          <w:rFonts w:ascii="Times New Roman" w:hAnsi="Times New Roman" w:cs="Times New Roman"/>
          <w:sz w:val="24"/>
          <w:u w:val="single"/>
        </w:rPr>
        <w:t xml:space="preserve">           </w:t>
      </w:r>
      <w:r>
        <w:rPr>
          <w:rFonts w:ascii="Times New Roman" w:hAnsi="Times New Roman" w:cs="Times New Roman"/>
          <w:sz w:val="24"/>
        </w:rPr>
        <w:t>，按合同约定实施和完成相关服务，质量目标达到</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安全目标</w:t>
      </w:r>
      <w:r>
        <w:rPr>
          <w:rFonts w:ascii="Times New Roman" w:hAnsi="Times New Roman" w:cs="Times New Roman"/>
          <w:sz w:val="24"/>
        </w:rPr>
        <w:t>达到</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3．随同本报价函提交响应保证金一份，金额为人民币(大写)</w:t>
      </w:r>
      <w:r>
        <w:rPr>
          <w:rFonts w:hint="eastAsia" w:ascii="Times New Roman" w:hAnsi="Times New Roman" w:cs="Times New Roman"/>
          <w:sz w:val="24"/>
          <w:u w:val="single"/>
        </w:rPr>
        <w:t xml:space="preserve">        </w:t>
      </w:r>
      <w:r>
        <w:rPr>
          <w:rFonts w:ascii="Times New Roman" w:hAnsi="Times New Roman" w:cs="Times New Roman"/>
          <w:sz w:val="24"/>
        </w:rPr>
        <w:t>元(¥</w:t>
      </w:r>
      <w:r>
        <w:rPr>
          <w:rFonts w:hint="eastAsia"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4．如我方成交：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r>
        <w:rPr>
          <w:rFonts w:hint="eastAsia" w:ascii="Times New Roman" w:hAnsi="Times New Roman" w:cs="Times New Roman"/>
          <w:sz w:val="24"/>
        </w:rPr>
        <w:t>（如有）</w:t>
      </w:r>
      <w:r>
        <w:rPr>
          <w:rFonts w:ascii="Times New Roman" w:hAnsi="Times New Roman" w:cs="Times New Roman"/>
          <w:sz w:val="24"/>
        </w:rPr>
        <w:t>。</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5．我方在此声明，所递交的响应文件及有关资料内容完整、真实和准确。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6．在合同协议书正式签署生效之前，本报价函连同你方的成交通知书将构成我们双方之间共同遵守的文件，对双方具有约束力。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7．我方理解，你方不一定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jc w:val="center"/>
        <w:rPr>
          <w:rFonts w:ascii="Times New Roman" w:hAnsi="Times New Roman" w:cs="Times New Roman"/>
          <w:sz w:val="24"/>
        </w:rPr>
      </w:pPr>
      <w:r>
        <w:rPr>
          <w:rFonts w:hint="eastAsia" w:ascii="Times New Roman" w:hAnsi="Times New Roman" w:cs="Times New Roman"/>
          <w:sz w:val="24"/>
        </w:rPr>
        <w:t xml:space="preserve">                                    </w:t>
      </w:r>
    </w:p>
    <w:p>
      <w:pPr>
        <w:spacing w:line="400" w:lineRule="exact"/>
        <w:jc w:val="center"/>
        <w:rPr>
          <w:rFonts w:ascii="Times New Roman" w:hAnsi="Times New Roman" w:cs="Times New Roman"/>
          <w:sz w:val="24"/>
        </w:rPr>
      </w:pPr>
      <w:r>
        <w:rPr>
          <w:rFonts w:hint="eastAsia" w:ascii="Times New Roman" w:hAnsi="Times New Roman" w:cs="Times New Roman"/>
          <w:sz w:val="24"/>
        </w:rPr>
        <w:t xml:space="preserve">                                    </w:t>
      </w:r>
    </w:p>
    <w:p>
      <w:pPr>
        <w:spacing w:line="400" w:lineRule="exact"/>
        <w:jc w:val="center"/>
        <w:outlineLvl w:val="1"/>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t>供应商：</w:t>
      </w:r>
      <w:r>
        <w:rPr>
          <w:rFonts w:hint="eastAsia" w:ascii="Times New Roman" w:hAnsi="Times New Roman" w:cs="Times New Roman"/>
          <w:sz w:val="24"/>
          <w:u w:val="single"/>
        </w:rPr>
        <w:t xml:space="preserve">                         </w:t>
      </w:r>
      <w:r>
        <w:rPr>
          <w:rFonts w:ascii="Times New Roman" w:hAnsi="Times New Roman" w:cs="Times New Roman"/>
          <w:sz w:val="24"/>
        </w:rPr>
        <w:t>(盖单位章)</w:t>
      </w:r>
    </w:p>
    <w:p>
      <w:pPr>
        <w:pStyle w:val="2"/>
      </w:pPr>
    </w:p>
    <w:p>
      <w:pPr>
        <w:spacing w:line="400" w:lineRule="exact"/>
        <w:jc w:val="center"/>
        <w:outlineLvl w:val="1"/>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jc w:val="center"/>
        <w:rPr>
          <w:rFonts w:ascii="Times New Roman" w:hAnsi="Times New Roman" w:cs="Times New Roman"/>
          <w:sz w:val="24"/>
        </w:rPr>
      </w:pPr>
    </w:p>
    <w:p>
      <w:pPr>
        <w:spacing w:line="400" w:lineRule="exact"/>
        <w:jc w:val="center"/>
        <w:outlineLvl w:val="1"/>
        <w:rPr>
          <w:rFonts w:ascii="Times New Roman" w:hAnsi="Times New Roman" w:cs="Times New Roman"/>
          <w:sz w:val="24"/>
          <w:u w:val="single"/>
        </w:rPr>
      </w:pPr>
      <w:r>
        <w:rPr>
          <w:rFonts w:ascii="Times New Roman" w:hAnsi="Times New Roman" w:cs="Times New Roman"/>
          <w:sz w:val="24"/>
        </w:rPr>
        <w:t>地址：</w:t>
      </w:r>
      <w:r>
        <w:rPr>
          <w:rFonts w:hint="eastAsia" w:ascii="Times New Roman" w:hAnsi="Times New Roman" w:cs="Times New Roman"/>
          <w:sz w:val="24"/>
          <w:u w:val="single"/>
        </w:rPr>
        <w:t xml:space="preserve">                                     </w:t>
      </w:r>
    </w:p>
    <w:p>
      <w:pPr>
        <w:spacing w:line="400" w:lineRule="exact"/>
        <w:jc w:val="center"/>
        <w:rPr>
          <w:rFonts w:ascii="Times New Roman" w:hAnsi="Times New Roman" w:cs="Times New Roman"/>
          <w:sz w:val="24"/>
        </w:rPr>
      </w:pPr>
    </w:p>
    <w:p>
      <w:pPr>
        <w:spacing w:line="400" w:lineRule="exact"/>
        <w:jc w:val="center"/>
        <w:outlineLvl w:val="1"/>
        <w:rPr>
          <w:rFonts w:ascii="Times New Roman" w:hAnsi="Times New Roman" w:cs="Times New Roman"/>
          <w:sz w:val="24"/>
          <w:u w:val="single"/>
        </w:rPr>
      </w:pPr>
      <w:r>
        <w:rPr>
          <w:rFonts w:ascii="Times New Roman" w:hAnsi="Times New Roman" w:cs="Times New Roman"/>
          <w:sz w:val="24"/>
        </w:rPr>
        <w:t>电话：</w:t>
      </w:r>
      <w:r>
        <w:rPr>
          <w:rFonts w:hint="eastAsia" w:ascii="Times New Roman" w:hAnsi="Times New Roman" w:cs="Times New Roman"/>
          <w:sz w:val="24"/>
          <w:u w:val="single"/>
        </w:rPr>
        <w:t xml:space="preserve">                                     </w:t>
      </w:r>
    </w:p>
    <w:p>
      <w:pPr>
        <w:spacing w:line="400" w:lineRule="exact"/>
        <w:jc w:val="center"/>
        <w:rPr>
          <w:rFonts w:ascii="Times New Roman" w:hAnsi="Times New Roman" w:cs="Times New Roman"/>
          <w:sz w:val="24"/>
        </w:rPr>
      </w:pPr>
    </w:p>
    <w:p>
      <w:pPr>
        <w:spacing w:line="400" w:lineRule="exact"/>
        <w:jc w:val="center"/>
        <w:outlineLvl w:val="1"/>
        <w:rPr>
          <w:rFonts w:ascii="Times New Roman" w:hAnsi="Times New Roman" w:cs="Times New Roman"/>
          <w:sz w:val="24"/>
          <w:u w:val="single"/>
        </w:rPr>
      </w:pPr>
      <w:r>
        <w:rPr>
          <w:rFonts w:hint="eastAsia" w:ascii="Times New Roman" w:hAnsi="Times New Roman" w:cs="Times New Roman"/>
          <w:sz w:val="24"/>
        </w:rPr>
        <w:t xml:space="preserve">    电子邮箱</w:t>
      </w:r>
      <w:r>
        <w:rPr>
          <w:rFonts w:ascii="Times New Roman" w:hAnsi="Times New Roman" w:cs="Times New Roman"/>
          <w:sz w:val="24"/>
        </w:rPr>
        <w:t>：</w:t>
      </w:r>
      <w:r>
        <w:rPr>
          <w:rFonts w:hint="eastAsia" w:ascii="Times New Roman" w:hAnsi="Times New Roman" w:cs="Times New Roman"/>
          <w:sz w:val="24"/>
          <w:u w:val="single"/>
        </w:rPr>
        <w:t xml:space="preserve">                                 </w:t>
      </w:r>
    </w:p>
    <w:p>
      <w:pPr>
        <w:spacing w:line="400" w:lineRule="exact"/>
        <w:jc w:val="center"/>
        <w:rPr>
          <w:rFonts w:ascii="Times New Roman" w:hAnsi="Times New Roman" w:cs="Times New Roman"/>
          <w:sz w:val="24"/>
        </w:rPr>
      </w:pPr>
    </w:p>
    <w:p>
      <w:pPr>
        <w:spacing w:line="400" w:lineRule="exact"/>
        <w:jc w:val="center"/>
        <w:outlineLvl w:val="1"/>
        <w:rPr>
          <w:rFonts w:ascii="Times New Roman" w:hAnsi="Times New Roman" w:cs="Times New Roman"/>
          <w:sz w:val="24"/>
        </w:rPr>
      </w:pPr>
      <w:r>
        <w:rPr>
          <w:rFonts w:hint="eastAsia" w:ascii="Times New Roman" w:hAnsi="Times New Roman" w:cs="Times New Roman"/>
          <w:sz w:val="24"/>
        </w:rPr>
        <w:t xml:space="preserve">                                                      </w:t>
      </w:r>
      <w:r>
        <w:rPr>
          <w:rFonts w:hint="eastAsia" w:ascii="Times New Roman" w:hAnsi="Times New Roman" w:cs="Times New Roman"/>
          <w:sz w:val="24"/>
          <w:u w:val="single"/>
        </w:rPr>
        <w:t xml:space="preserve">         </w:t>
      </w:r>
      <w:r>
        <w:rPr>
          <w:rFonts w:ascii="Times New Roman" w:hAnsi="Times New Roman" w:cs="Times New Roman"/>
          <w:sz w:val="24"/>
        </w:rPr>
        <w:t>年</w:t>
      </w:r>
      <w:r>
        <w:rPr>
          <w:rFonts w:hint="eastAsia" w:ascii="Times New Roman" w:hAnsi="Times New Roman" w:cs="Times New Roman"/>
          <w:sz w:val="24"/>
          <w:u w:val="single"/>
        </w:rPr>
        <w:t xml:space="preserve">     </w:t>
      </w:r>
      <w:r>
        <w:rPr>
          <w:rFonts w:ascii="Times New Roman" w:hAnsi="Times New Roman" w:cs="Times New Roman"/>
          <w:sz w:val="24"/>
        </w:rPr>
        <w:t>月</w:t>
      </w:r>
      <w:r>
        <w:rPr>
          <w:rFonts w:hint="eastAsia" w:ascii="Times New Roman" w:hAnsi="Times New Roman" w:cs="Times New Roman"/>
          <w:sz w:val="24"/>
          <w:u w:val="single"/>
        </w:rPr>
        <w:t xml:space="preserve">     </w:t>
      </w:r>
      <w:r>
        <w:rPr>
          <w:rFonts w:ascii="Times New Roman" w:hAnsi="Times New Roman" w:cs="Times New Roman"/>
          <w:sz w:val="24"/>
        </w:rPr>
        <w:t>日</w:t>
      </w:r>
    </w:p>
    <w:p>
      <w:pPr>
        <w:jc w:val="center"/>
        <w:rPr>
          <w:rFonts w:ascii="Times New Roman" w:hAnsi="Times New Roman" w:eastAsia="黑体" w:cs="Times New Roman"/>
          <w:sz w:val="20"/>
          <w:szCs w:val="20"/>
        </w:rPr>
      </w:pPr>
      <w:r>
        <w:rPr>
          <w:rFonts w:ascii="Times New Roman" w:hAnsi="Times New Roman" w:cs="Times New Roman"/>
          <w:sz w:val="24"/>
        </w:rPr>
        <w:br w:type="page"/>
      </w:r>
    </w:p>
    <w:p>
      <w:pPr>
        <w:spacing w:line="440" w:lineRule="exact"/>
        <w:jc w:val="center"/>
        <w:outlineLvl w:val="0"/>
        <w:rPr>
          <w:rFonts w:ascii="Times New Roman" w:hAnsi="Times New Roman" w:eastAsia="黑体" w:cs="Times New Roman"/>
          <w:sz w:val="28"/>
          <w:szCs w:val="28"/>
        </w:rPr>
      </w:pPr>
      <w:bookmarkStart w:id="194" w:name="_Toc18668_WPSOffice_Level1"/>
      <w:bookmarkStart w:id="195" w:name="_Toc32350_WPSOffice_Level1"/>
      <w:bookmarkStart w:id="196" w:name="_Toc14563_WPSOffice_Level1"/>
      <w:bookmarkStart w:id="197" w:name="_Toc16271_WPSOffice_Level1"/>
      <w:bookmarkStart w:id="198" w:name="_Toc8695_WPSOffice_Level1"/>
      <w:r>
        <w:rPr>
          <w:rFonts w:ascii="Times New Roman" w:hAnsi="Times New Roman" w:eastAsia="黑体" w:cs="Times New Roman"/>
          <w:sz w:val="28"/>
          <w:szCs w:val="28"/>
        </w:rPr>
        <w:t>二、法定代表人身份证明及授权委托书</w:t>
      </w:r>
      <w:bookmarkEnd w:id="194"/>
      <w:bookmarkEnd w:id="195"/>
      <w:bookmarkEnd w:id="196"/>
      <w:bookmarkEnd w:id="197"/>
      <w:bookmarkEnd w:id="198"/>
    </w:p>
    <w:p>
      <w:pPr>
        <w:spacing w:line="440" w:lineRule="exact"/>
        <w:rPr>
          <w:rFonts w:ascii="Times New Roman" w:hAnsi="Times New Roman" w:cs="Times New Roman"/>
          <w:sz w:val="20"/>
          <w:szCs w:val="20"/>
        </w:rPr>
      </w:pPr>
    </w:p>
    <w:p>
      <w:pPr>
        <w:spacing w:line="440" w:lineRule="exact"/>
        <w:jc w:val="center"/>
        <w:outlineLvl w:val="1"/>
        <w:rPr>
          <w:rFonts w:ascii="Times New Roman" w:hAnsi="Times New Roman" w:cs="Times New Roman"/>
          <w:sz w:val="28"/>
          <w:szCs w:val="28"/>
        </w:rPr>
      </w:pPr>
      <w:bookmarkStart w:id="199" w:name="_Toc20803_WPSOffice_Level2"/>
      <w:bookmarkStart w:id="200" w:name="_Toc5153_WPSOffice_Level2"/>
      <w:r>
        <w:rPr>
          <w:rFonts w:ascii="Times New Roman" w:hAnsi="Times New Roman" w:eastAsia="黑体" w:cs="Times New Roman"/>
          <w:bCs/>
          <w:sz w:val="28"/>
          <w:szCs w:val="28"/>
        </w:rPr>
        <w:t>2-1 法定代表人身份证明</w:t>
      </w:r>
      <w:bookmarkEnd w:id="199"/>
      <w:bookmarkEnd w:id="200"/>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pPr>
        <w:spacing w:line="440" w:lineRule="exact"/>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tbl>
      <w:tblPr>
        <w:tblStyle w:val="24"/>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9"/>
        <w:gridCol w:w="5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4978" w:type="dxa"/>
          </w:tcPr>
          <w:p>
            <w:pPr>
              <w:spacing w:line="440" w:lineRule="exact"/>
              <w:jc w:val="center"/>
              <w:rPr>
                <w:rFonts w:ascii="Times New Roman" w:hAnsi="Times New Roman" w:cs="Times New Roman"/>
                <w:color w:val="0000FF"/>
                <w:sz w:val="24"/>
              </w:rPr>
            </w:pPr>
          </w:p>
        </w:tc>
        <w:tc>
          <w:tcPr>
            <w:tcW w:w="4984" w:type="dxa"/>
          </w:tcPr>
          <w:p>
            <w:pPr>
              <w:spacing w:line="440" w:lineRule="exact"/>
              <w:jc w:val="center"/>
              <w:rPr>
                <w:rFonts w:ascii="Times New Roman" w:hAnsi="Times New Roman" w:cs="Times New Roman"/>
                <w:color w:val="0000FF"/>
                <w:sz w:val="24"/>
              </w:rPr>
            </w:pPr>
          </w:p>
        </w:tc>
      </w:tr>
    </w:tbl>
    <w:p>
      <w:pPr>
        <w:spacing w:line="440" w:lineRule="exact"/>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spacing w:line="440" w:lineRule="exact"/>
        <w:jc w:val="center"/>
        <w:outlineLvl w:val="1"/>
        <w:rPr>
          <w:rFonts w:ascii="Times New Roman" w:hAnsi="Times New Roman" w:eastAsia="黑体" w:cs="Times New Roman"/>
          <w:sz w:val="28"/>
          <w:szCs w:val="28"/>
        </w:rPr>
      </w:pPr>
      <w:r>
        <w:rPr>
          <w:rFonts w:ascii="Times New Roman" w:hAnsi="Times New Roman" w:eastAsia="黑体" w:cs="Times New Roman"/>
          <w:sz w:val="24"/>
        </w:rPr>
        <w:br w:type="page"/>
      </w:r>
      <w:bookmarkStart w:id="201" w:name="_Toc19768_WPSOffice_Level2"/>
      <w:bookmarkStart w:id="202" w:name="_Toc12035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201"/>
      <w:bookmarkEnd w:id="202"/>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tbl>
      <w:tblPr>
        <w:tblStyle w:val="24"/>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9"/>
        <w:gridCol w:w="5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4978" w:type="dxa"/>
          </w:tcPr>
          <w:p>
            <w:pPr>
              <w:spacing w:line="440" w:lineRule="exact"/>
              <w:rPr>
                <w:rFonts w:ascii="Times New Roman" w:hAnsi="Times New Roman" w:cs="Times New Roman"/>
                <w:color w:val="0000FF"/>
                <w:sz w:val="24"/>
              </w:rPr>
            </w:pPr>
          </w:p>
        </w:tc>
        <w:tc>
          <w:tcPr>
            <w:tcW w:w="4984" w:type="dxa"/>
          </w:tcPr>
          <w:p>
            <w:pPr>
              <w:spacing w:line="440" w:lineRule="exact"/>
              <w:rPr>
                <w:rFonts w:ascii="Times New Roman" w:hAnsi="Times New Roman" w:cs="Times New Roman"/>
                <w:color w:val="0000FF"/>
                <w:sz w:val="24"/>
              </w:rPr>
            </w:pPr>
          </w:p>
        </w:tc>
      </w:tr>
    </w:tbl>
    <w:p>
      <w:pPr>
        <w:pStyle w:val="2"/>
        <w:rPr>
          <w:rFonts w:ascii="Times New Roman" w:hAnsi="Times New Roman" w:cs="Times New Roman"/>
          <w:sz w:val="24"/>
        </w:rPr>
      </w:pPr>
    </w:p>
    <w:p>
      <w:pPr>
        <w:pStyle w:val="3"/>
        <w:outlineLvl w:val="9"/>
      </w:pPr>
    </w:p>
    <w:p>
      <w:pPr>
        <w:spacing w:line="440" w:lineRule="exact"/>
        <w:jc w:val="righ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ind w:firstLine="4080" w:firstLineChars="1700"/>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ind w:firstLine="4080" w:firstLineChars="1700"/>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jc w:val="right"/>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rPr>
          <w:rFonts w:ascii="Times New Roman" w:hAnsi="Times New Roman" w:eastAsia="黑体" w:cs="Times New Roman"/>
          <w:sz w:val="24"/>
        </w:rPr>
        <w:sectPr>
          <w:pgSz w:w="11906" w:h="16838"/>
          <w:pgMar w:top="1191" w:right="1080" w:bottom="1191" w:left="1080" w:header="851" w:footer="992" w:gutter="0"/>
          <w:cols w:space="425" w:num="1"/>
          <w:docGrid w:type="lines" w:linePitch="312" w:charSpace="0"/>
        </w:sectPr>
      </w:pPr>
      <w:r>
        <w:rPr>
          <w:rFonts w:ascii="Times New Roman" w:hAnsi="Times New Roman" w:eastAsia="黑体" w:cs="Times New Roman"/>
          <w:sz w:val="24"/>
        </w:rPr>
        <w:t xml:space="preserve"> </w:t>
      </w:r>
    </w:p>
    <w:p>
      <w:pPr>
        <w:numPr>
          <w:ilvl w:val="0"/>
          <w:numId w:val="4"/>
        </w:numPr>
        <w:spacing w:line="440" w:lineRule="exact"/>
        <w:jc w:val="center"/>
        <w:outlineLvl w:val="0"/>
        <w:rPr>
          <w:rFonts w:ascii="Times New Roman" w:hAnsi="Times New Roman" w:eastAsia="黑体" w:cs="Times New Roman"/>
          <w:sz w:val="28"/>
          <w:szCs w:val="28"/>
        </w:rPr>
      </w:pPr>
      <w:bookmarkStart w:id="203" w:name="_Toc31532_WPSOffice_Level1"/>
      <w:r>
        <w:rPr>
          <w:rFonts w:hint="eastAsia" w:ascii="Times New Roman" w:hAnsi="Times New Roman" w:eastAsia="黑体" w:cs="Times New Roman"/>
          <w:sz w:val="28"/>
          <w:szCs w:val="28"/>
        </w:rPr>
        <w:t>报价清单</w:t>
      </w:r>
      <w:bookmarkEnd w:id="203"/>
      <w:bookmarkStart w:id="204" w:name="_Toc10436_WPSOffice_Level1"/>
      <w:bookmarkStart w:id="205" w:name="_Toc7738_WPSOffice_Level1"/>
      <w:bookmarkStart w:id="206" w:name="_Toc26477_WPSOffice_Level1"/>
      <w:bookmarkStart w:id="207" w:name="_Toc23545_WPSOffice_Level1"/>
      <w:bookmarkStart w:id="208" w:name="_Toc31445_WPSOffice_Level1"/>
    </w:p>
    <w:p>
      <w:pPr>
        <w:pStyle w:val="2"/>
      </w:pPr>
    </w:p>
    <w:tbl>
      <w:tblPr>
        <w:tblStyle w:val="23"/>
        <w:tblW w:w="5137" w:type="pct"/>
        <w:jc w:val="center"/>
        <w:tblLayout w:type="autofit"/>
        <w:tblCellMar>
          <w:top w:w="0" w:type="dxa"/>
          <w:left w:w="108" w:type="dxa"/>
          <w:bottom w:w="0" w:type="dxa"/>
          <w:right w:w="108" w:type="dxa"/>
        </w:tblCellMar>
      </w:tblPr>
      <w:tblGrid>
        <w:gridCol w:w="636"/>
        <w:gridCol w:w="2942"/>
        <w:gridCol w:w="827"/>
        <w:gridCol w:w="636"/>
        <w:gridCol w:w="636"/>
        <w:gridCol w:w="1267"/>
        <w:gridCol w:w="1157"/>
        <w:gridCol w:w="661"/>
      </w:tblGrid>
      <w:tr>
        <w:tblPrEx>
          <w:tblCellMar>
            <w:top w:w="0" w:type="dxa"/>
            <w:left w:w="108" w:type="dxa"/>
            <w:bottom w:w="0" w:type="dxa"/>
            <w:right w:w="108" w:type="dxa"/>
          </w:tblCellMar>
        </w:tblPrEx>
        <w:trPr>
          <w:trHeight w:val="276" w:hRule="atLeast"/>
          <w:jc w:val="center"/>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编号</w:t>
            </w:r>
          </w:p>
        </w:tc>
        <w:tc>
          <w:tcPr>
            <w:tcW w:w="1679"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名称</w:t>
            </w:r>
          </w:p>
        </w:tc>
        <w:tc>
          <w:tcPr>
            <w:tcW w:w="472"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型号</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单位</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数量</w:t>
            </w:r>
          </w:p>
        </w:tc>
        <w:tc>
          <w:tcPr>
            <w:tcW w:w="723" w:type="pct"/>
            <w:tcBorders>
              <w:top w:val="single" w:color="auto" w:sz="4" w:space="0"/>
              <w:left w:val="nil"/>
              <w:bottom w:val="single" w:color="auto" w:sz="4" w:space="0"/>
              <w:right w:val="single" w:color="auto" w:sz="4" w:space="0"/>
            </w:tcBorders>
            <w:shd w:val="clear" w:color="auto" w:fill="auto"/>
            <w:noWrap/>
            <w:vAlign w:val="center"/>
          </w:tcPr>
          <w:p>
            <w:pPr>
              <w:jc w:val="center"/>
            </w:pPr>
            <w:r>
              <w:t>单价</w:t>
            </w:r>
            <w:r>
              <w:rPr>
                <w:rFonts w:hint="eastAsia"/>
              </w:rPr>
              <w:t>（</w:t>
            </w:r>
            <w:r>
              <w:t>元</w:t>
            </w:r>
            <w:r>
              <w:rPr>
                <w:rFonts w:hint="eastAsia"/>
              </w:rPr>
              <w:t>）</w:t>
            </w:r>
          </w:p>
        </w:tc>
        <w:tc>
          <w:tcPr>
            <w:tcW w:w="660" w:type="pct"/>
            <w:tcBorders>
              <w:top w:val="single" w:color="auto" w:sz="4" w:space="0"/>
              <w:left w:val="nil"/>
              <w:bottom w:val="single" w:color="auto" w:sz="4" w:space="0"/>
              <w:right w:val="single" w:color="auto" w:sz="4" w:space="0"/>
            </w:tcBorders>
            <w:vAlign w:val="center"/>
          </w:tcPr>
          <w:p>
            <w:pPr>
              <w:jc w:val="center"/>
            </w:pPr>
            <w:r>
              <w:t>合计（</w:t>
            </w:r>
            <w:r>
              <w:rPr>
                <w:rFonts w:hint="eastAsia"/>
              </w:rPr>
              <w:t>元</w:t>
            </w:r>
            <w:r>
              <w:t>）</w:t>
            </w:r>
          </w:p>
        </w:tc>
        <w:tc>
          <w:tcPr>
            <w:tcW w:w="377" w:type="pct"/>
            <w:tcBorders>
              <w:top w:val="single" w:color="auto" w:sz="4" w:space="0"/>
              <w:left w:val="nil"/>
              <w:bottom w:val="single" w:color="auto" w:sz="4" w:space="0"/>
              <w:right w:val="single" w:color="auto" w:sz="4" w:space="0"/>
            </w:tcBorders>
            <w:vAlign w:val="center"/>
          </w:tcPr>
          <w:p>
            <w:pPr>
              <w:jc w:val="center"/>
            </w:pPr>
            <w:r>
              <w:t>备注</w:t>
            </w:r>
          </w:p>
        </w:tc>
      </w:tr>
      <w:tr>
        <w:tblPrEx>
          <w:tblCellMar>
            <w:top w:w="0" w:type="dxa"/>
            <w:left w:w="108" w:type="dxa"/>
            <w:bottom w:w="0" w:type="dxa"/>
            <w:right w:w="108" w:type="dxa"/>
          </w:tblCellMar>
        </w:tblPrEx>
        <w:trPr>
          <w:trHeight w:val="1009" w:hRule="atLeast"/>
          <w:jc w:val="center"/>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1</w:t>
            </w:r>
          </w:p>
        </w:tc>
        <w:tc>
          <w:tcPr>
            <w:tcW w:w="1679"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磁通量传感器</w:t>
            </w:r>
          </w:p>
        </w:tc>
        <w:tc>
          <w:tcPr>
            <w:tcW w:w="472"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CCT85</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套</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16</w:t>
            </w:r>
          </w:p>
        </w:tc>
        <w:tc>
          <w:tcPr>
            <w:tcW w:w="723" w:type="pct"/>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660" w:type="pct"/>
            <w:tcBorders>
              <w:top w:val="single" w:color="auto" w:sz="4" w:space="0"/>
              <w:left w:val="nil"/>
              <w:bottom w:val="single" w:color="auto" w:sz="4" w:space="0"/>
              <w:right w:val="single" w:color="auto" w:sz="4" w:space="0"/>
            </w:tcBorders>
            <w:vAlign w:val="center"/>
          </w:tcPr>
          <w:p>
            <w:pPr>
              <w:jc w:val="center"/>
            </w:pPr>
          </w:p>
        </w:tc>
        <w:tc>
          <w:tcPr>
            <w:tcW w:w="377"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44" w:hRule="atLeast"/>
          <w:jc w:val="center"/>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2</w:t>
            </w:r>
          </w:p>
        </w:tc>
        <w:tc>
          <w:tcPr>
            <w:tcW w:w="1679"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数据采集盒</w:t>
            </w:r>
          </w:p>
        </w:tc>
        <w:tc>
          <w:tcPr>
            <w:tcW w:w="472"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套</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16</w:t>
            </w:r>
          </w:p>
        </w:tc>
        <w:tc>
          <w:tcPr>
            <w:tcW w:w="723" w:type="pct"/>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660" w:type="pct"/>
            <w:tcBorders>
              <w:top w:val="single" w:color="auto" w:sz="4" w:space="0"/>
              <w:left w:val="nil"/>
              <w:bottom w:val="single" w:color="auto" w:sz="4" w:space="0"/>
              <w:right w:val="single" w:color="auto" w:sz="4" w:space="0"/>
            </w:tcBorders>
            <w:vAlign w:val="center"/>
          </w:tcPr>
          <w:p>
            <w:pPr>
              <w:jc w:val="center"/>
            </w:pPr>
          </w:p>
        </w:tc>
        <w:tc>
          <w:tcPr>
            <w:tcW w:w="377"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44" w:hRule="atLeast"/>
          <w:jc w:val="center"/>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3</w:t>
            </w:r>
          </w:p>
        </w:tc>
        <w:tc>
          <w:tcPr>
            <w:tcW w:w="1679"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信号传输线</w:t>
            </w:r>
          </w:p>
        </w:tc>
        <w:tc>
          <w:tcPr>
            <w:tcW w:w="472"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米</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160</w:t>
            </w:r>
          </w:p>
        </w:tc>
        <w:tc>
          <w:tcPr>
            <w:tcW w:w="723" w:type="pct"/>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660" w:type="pct"/>
            <w:tcBorders>
              <w:top w:val="single" w:color="auto" w:sz="4" w:space="0"/>
              <w:left w:val="nil"/>
              <w:bottom w:val="single" w:color="auto" w:sz="4" w:space="0"/>
              <w:right w:val="single" w:color="auto" w:sz="4" w:space="0"/>
            </w:tcBorders>
            <w:vAlign w:val="center"/>
          </w:tcPr>
          <w:p>
            <w:pPr>
              <w:jc w:val="center"/>
            </w:pPr>
          </w:p>
        </w:tc>
        <w:tc>
          <w:tcPr>
            <w:tcW w:w="377"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44" w:hRule="atLeast"/>
          <w:jc w:val="center"/>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4</w:t>
            </w:r>
          </w:p>
        </w:tc>
        <w:tc>
          <w:tcPr>
            <w:tcW w:w="1679"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安装辅材</w:t>
            </w:r>
          </w:p>
        </w:tc>
        <w:tc>
          <w:tcPr>
            <w:tcW w:w="472"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套</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1</w:t>
            </w:r>
          </w:p>
        </w:tc>
        <w:tc>
          <w:tcPr>
            <w:tcW w:w="723" w:type="pct"/>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660" w:type="pct"/>
            <w:tcBorders>
              <w:top w:val="single" w:color="auto" w:sz="4" w:space="0"/>
              <w:left w:val="nil"/>
              <w:bottom w:val="single" w:color="auto" w:sz="4" w:space="0"/>
              <w:right w:val="single" w:color="auto" w:sz="4" w:space="0"/>
            </w:tcBorders>
            <w:vAlign w:val="center"/>
          </w:tcPr>
          <w:p>
            <w:pPr>
              <w:jc w:val="center"/>
            </w:pPr>
          </w:p>
        </w:tc>
        <w:tc>
          <w:tcPr>
            <w:tcW w:w="377"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44" w:hRule="atLeast"/>
          <w:jc w:val="center"/>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5</w:t>
            </w:r>
          </w:p>
        </w:tc>
        <w:tc>
          <w:tcPr>
            <w:tcW w:w="1679"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磁通量采集系统v2.0（人工）</w:t>
            </w:r>
          </w:p>
        </w:tc>
        <w:tc>
          <w:tcPr>
            <w:tcW w:w="472" w:type="pct"/>
            <w:tcBorders>
              <w:top w:val="single" w:color="auto" w:sz="4" w:space="0"/>
              <w:left w:val="nil"/>
              <w:bottom w:val="single" w:color="auto" w:sz="4" w:space="0"/>
              <w:right w:val="single" w:color="auto" w:sz="4" w:space="0"/>
            </w:tcBorders>
            <w:shd w:val="clear" w:color="auto" w:fill="auto"/>
            <w:noWrap/>
            <w:vAlign w:val="center"/>
          </w:tcPr>
          <w:p>
            <w:pPr>
              <w:jc w:val="center"/>
            </w:pPr>
            <w:r>
              <w:t>CTL</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台</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1</w:t>
            </w:r>
          </w:p>
        </w:tc>
        <w:tc>
          <w:tcPr>
            <w:tcW w:w="723" w:type="pct"/>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660" w:type="pct"/>
            <w:tcBorders>
              <w:top w:val="single" w:color="auto" w:sz="4" w:space="0"/>
              <w:left w:val="nil"/>
              <w:bottom w:val="single" w:color="auto" w:sz="4" w:space="0"/>
              <w:right w:val="single" w:color="auto" w:sz="4" w:space="0"/>
            </w:tcBorders>
            <w:vAlign w:val="center"/>
          </w:tcPr>
          <w:p>
            <w:pPr>
              <w:jc w:val="center"/>
            </w:pPr>
          </w:p>
        </w:tc>
        <w:tc>
          <w:tcPr>
            <w:tcW w:w="377"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44" w:hRule="atLeast"/>
          <w:jc w:val="center"/>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6</w:t>
            </w:r>
          </w:p>
        </w:tc>
        <w:tc>
          <w:tcPr>
            <w:tcW w:w="1679"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磁弹仪</w:t>
            </w:r>
          </w:p>
        </w:tc>
        <w:tc>
          <w:tcPr>
            <w:tcW w:w="472"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C</w:t>
            </w:r>
            <w:r>
              <w:t>TY</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台</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1</w:t>
            </w:r>
          </w:p>
        </w:tc>
        <w:tc>
          <w:tcPr>
            <w:tcW w:w="723" w:type="pct"/>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660" w:type="pct"/>
            <w:tcBorders>
              <w:top w:val="single" w:color="auto" w:sz="4" w:space="0"/>
              <w:left w:val="nil"/>
              <w:bottom w:val="single" w:color="auto" w:sz="4" w:space="0"/>
              <w:right w:val="single" w:color="auto" w:sz="4" w:space="0"/>
            </w:tcBorders>
            <w:vAlign w:val="center"/>
          </w:tcPr>
          <w:p>
            <w:pPr>
              <w:jc w:val="center"/>
            </w:pPr>
          </w:p>
        </w:tc>
        <w:tc>
          <w:tcPr>
            <w:tcW w:w="377"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44" w:hRule="atLeast"/>
          <w:jc w:val="center"/>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7</w:t>
            </w:r>
          </w:p>
        </w:tc>
        <w:tc>
          <w:tcPr>
            <w:tcW w:w="1679"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现场缠绕、安装调试</w:t>
            </w:r>
          </w:p>
        </w:tc>
        <w:tc>
          <w:tcPr>
            <w:tcW w:w="472"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项</w:t>
            </w:r>
          </w:p>
        </w:tc>
        <w:tc>
          <w:tcPr>
            <w:tcW w:w="36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1</w:t>
            </w:r>
          </w:p>
        </w:tc>
        <w:tc>
          <w:tcPr>
            <w:tcW w:w="723" w:type="pct"/>
            <w:tcBorders>
              <w:top w:val="single" w:color="auto" w:sz="4" w:space="0"/>
              <w:left w:val="nil"/>
              <w:bottom w:val="single" w:color="auto" w:sz="4" w:space="0"/>
              <w:right w:val="single" w:color="auto" w:sz="4" w:space="0"/>
            </w:tcBorders>
            <w:shd w:val="clear" w:color="auto" w:fill="auto"/>
            <w:noWrap/>
            <w:vAlign w:val="center"/>
          </w:tcPr>
          <w:p>
            <w:pPr>
              <w:jc w:val="center"/>
            </w:pPr>
          </w:p>
        </w:tc>
        <w:tc>
          <w:tcPr>
            <w:tcW w:w="660" w:type="pct"/>
            <w:tcBorders>
              <w:top w:val="single" w:color="auto" w:sz="4" w:space="0"/>
              <w:left w:val="nil"/>
              <w:bottom w:val="single" w:color="auto" w:sz="4" w:space="0"/>
              <w:right w:val="single" w:color="auto" w:sz="4" w:space="0"/>
            </w:tcBorders>
            <w:vAlign w:val="center"/>
          </w:tcPr>
          <w:p>
            <w:pPr>
              <w:jc w:val="center"/>
            </w:pPr>
          </w:p>
        </w:tc>
        <w:tc>
          <w:tcPr>
            <w:tcW w:w="377" w:type="pct"/>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44" w:hRule="atLeast"/>
          <w:jc w:val="center"/>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8</w:t>
            </w:r>
          </w:p>
        </w:tc>
        <w:tc>
          <w:tcPr>
            <w:tcW w:w="2877" w:type="pct"/>
            <w:gridSpan w:val="4"/>
            <w:tcBorders>
              <w:top w:val="single" w:color="auto" w:sz="4" w:space="0"/>
              <w:left w:val="nil"/>
              <w:bottom w:val="single" w:color="auto" w:sz="4" w:space="0"/>
              <w:right w:val="single" w:color="auto" w:sz="4" w:space="0"/>
            </w:tcBorders>
            <w:shd w:val="clear" w:color="auto" w:fill="auto"/>
            <w:noWrap/>
            <w:vAlign w:val="center"/>
          </w:tcPr>
          <w:p>
            <w:r>
              <w:rPr>
                <w:rFonts w:hint="eastAsia" w:ascii="宋体" w:hAnsi="宋体" w:eastAsia="宋体" w:cs="宋体"/>
                <w:b/>
                <w:sz w:val="24"/>
              </w:rPr>
              <w:t>总报价计（元）=（1～</w:t>
            </w:r>
            <w:r>
              <w:rPr>
                <w:rFonts w:ascii="宋体" w:hAnsi="宋体" w:eastAsia="宋体" w:cs="宋体"/>
                <w:b/>
                <w:sz w:val="24"/>
              </w:rPr>
              <w:t>7</w:t>
            </w:r>
            <w:r>
              <w:rPr>
                <w:rFonts w:hint="eastAsia" w:ascii="宋体" w:hAnsi="宋体" w:eastAsia="宋体" w:cs="宋体"/>
                <w:b/>
                <w:sz w:val="24"/>
              </w:rPr>
              <w:t>）项合计（含税）</w:t>
            </w:r>
          </w:p>
        </w:tc>
        <w:tc>
          <w:tcPr>
            <w:tcW w:w="1760"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pPr>
          </w:p>
        </w:tc>
      </w:tr>
    </w:tbl>
    <w:p>
      <w:pPr>
        <w:pStyle w:val="2"/>
      </w:pPr>
      <w:r>
        <w:rPr>
          <w:rFonts w:hint="eastAsia"/>
        </w:rPr>
        <w:t>以上报价含税13%。</w:t>
      </w:r>
    </w:p>
    <w:p>
      <w:pPr>
        <w:widowControl/>
        <w:autoSpaceDE w:val="0"/>
        <w:autoSpaceDN w:val="0"/>
        <w:spacing w:line="360" w:lineRule="atLeast"/>
        <w:textAlignment w:val="bottom"/>
        <w:rPr>
          <w:rFonts w:ascii="Times New Roman" w:hAnsi="Times New Roman" w:eastAsia="黑体" w:cs="Times New Roman"/>
          <w:szCs w:val="21"/>
        </w:rPr>
      </w:pPr>
      <w:r>
        <w:rPr>
          <w:rFonts w:hint="eastAsia" w:ascii="Times New Roman" w:hAnsi="Times New Roman" w:eastAsia="黑体" w:cs="Times New Roman"/>
          <w:szCs w:val="21"/>
        </w:rPr>
        <w:t>注：</w:t>
      </w:r>
    </w:p>
    <w:p>
      <w:pPr>
        <w:widowControl/>
        <w:autoSpaceDE w:val="0"/>
        <w:autoSpaceDN w:val="0"/>
        <w:spacing w:line="360" w:lineRule="atLeast"/>
        <w:ind w:firstLine="420" w:firstLine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此报价为供应商为完成采购人指定任务所投入的人员、设备、车辆及安全投入等综合费用单价，包含人员工资、福利、伙食费、住宿费、水电气费、办公费、车辆使用费、燃油费、维修保养费、保险费、过路过桥费，同时也包含了为实施和完成合同工作内容所需的劳务、管理、维修、保险、利润、安全费、税费、加班费等。</w:t>
      </w:r>
    </w:p>
    <w:p>
      <w:pPr>
        <w:widowControl/>
        <w:autoSpaceDE w:val="0"/>
        <w:autoSpaceDN w:val="0"/>
        <w:spacing w:line="360" w:lineRule="atLeast"/>
        <w:ind w:firstLine="420" w:firstLineChars="200"/>
        <w:textAlignment w:val="bottom"/>
        <w:rPr>
          <w:rFonts w:ascii="Times New Roman" w:hAnsi="Times New Roman" w:eastAsia="黑体" w:cs="Times New Roman"/>
          <w:szCs w:val="21"/>
        </w:rPr>
        <w:sectPr>
          <w:footnotePr>
            <w:numFmt w:val="decimalEnclosedCircleChinese"/>
          </w:footnotePr>
          <w:pgSz w:w="11906" w:h="16838"/>
          <w:pgMar w:top="1440" w:right="1797" w:bottom="1440" w:left="1797" w:header="851" w:footer="992" w:gutter="0"/>
          <w:cols w:space="720" w:num="1"/>
          <w:docGrid w:type="linesAndChars" w:linePitch="312" w:charSpace="0"/>
        </w:sectPr>
      </w:pPr>
      <w:r>
        <w:rPr>
          <w:rFonts w:hint="eastAsia" w:ascii="Times New Roman" w:hAnsi="Times New Roman" w:eastAsia="黑体" w:cs="Times New Roman"/>
          <w:szCs w:val="21"/>
        </w:rPr>
        <w:t>2、本项目不设暂列金</w:t>
      </w:r>
    </w:p>
    <w:p>
      <w:pPr>
        <w:topLinePunct/>
        <w:spacing w:line="440" w:lineRule="exact"/>
        <w:jc w:val="center"/>
        <w:outlineLvl w:val="0"/>
        <w:rPr>
          <w:rFonts w:ascii="Times New Roman" w:hAnsi="Times New Roman" w:eastAsia="黑体" w:cs="Times New Roman"/>
          <w:sz w:val="28"/>
          <w:szCs w:val="28"/>
        </w:rPr>
      </w:pPr>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209" w:name="_Toc27600_WPSOffice_Level2"/>
      <w:bookmarkStart w:id="210" w:name="_Toc2807_WPSOffice_Level2"/>
      <w:r>
        <w:rPr>
          <w:rFonts w:ascii="Times New Roman" w:hAnsi="Times New Roman" w:eastAsia="黑体" w:cs="Times New Roman"/>
          <w:sz w:val="28"/>
          <w:szCs w:val="28"/>
        </w:rPr>
        <w:t>供应商基本情况</w:t>
      </w:r>
      <w:bookmarkEnd w:id="204"/>
      <w:bookmarkEnd w:id="205"/>
      <w:bookmarkEnd w:id="206"/>
      <w:bookmarkEnd w:id="207"/>
      <w:bookmarkEnd w:id="208"/>
      <w:bookmarkEnd w:id="209"/>
      <w:bookmarkEnd w:id="210"/>
    </w:p>
    <w:p>
      <w:pPr>
        <w:topLinePunct/>
        <w:spacing w:line="440" w:lineRule="exact"/>
        <w:jc w:val="center"/>
        <w:rPr>
          <w:rFonts w:ascii="Times New Roman" w:hAnsi="Times New Roman" w:cs="Times New Roman"/>
          <w:sz w:val="23"/>
          <w:szCs w:val="23"/>
        </w:rPr>
      </w:pPr>
    </w:p>
    <w:tbl>
      <w:tblPr>
        <w:tblStyle w:val="23"/>
        <w:tblW w:w="850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3"/>
        <w:gridCol w:w="1074"/>
        <w:gridCol w:w="2143"/>
        <w:gridCol w:w="1071"/>
        <w:gridCol w:w="23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widowControl/>
        <w:autoSpaceDE w:val="0"/>
        <w:autoSpaceDN w:val="0"/>
        <w:spacing w:line="360" w:lineRule="atLeast"/>
        <w:ind w:left="180"/>
        <w:jc w:val="center"/>
        <w:textAlignment w:val="bottom"/>
        <w:outlineLvl w:val="0"/>
        <w:rPr>
          <w:rFonts w:ascii="Times New Roman" w:hAnsi="Times New Roman" w:eastAsia="黑体" w:cs="Times New Roman"/>
          <w:sz w:val="28"/>
          <w:szCs w:val="28"/>
        </w:rPr>
      </w:pPr>
      <w:bookmarkStart w:id="211" w:name="_Toc18547_WPSOffice_Level1"/>
      <w:bookmarkStart w:id="212" w:name="_Toc5072_WPSOffice_Level1"/>
      <w:bookmarkStart w:id="213" w:name="_Toc20943_WPSOffice_Level1"/>
      <w:bookmarkStart w:id="214" w:name="_Toc19004_WPSOffice_Level1"/>
      <w:bookmarkStart w:id="215" w:name="_Toc3772_WPSOffice_Level1"/>
      <w:bookmarkStart w:id="216" w:name="_Toc12019_WPSOffice_Level1"/>
      <w:bookmarkStart w:id="217" w:name="_Toc32222_WPSOffice_Level1"/>
      <w:bookmarkStart w:id="218" w:name="_Toc3893_WPSOffice_Level1"/>
      <w:bookmarkStart w:id="219" w:name="_Toc5403_WPSOffice_Level1"/>
      <w:bookmarkStart w:id="220" w:name="_Toc9267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w:t>
      </w:r>
      <w:bookmarkEnd w:id="211"/>
      <w:bookmarkEnd w:id="212"/>
      <w:bookmarkEnd w:id="213"/>
      <w:bookmarkEnd w:id="214"/>
      <w:bookmarkEnd w:id="215"/>
      <w:r>
        <w:rPr>
          <w:rFonts w:ascii="Times New Roman" w:hAnsi="Times New Roman" w:eastAsia="黑体" w:cs="Times New Roman"/>
          <w:sz w:val="28"/>
          <w:szCs w:val="28"/>
        </w:rPr>
        <w:t>近</w:t>
      </w:r>
      <w:r>
        <w:rPr>
          <w:rFonts w:hint="eastAsia" w:ascii="Times New Roman" w:hAnsi="Times New Roman" w:eastAsia="黑体" w:cs="Times New Roman"/>
          <w:sz w:val="28"/>
          <w:szCs w:val="28"/>
        </w:rPr>
        <w:t>三</w:t>
      </w:r>
      <w:r>
        <w:rPr>
          <w:rFonts w:ascii="Times New Roman" w:hAnsi="Times New Roman" w:eastAsia="黑体" w:cs="Times New Roman"/>
          <w:sz w:val="28"/>
          <w:szCs w:val="28"/>
        </w:rPr>
        <w:t>年业绩情况</w:t>
      </w:r>
    </w:p>
    <w:tbl>
      <w:tblPr>
        <w:tblStyle w:val="23"/>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6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项目所在地</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开工日期</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noWrap/>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完成</w:t>
            </w:r>
            <w:r>
              <w:rPr>
                <w:rFonts w:ascii="Times New Roman" w:hAnsi="Times New Roman" w:cs="Times New Roman"/>
                <w:szCs w:val="21"/>
              </w:rPr>
              <w:t>日期</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承担的工作</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w:t>
            </w:r>
            <w:r>
              <w:rPr>
                <w:rFonts w:hint="eastAsia" w:ascii="Times New Roman" w:hAnsi="Times New Roman" w:cs="Times New Roman"/>
                <w:szCs w:val="21"/>
              </w:rPr>
              <w:t>负责人</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noWrap/>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noWrap/>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outlineLvl w:val="0"/>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numPr>
          <w:ilvl w:val="255"/>
          <w:numId w:val="0"/>
        </w:numPr>
        <w:snapToGrid w:val="0"/>
        <w:spacing w:line="440" w:lineRule="exact"/>
        <w:ind w:firstLine="420" w:firstLineChars="200"/>
        <w:rPr>
          <w:rFonts w:ascii="Times New Roman" w:hAnsi="Times New Roman" w:eastAsia="黑体" w:cs="Times New Roman"/>
          <w:szCs w:val="21"/>
        </w:rPr>
      </w:pPr>
      <w:r>
        <w:rPr>
          <w:rFonts w:ascii="Times New Roman" w:hAnsi="Times New Roman" w:eastAsia="黑体" w:cs="Times New Roman"/>
          <w:szCs w:val="21"/>
        </w:rPr>
        <w:t>2、业绩证明材料要求：</w:t>
      </w:r>
      <w:r>
        <w:rPr>
          <w:rFonts w:hint="eastAsia" w:ascii="Times New Roman" w:hAnsi="Times New Roman" w:eastAsia="黑体" w:cs="Times New Roman"/>
          <w:szCs w:val="21"/>
          <w:u w:val="single"/>
        </w:rPr>
        <w:t>指20</w:t>
      </w:r>
      <w:r>
        <w:rPr>
          <w:rFonts w:ascii="Times New Roman" w:hAnsi="Times New Roman" w:eastAsia="黑体" w:cs="Times New Roman"/>
          <w:szCs w:val="21"/>
          <w:u w:val="single"/>
        </w:rPr>
        <w:t>20</w:t>
      </w:r>
      <w:r>
        <w:rPr>
          <w:rFonts w:hint="eastAsia" w:ascii="Times New Roman" w:hAnsi="Times New Roman" w:eastAsia="黑体" w:cs="Times New Roman"/>
          <w:szCs w:val="21"/>
          <w:u w:val="single"/>
        </w:rPr>
        <w:t>年1月1日至响应文件递交截止日期，以合同签订时间为准，业绩证明须附合同协议书等证明材料。</w:t>
      </w:r>
    </w:p>
    <w:p>
      <w:pPr>
        <w:widowControl/>
        <w:autoSpaceDE w:val="0"/>
        <w:autoSpaceDN w:val="0"/>
        <w:spacing w:line="360" w:lineRule="atLeast"/>
        <w:ind w:left="420" w:leftChars="200"/>
        <w:textAlignment w:val="bottom"/>
        <w:rPr>
          <w:rFonts w:ascii="Times New Roman" w:hAnsi="Times New Roman" w:eastAsia="黑体" w:cs="Times New Roman"/>
          <w:color w:val="0000FF"/>
          <w:szCs w:val="21"/>
        </w:rPr>
      </w:pPr>
      <w:r>
        <w:rPr>
          <w:rFonts w:ascii="Times New Roman" w:hAnsi="Times New Roman" w:eastAsia="黑体" w:cs="Times New Roman"/>
          <w:szCs w:val="21"/>
        </w:rPr>
        <w:t>3、如近年来，供应商法人机构发生合法变更或重组或法人名称变更时，应提供相关部门的合法批件或其他相关证明材料来证明其所附业绩的继承性。</w:t>
      </w:r>
      <w:r>
        <w:rPr>
          <w:rFonts w:hint="eastAsia" w:ascii="Times New Roman" w:hAnsi="Times New Roman" w:eastAsia="黑体" w:cs="Times New Roman"/>
          <w:szCs w:val="21"/>
        </w:rPr>
        <w:t xml:space="preserve"> </w:t>
      </w:r>
    </w:p>
    <w:p>
      <w:pPr>
        <w:tabs>
          <w:tab w:val="left" w:pos="3060"/>
        </w:tabs>
        <w:topLinePunct/>
        <w:spacing w:line="440" w:lineRule="exact"/>
        <w:rPr>
          <w:rFonts w:ascii="Times New Roman" w:hAnsi="Times New Roman" w:eastAsia="黑体" w:cs="Times New Roman"/>
          <w:color w:val="0000FF"/>
          <w:sz w:val="28"/>
          <w:szCs w:val="28"/>
        </w:rPr>
      </w:pPr>
    </w:p>
    <w:p>
      <w:pPr>
        <w:tabs>
          <w:tab w:val="left" w:pos="3060"/>
        </w:tabs>
        <w:topLinePunct/>
        <w:spacing w:line="440" w:lineRule="exact"/>
        <w:rPr>
          <w:rFonts w:ascii="Times New Roman" w:hAnsi="Times New Roman" w:eastAsia="黑体" w:cs="Times New Roman"/>
          <w:sz w:val="28"/>
          <w:szCs w:val="28"/>
        </w:rPr>
      </w:pPr>
    </w:p>
    <w:p>
      <w:pPr>
        <w:tabs>
          <w:tab w:val="left" w:pos="3060"/>
        </w:tabs>
        <w:topLinePunct/>
        <w:spacing w:line="440" w:lineRule="exact"/>
        <w:rPr>
          <w:rFonts w:ascii="Times New Roman" w:hAnsi="Times New Roman" w:eastAsia="黑体" w:cs="Times New Roman"/>
          <w:sz w:val="28"/>
          <w:szCs w:val="28"/>
        </w:rPr>
      </w:pPr>
    </w:p>
    <w:p>
      <w:pPr>
        <w:tabs>
          <w:tab w:val="left" w:pos="3060"/>
        </w:tabs>
        <w:topLinePunct/>
        <w:spacing w:line="440" w:lineRule="exact"/>
        <w:rPr>
          <w:rFonts w:ascii="Times New Roman" w:hAnsi="Times New Roman" w:eastAsia="黑体" w:cs="Times New Roman"/>
          <w:sz w:val="28"/>
          <w:szCs w:val="28"/>
        </w:rPr>
      </w:pPr>
    </w:p>
    <w:p>
      <w:pPr>
        <w:tabs>
          <w:tab w:val="left" w:pos="3060"/>
        </w:tabs>
        <w:topLinePunct/>
        <w:spacing w:line="440" w:lineRule="exact"/>
        <w:rPr>
          <w:rFonts w:ascii="Times New Roman" w:hAnsi="Times New Roman" w:eastAsia="黑体" w:cs="Times New Roman"/>
          <w:sz w:val="28"/>
          <w:szCs w:val="28"/>
        </w:rPr>
      </w:pPr>
    </w:p>
    <w:p>
      <w:pPr>
        <w:pStyle w:val="2"/>
      </w:pPr>
    </w:p>
    <w:p>
      <w:pPr>
        <w:pStyle w:val="3"/>
      </w:pPr>
    </w:p>
    <w:p>
      <w:pPr>
        <w:tabs>
          <w:tab w:val="left" w:pos="3060"/>
        </w:tabs>
        <w:topLinePunct/>
        <w:spacing w:line="440" w:lineRule="exact"/>
        <w:jc w:val="center"/>
        <w:outlineLvl w:val="0"/>
        <w:rPr>
          <w:rFonts w:ascii="Times New Roman" w:hAnsi="Times New Roman" w:eastAsia="黑体" w:cs="Times New Roman"/>
          <w:sz w:val="28"/>
          <w:szCs w:val="28"/>
        </w:rPr>
      </w:pPr>
      <w:r>
        <w:rPr>
          <w:rFonts w:hint="eastAsia" w:ascii="Times New Roman" w:hAnsi="Times New Roman" w:eastAsia="黑体" w:cs="Times New Roman"/>
          <w:sz w:val="28"/>
          <w:szCs w:val="28"/>
        </w:rPr>
        <w:t>六、信誉情况</w:t>
      </w:r>
      <w:bookmarkEnd w:id="216"/>
      <w:bookmarkEnd w:id="217"/>
      <w:bookmarkEnd w:id="218"/>
      <w:bookmarkEnd w:id="219"/>
      <w:bookmarkEnd w:id="220"/>
    </w:p>
    <w:p>
      <w:pPr>
        <w:topLinePunct/>
        <w:spacing w:line="440" w:lineRule="exact"/>
        <w:rPr>
          <w:rFonts w:ascii="Times New Roman" w:hAnsi="Times New Roman"/>
          <w:bCs/>
          <w:color w:val="000000" w:themeColor="text1"/>
          <w:sz w:val="23"/>
          <w:szCs w:val="23"/>
        </w:rPr>
      </w:pP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bCs/>
                <w:color w:val="000000" w:themeColor="text1"/>
                <w:szCs w:val="21"/>
              </w:rPr>
            </w:pPr>
            <w:r>
              <w:rPr>
                <w:rFonts w:hint="eastAsia" w:ascii="Times New Roman" w:hAnsi="Times New Roman"/>
                <w:bCs/>
                <w:color w:val="000000" w:themeColor="text1"/>
                <w:szCs w:val="21"/>
              </w:rPr>
              <w:t>项</w:t>
            </w:r>
            <w:r>
              <w:rPr>
                <w:rFonts w:ascii="Times New Roman" w:hAnsi="Times New Roman"/>
                <w:bCs/>
                <w:color w:val="000000" w:themeColor="text1"/>
                <w:szCs w:val="21"/>
              </w:rPr>
              <w:t xml:space="preserve"> </w:t>
            </w:r>
            <w:r>
              <w:rPr>
                <w:rFonts w:hint="eastAsia" w:ascii="Times New Roman" w:hAnsi="Times New Roman"/>
                <w:bCs/>
                <w:color w:val="000000" w:themeColor="text1"/>
                <w:szCs w:val="21"/>
              </w:rPr>
              <w:t>目</w:t>
            </w:r>
          </w:p>
        </w:tc>
        <w:tc>
          <w:tcPr>
            <w:tcW w:w="4445" w:type="dxa"/>
          </w:tcPr>
          <w:p>
            <w:pPr>
              <w:topLinePunct/>
              <w:spacing w:line="440" w:lineRule="exact"/>
              <w:jc w:val="center"/>
              <w:rPr>
                <w:rFonts w:ascii="Times New Roman" w:hAnsi="Times New Roman"/>
                <w:bCs/>
                <w:color w:val="000000" w:themeColor="text1"/>
                <w:szCs w:val="21"/>
              </w:rPr>
            </w:pPr>
            <w:r>
              <w:rPr>
                <w:rFonts w:hint="eastAsia" w:ascii="Times New Roman" w:hAnsi="Times New Roman"/>
                <w:bCs/>
                <w:color w:val="000000" w:themeColor="text1"/>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bCs/>
                <w:color w:val="000000" w:themeColor="text1"/>
                <w:szCs w:val="21"/>
              </w:rPr>
            </w:pPr>
            <w:r>
              <w:rPr>
                <w:rFonts w:hint="eastAsia" w:ascii="Times New Roman" w:hAnsi="Times New Roman"/>
                <w:color w:val="000000" w:themeColor="text1"/>
                <w:sz w:val="24"/>
                <w:szCs w:val="28"/>
              </w:rPr>
              <w:t>是否被责令停业，暂扣或吊销执照，或吊销资质证书</w:t>
            </w:r>
          </w:p>
        </w:tc>
        <w:tc>
          <w:tcPr>
            <w:tcW w:w="4445" w:type="dxa"/>
            <w:vAlign w:val="center"/>
          </w:tcPr>
          <w:p>
            <w:pPr>
              <w:topLinePunct/>
              <w:spacing w:line="440" w:lineRule="exact"/>
              <w:jc w:val="center"/>
              <w:rPr>
                <w:rFonts w:ascii="Times New Roman" w:hAnsi="Times New Roman"/>
                <w:bCs/>
                <w:color w:val="000000" w:themeColor="text1"/>
                <w:szCs w:val="21"/>
              </w:rPr>
            </w:pPr>
            <w:r>
              <w:rPr>
                <w:rFonts w:hint="eastAsia" w:ascii="仿宋_GB2312" w:hAnsi="仿宋_GB2312" w:eastAsia="仿宋_GB2312" w:cs="仿宋_GB2312"/>
                <w:b/>
                <w:bCs/>
                <w:color w:val="000000" w:themeColor="text1"/>
                <w:sz w:val="28"/>
                <w:szCs w:val="28"/>
              </w:rPr>
              <w:t>是</w:t>
            </w:r>
            <w:r>
              <w:rPr>
                <w:rFonts w:hint="eastAsia"/>
                <w:color w:val="000000" w:themeColor="text1"/>
                <w:sz w:val="20"/>
                <w:szCs w:val="22"/>
              </w:rPr>
              <w:t xml:space="preserve"> </w:t>
            </w:r>
            <w:r>
              <w:rPr>
                <w:rFonts w:hint="eastAsia" w:ascii="仿宋_GB2312" w:hAnsi="仿宋_GB2312" w:eastAsia="仿宋_GB2312" w:cs="仿宋_GB2312"/>
                <w:b/>
                <w:bCs/>
                <w:color w:val="000000" w:themeColor="text1"/>
                <w:sz w:val="28"/>
                <w:szCs w:val="28"/>
              </w:rPr>
              <w:t>□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bCs/>
                <w:color w:val="000000" w:themeColor="text1"/>
                <w:szCs w:val="21"/>
              </w:rPr>
            </w:pPr>
            <w:r>
              <w:rPr>
                <w:rFonts w:hint="eastAsia" w:ascii="Times New Roman" w:hAnsi="Times New Roman"/>
                <w:color w:val="000000" w:themeColor="text1"/>
                <w:sz w:val="24"/>
                <w:szCs w:val="28"/>
              </w:rPr>
              <w:t>是否进入清算程序，或被宣告破产，或其他丧失履约能力的情形</w:t>
            </w:r>
          </w:p>
        </w:tc>
        <w:tc>
          <w:tcPr>
            <w:tcW w:w="4445" w:type="dxa"/>
            <w:vAlign w:val="center"/>
          </w:tcPr>
          <w:p>
            <w:pPr>
              <w:topLinePunct/>
              <w:spacing w:line="440" w:lineRule="exact"/>
              <w:jc w:val="center"/>
              <w:rPr>
                <w:rFonts w:ascii="Times New Roman" w:hAnsi="Times New Roman"/>
                <w:bCs/>
                <w:color w:val="000000" w:themeColor="text1"/>
                <w:szCs w:val="21"/>
              </w:rPr>
            </w:pPr>
            <w:r>
              <w:rPr>
                <w:rFonts w:hint="eastAsia" w:ascii="仿宋_GB2312" w:hAnsi="仿宋_GB2312" w:eastAsia="仿宋_GB2312" w:cs="仿宋_GB2312"/>
                <w:b/>
                <w:bCs/>
                <w:color w:val="000000" w:themeColor="text1"/>
                <w:sz w:val="28"/>
                <w:szCs w:val="28"/>
              </w:rPr>
              <w:t>是</w:t>
            </w:r>
            <w:r>
              <w:rPr>
                <w:rFonts w:hint="eastAsia"/>
                <w:color w:val="000000" w:themeColor="text1"/>
                <w:sz w:val="20"/>
                <w:szCs w:val="22"/>
              </w:rPr>
              <w:t xml:space="preserve"> </w:t>
            </w:r>
            <w:r>
              <w:rPr>
                <w:rFonts w:hint="eastAsia" w:ascii="仿宋_GB2312" w:hAnsi="仿宋_GB2312" w:eastAsia="仿宋_GB2312" w:cs="仿宋_GB2312"/>
                <w:b/>
                <w:bCs/>
                <w:color w:val="000000" w:themeColor="text1"/>
                <w:sz w:val="28"/>
                <w:szCs w:val="28"/>
              </w:rPr>
              <w:t>□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bCs/>
                <w:color w:val="000000" w:themeColor="text1"/>
                <w:szCs w:val="21"/>
              </w:rPr>
            </w:pPr>
            <w:r>
              <w:rPr>
                <w:rFonts w:hint="eastAsia" w:ascii="Times New Roman" w:hAnsi="Times New Roman"/>
                <w:color w:val="000000" w:themeColor="text1"/>
                <w:sz w:val="24"/>
                <w:szCs w:val="28"/>
              </w:rPr>
              <w:t>是否在国家企业信用信息公示系统（</w:t>
            </w:r>
            <w:r>
              <w:rPr>
                <w:rFonts w:ascii="Times New Roman" w:hAnsi="Times New Roman"/>
                <w:color w:val="000000" w:themeColor="text1"/>
                <w:sz w:val="24"/>
                <w:szCs w:val="28"/>
              </w:rPr>
              <w:t>http://www.gsxt.gov.cn</w:t>
            </w:r>
            <w:r>
              <w:rPr>
                <w:rFonts w:hint="eastAsia" w:ascii="Times New Roman" w:hAnsi="Times New Roman"/>
                <w:color w:val="000000" w:themeColor="text1"/>
                <w:sz w:val="24"/>
                <w:szCs w:val="28"/>
              </w:rPr>
              <w:t>）中被列入严重违法失信企业名单</w:t>
            </w:r>
          </w:p>
        </w:tc>
        <w:tc>
          <w:tcPr>
            <w:tcW w:w="4445" w:type="dxa"/>
            <w:vAlign w:val="center"/>
          </w:tcPr>
          <w:p>
            <w:pPr>
              <w:topLinePunct/>
              <w:spacing w:line="440" w:lineRule="exact"/>
              <w:jc w:val="center"/>
              <w:rPr>
                <w:rFonts w:ascii="Times New Roman" w:hAnsi="Times New Roman"/>
                <w:bCs/>
                <w:color w:val="000000" w:themeColor="text1"/>
                <w:szCs w:val="21"/>
              </w:rPr>
            </w:pPr>
            <w:r>
              <w:rPr>
                <w:rFonts w:hint="eastAsia" w:ascii="仿宋_GB2312" w:hAnsi="仿宋_GB2312" w:eastAsia="仿宋_GB2312" w:cs="仿宋_GB2312"/>
                <w:b/>
                <w:bCs/>
                <w:color w:val="000000" w:themeColor="text1"/>
                <w:sz w:val="28"/>
                <w:szCs w:val="28"/>
              </w:rPr>
              <w:t>是</w:t>
            </w:r>
            <w:r>
              <w:rPr>
                <w:rFonts w:hint="eastAsia"/>
                <w:color w:val="000000" w:themeColor="text1"/>
                <w:sz w:val="20"/>
                <w:szCs w:val="22"/>
              </w:rPr>
              <w:t xml:space="preserve"> </w:t>
            </w:r>
            <w:r>
              <w:rPr>
                <w:rFonts w:hint="eastAsia" w:ascii="仿宋_GB2312" w:hAnsi="仿宋_GB2312" w:eastAsia="仿宋_GB2312" w:cs="仿宋_GB2312"/>
                <w:b/>
                <w:bCs/>
                <w:color w:val="000000" w:themeColor="text1"/>
                <w:sz w:val="28"/>
                <w:szCs w:val="28"/>
              </w:rPr>
              <w:t>□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bCs/>
                <w:color w:val="000000" w:themeColor="text1"/>
                <w:szCs w:val="21"/>
              </w:rPr>
            </w:pPr>
            <w:r>
              <w:rPr>
                <w:rFonts w:hint="eastAsia" w:ascii="Times New Roman" w:hAnsi="Times New Roman"/>
                <w:color w:val="000000" w:themeColor="text1"/>
                <w:sz w:val="24"/>
                <w:szCs w:val="28"/>
              </w:rPr>
              <w:t>是否在</w:t>
            </w:r>
            <w:r>
              <w:rPr>
                <w:rFonts w:ascii="Times New Roman" w:hAnsi="Times New Roman"/>
                <w:color w:val="000000" w:themeColor="text1"/>
                <w:sz w:val="24"/>
                <w:szCs w:val="28"/>
              </w:rPr>
              <w:t>“</w:t>
            </w:r>
            <w:r>
              <w:rPr>
                <w:rFonts w:hint="eastAsia" w:ascii="Times New Roman" w:hAnsi="Times New Roman"/>
                <w:color w:val="000000" w:themeColor="text1"/>
                <w:sz w:val="24"/>
                <w:szCs w:val="28"/>
              </w:rPr>
              <w:t>信用中国</w:t>
            </w:r>
            <w:r>
              <w:rPr>
                <w:rFonts w:ascii="Times New Roman" w:hAnsi="Times New Roman"/>
                <w:color w:val="000000" w:themeColor="text1"/>
                <w:sz w:val="24"/>
                <w:szCs w:val="28"/>
              </w:rPr>
              <w:t>”</w:t>
            </w:r>
            <w:r>
              <w:rPr>
                <w:rFonts w:hint="eastAsia" w:ascii="Times New Roman" w:hAnsi="Times New Roman"/>
                <w:color w:val="000000" w:themeColor="text1"/>
                <w:sz w:val="24"/>
                <w:szCs w:val="28"/>
              </w:rPr>
              <w:t>网站（</w:t>
            </w:r>
            <w:r>
              <w:rPr>
                <w:rFonts w:ascii="Times New Roman" w:hAnsi="Times New Roman"/>
                <w:color w:val="000000" w:themeColor="text1"/>
                <w:sz w:val="24"/>
                <w:szCs w:val="28"/>
              </w:rPr>
              <w:t>http://www.creditchina.gov.cn</w:t>
            </w:r>
            <w:r>
              <w:rPr>
                <w:rFonts w:hint="eastAsia" w:ascii="Times New Roman" w:hAnsi="Times New Roman"/>
                <w:color w:val="000000" w:themeColor="text1"/>
                <w:sz w:val="24"/>
                <w:szCs w:val="28"/>
              </w:rPr>
              <w:t>）中被列入失信被执行人名单</w:t>
            </w:r>
          </w:p>
        </w:tc>
        <w:tc>
          <w:tcPr>
            <w:tcW w:w="4445" w:type="dxa"/>
            <w:vAlign w:val="center"/>
          </w:tcPr>
          <w:p>
            <w:pPr>
              <w:topLinePunct/>
              <w:spacing w:line="440" w:lineRule="exact"/>
              <w:jc w:val="center"/>
              <w:rPr>
                <w:rFonts w:ascii="Times New Roman" w:hAnsi="Times New Roman"/>
                <w:bCs/>
                <w:color w:val="000000" w:themeColor="text1"/>
                <w:szCs w:val="21"/>
              </w:rPr>
            </w:pPr>
            <w:r>
              <w:rPr>
                <w:rFonts w:hint="eastAsia" w:ascii="仿宋_GB2312" w:hAnsi="仿宋_GB2312" w:eastAsia="仿宋_GB2312" w:cs="仿宋_GB2312"/>
                <w:b/>
                <w:bCs/>
                <w:color w:val="000000" w:themeColor="text1"/>
                <w:sz w:val="28"/>
                <w:szCs w:val="28"/>
              </w:rPr>
              <w:t>是</w:t>
            </w:r>
            <w:r>
              <w:rPr>
                <w:rFonts w:hint="eastAsia"/>
                <w:color w:val="000000" w:themeColor="text1"/>
                <w:sz w:val="20"/>
                <w:szCs w:val="22"/>
              </w:rPr>
              <w:t xml:space="preserve"> </w:t>
            </w:r>
            <w:r>
              <w:rPr>
                <w:rFonts w:hint="eastAsia" w:ascii="仿宋_GB2312" w:hAnsi="仿宋_GB2312" w:eastAsia="仿宋_GB2312" w:cs="仿宋_GB2312"/>
                <w:b/>
                <w:bCs/>
                <w:color w:val="000000" w:themeColor="text1"/>
                <w:sz w:val="28"/>
                <w:szCs w:val="28"/>
              </w:rPr>
              <w:t>□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bCs/>
                <w:color w:val="000000" w:themeColor="text1"/>
                <w:szCs w:val="21"/>
              </w:rPr>
            </w:pPr>
            <w:r>
              <w:rPr>
                <w:rFonts w:hint="eastAsia" w:ascii="Times New Roman" w:hAnsi="Times New Roman"/>
                <w:color w:val="000000" w:themeColor="text1"/>
                <w:sz w:val="24"/>
                <w:szCs w:val="28"/>
              </w:rPr>
              <w:t>是否在近五年内（自响应文件递交截止之日向前追溯5年）供应商或其法定代表人、拟委任的项目经理有行贿犯罪行为（需提供承诺函）</w:t>
            </w:r>
          </w:p>
        </w:tc>
        <w:tc>
          <w:tcPr>
            <w:tcW w:w="4445" w:type="dxa"/>
            <w:vAlign w:val="center"/>
          </w:tcPr>
          <w:p>
            <w:pPr>
              <w:topLinePunct/>
              <w:spacing w:line="440" w:lineRule="exact"/>
              <w:jc w:val="center"/>
              <w:rPr>
                <w:rFonts w:ascii="Times New Roman" w:hAnsi="Times New Roman"/>
                <w:bCs/>
                <w:color w:val="000000" w:themeColor="text1"/>
                <w:szCs w:val="21"/>
              </w:rPr>
            </w:pPr>
            <w:r>
              <w:rPr>
                <w:rFonts w:hint="eastAsia" w:ascii="仿宋_GB2312" w:hAnsi="仿宋_GB2312" w:eastAsia="仿宋_GB2312" w:cs="仿宋_GB2312"/>
                <w:b/>
                <w:bCs/>
                <w:color w:val="000000" w:themeColor="text1"/>
                <w:sz w:val="28"/>
                <w:szCs w:val="28"/>
              </w:rPr>
              <w:t>是</w:t>
            </w:r>
            <w:r>
              <w:rPr>
                <w:rFonts w:hint="eastAsia"/>
                <w:color w:val="000000" w:themeColor="text1"/>
                <w:sz w:val="20"/>
                <w:szCs w:val="22"/>
              </w:rPr>
              <w:t xml:space="preserve"> </w:t>
            </w:r>
            <w:r>
              <w:rPr>
                <w:rFonts w:hint="eastAsia" w:ascii="仿宋_GB2312" w:hAnsi="仿宋_GB2312" w:eastAsia="仿宋_GB2312" w:cs="仿宋_GB2312"/>
                <w:b/>
                <w:bCs/>
                <w:color w:val="000000" w:themeColor="text1"/>
                <w:sz w:val="28"/>
                <w:szCs w:val="28"/>
              </w:rPr>
              <w:t>□     否 □</w:t>
            </w:r>
          </w:p>
        </w:tc>
      </w:tr>
    </w:tbl>
    <w:p>
      <w:pPr>
        <w:spacing w:line="440" w:lineRule="exact"/>
        <w:jc w:val="left"/>
        <w:rPr>
          <w:rFonts w:ascii="Times New Roman" w:hAnsi="Times New Roman"/>
          <w:color w:val="000000" w:themeColor="text1"/>
          <w:szCs w:val="21"/>
        </w:rPr>
      </w:pPr>
      <w:r>
        <w:rPr>
          <w:rFonts w:hint="eastAsia" w:ascii="Times New Roman" w:hAnsi="Times New Roman"/>
          <w:color w:val="000000" w:themeColor="text1"/>
          <w:szCs w:val="21"/>
        </w:rPr>
        <w:t>注：本表后应附以下证明材料：</w:t>
      </w:r>
    </w:p>
    <w:p>
      <w:pPr>
        <w:spacing w:line="440" w:lineRule="exact"/>
        <w:jc w:val="left"/>
        <w:rPr>
          <w:rFonts w:ascii="Times New Roman" w:hAnsi="Times New Roman"/>
          <w:color w:val="000000" w:themeColor="text1"/>
          <w:szCs w:val="21"/>
        </w:rPr>
      </w:pPr>
      <w:r>
        <w:rPr>
          <w:rFonts w:hint="eastAsia" w:ascii="Times New Roman" w:hAnsi="Times New Roman"/>
          <w:color w:val="000000" w:themeColor="text1"/>
          <w:szCs w:val="21"/>
        </w:rPr>
        <w:t>①国家企业信用信息公示系统（</w:t>
      </w:r>
      <w:r>
        <w:rPr>
          <w:rFonts w:ascii="Times New Roman" w:hAnsi="Times New Roman"/>
          <w:color w:val="000000" w:themeColor="text1"/>
          <w:szCs w:val="21"/>
        </w:rPr>
        <w:t>http://www.gsxt.gov.cn</w:t>
      </w:r>
      <w:r>
        <w:rPr>
          <w:rFonts w:hint="eastAsia" w:ascii="Times New Roman" w:hAnsi="Times New Roman"/>
          <w:color w:val="000000" w:themeColor="text1"/>
          <w:szCs w:val="21"/>
        </w:rPr>
        <w:t>）中未被列入严重违法失信企业名单查询截图；</w:t>
      </w:r>
    </w:p>
    <w:p>
      <w:pPr>
        <w:spacing w:line="440" w:lineRule="exact"/>
        <w:jc w:val="left"/>
        <w:rPr>
          <w:rFonts w:ascii="Times New Roman" w:hAnsi="Times New Roman"/>
          <w:color w:val="000000" w:themeColor="text1"/>
          <w:szCs w:val="21"/>
        </w:rPr>
      </w:pPr>
      <w:r>
        <w:rPr>
          <w:rFonts w:hint="eastAsia" w:ascii="Times New Roman" w:hAnsi="Times New Roman"/>
          <w:color w:val="000000" w:themeColor="text1"/>
          <w:szCs w:val="21"/>
        </w:rPr>
        <w:t>②</w:t>
      </w:r>
      <w:r>
        <w:rPr>
          <w:rFonts w:ascii="Times New Roman" w:hAnsi="Times New Roman"/>
          <w:color w:val="000000" w:themeColor="text1"/>
          <w:szCs w:val="21"/>
        </w:rPr>
        <w:t>“</w:t>
      </w:r>
      <w:r>
        <w:rPr>
          <w:rFonts w:hint="eastAsia" w:ascii="Times New Roman" w:hAnsi="Times New Roman"/>
          <w:color w:val="000000" w:themeColor="text1"/>
          <w:szCs w:val="21"/>
        </w:rPr>
        <w:t>信用中国</w:t>
      </w:r>
      <w:r>
        <w:rPr>
          <w:rFonts w:ascii="Times New Roman" w:hAnsi="Times New Roman"/>
          <w:color w:val="000000" w:themeColor="text1"/>
          <w:szCs w:val="21"/>
        </w:rPr>
        <w:t>”</w:t>
      </w:r>
      <w:r>
        <w:rPr>
          <w:rFonts w:hint="eastAsia" w:ascii="Times New Roman" w:hAnsi="Times New Roman"/>
          <w:color w:val="000000" w:themeColor="text1"/>
          <w:szCs w:val="21"/>
        </w:rPr>
        <w:t>网站（</w:t>
      </w:r>
      <w:r>
        <w:rPr>
          <w:rFonts w:ascii="Times New Roman" w:hAnsi="Times New Roman"/>
          <w:color w:val="000000" w:themeColor="text1"/>
          <w:szCs w:val="21"/>
        </w:rPr>
        <w:t>http://www.creditchina.gov.cn</w:t>
      </w:r>
      <w:r>
        <w:rPr>
          <w:rFonts w:hint="eastAsia" w:ascii="Times New Roman" w:hAnsi="Times New Roman"/>
          <w:color w:val="000000" w:themeColor="text1"/>
          <w:szCs w:val="21"/>
        </w:rPr>
        <w:t>）中未被列入失信被执行人名单截图；</w:t>
      </w:r>
    </w:p>
    <w:p>
      <w:pPr>
        <w:pStyle w:val="2"/>
        <w:rPr>
          <w:color w:val="000000" w:themeColor="text1"/>
          <w:szCs w:val="21"/>
        </w:rPr>
      </w:pPr>
      <w:r>
        <w:rPr>
          <w:rFonts w:hint="eastAsia" w:ascii="Times New Roman" w:hAnsi="Times New Roman"/>
          <w:color w:val="000000" w:themeColor="text1"/>
          <w:szCs w:val="21"/>
        </w:rPr>
        <w:t>③近五年（自2018年1月1日起）供应商或其法定代表人、拟委任的项目经理无行贿犯罪行为承诺函（格式自拟）</w:t>
      </w:r>
    </w:p>
    <w:p>
      <w:pPr>
        <w:pStyle w:val="2"/>
        <w:jc w:val="right"/>
        <w:rPr>
          <w:rFonts w:ascii="Times New Roman" w:hAnsi="Times New Roman"/>
          <w:color w:val="000000" w:themeColor="text1"/>
          <w:sz w:val="24"/>
        </w:rPr>
      </w:pPr>
    </w:p>
    <w:p>
      <w:pPr>
        <w:spacing w:line="360" w:lineRule="auto"/>
        <w:jc w:val="right"/>
        <w:rPr>
          <w:rFonts w:ascii="Times New Roman" w:hAnsi="Times New Roman"/>
          <w:color w:val="000000" w:themeColor="text1"/>
          <w:sz w:val="24"/>
        </w:rPr>
      </w:pPr>
      <w:r>
        <w:rPr>
          <w:rFonts w:ascii="Times New Roman" w:hAnsi="Times New Roman"/>
          <w:color w:val="000000" w:themeColor="text1"/>
          <w:sz w:val="24"/>
        </w:rPr>
        <w:t xml:space="preserve"> </w:t>
      </w:r>
      <w:r>
        <w:rPr>
          <w:rFonts w:hint="eastAsia" w:ascii="Times New Roman" w:hAnsi="Times New Roman"/>
          <w:color w:val="000000" w:themeColor="text1"/>
          <w:sz w:val="24"/>
        </w:rPr>
        <w:t>供应商：</w:t>
      </w:r>
      <w:r>
        <w:rPr>
          <w:rFonts w:ascii="Times New Roman" w:hAnsi="Times New Roman"/>
          <w:color w:val="000000" w:themeColor="text1"/>
          <w:sz w:val="24"/>
          <w:u w:val="single"/>
        </w:rPr>
        <w:t xml:space="preserve">                 </w:t>
      </w:r>
      <w:r>
        <w:rPr>
          <w:rFonts w:ascii="Times New Roman" w:hAnsi="Times New Roman"/>
          <w:color w:val="000000" w:themeColor="text1"/>
          <w:sz w:val="24"/>
        </w:rPr>
        <w:t>(</w:t>
      </w:r>
      <w:r>
        <w:rPr>
          <w:rFonts w:hint="eastAsia" w:ascii="Times New Roman" w:hAnsi="Times New Roman"/>
          <w:color w:val="000000" w:themeColor="text1"/>
          <w:sz w:val="24"/>
        </w:rPr>
        <w:t>盖单位章</w:t>
      </w:r>
      <w:r>
        <w:rPr>
          <w:rFonts w:ascii="Times New Roman" w:hAnsi="Times New Roman"/>
          <w:color w:val="000000" w:themeColor="text1"/>
          <w:sz w:val="24"/>
        </w:rPr>
        <w:t>)</w:t>
      </w:r>
    </w:p>
    <w:p>
      <w:pPr>
        <w:pStyle w:val="2"/>
        <w:spacing w:line="360" w:lineRule="auto"/>
        <w:jc w:val="right"/>
        <w:rPr>
          <w:color w:val="000000" w:themeColor="text1"/>
          <w:u w:val="single"/>
        </w:rPr>
      </w:pPr>
      <w:r>
        <w:rPr>
          <w:rFonts w:ascii="Times New Roman" w:hAnsi="Times New Roman"/>
          <w:color w:val="000000" w:themeColor="text1"/>
          <w:sz w:val="24"/>
          <w:u w:val="single"/>
        </w:rPr>
        <w:t xml:space="preserve">       </w:t>
      </w:r>
      <w:r>
        <w:rPr>
          <w:rFonts w:hint="eastAsia" w:ascii="Times New Roman" w:hAnsi="Times New Roman"/>
          <w:color w:val="000000" w:themeColor="text1"/>
          <w:sz w:val="24"/>
        </w:rPr>
        <w:t>年</w:t>
      </w:r>
      <w:r>
        <w:rPr>
          <w:rFonts w:ascii="Times New Roman" w:hAnsi="Times New Roman"/>
          <w:color w:val="000000" w:themeColor="text1"/>
          <w:sz w:val="24"/>
        </w:rPr>
        <w:t xml:space="preserve"> </w:t>
      </w:r>
      <w:r>
        <w:rPr>
          <w:rFonts w:ascii="Times New Roman" w:hAnsi="Times New Roman"/>
          <w:color w:val="000000" w:themeColor="text1"/>
          <w:sz w:val="24"/>
          <w:u w:val="single"/>
        </w:rPr>
        <w:t xml:space="preserve">      </w:t>
      </w:r>
      <w:r>
        <w:rPr>
          <w:rFonts w:hint="eastAsia" w:ascii="Times New Roman" w:hAnsi="Times New Roman"/>
          <w:color w:val="000000" w:themeColor="text1"/>
          <w:sz w:val="24"/>
        </w:rPr>
        <w:t>月</w:t>
      </w:r>
      <w:r>
        <w:rPr>
          <w:rFonts w:ascii="Times New Roman" w:hAnsi="Times New Roman"/>
          <w:color w:val="000000" w:themeColor="text1"/>
          <w:sz w:val="24"/>
          <w:u w:val="single"/>
        </w:rPr>
        <w:t xml:space="preserve">       </w:t>
      </w:r>
      <w:r>
        <w:rPr>
          <w:rFonts w:hint="eastAsia" w:ascii="Times New Roman" w:hAnsi="Times New Roman"/>
          <w:color w:val="000000" w:themeColor="text1"/>
          <w:sz w:val="24"/>
        </w:rPr>
        <w:t>日</w:t>
      </w:r>
    </w:p>
    <w:p>
      <w:pPr>
        <w:pStyle w:val="2"/>
      </w:pPr>
    </w:p>
    <w:p>
      <w:pPr>
        <w:pStyle w:val="2"/>
        <w:spacing w:line="440" w:lineRule="exact"/>
        <w:rPr>
          <w:rFonts w:ascii="Times New Roman" w:hAnsi="Times New Roman" w:cs="Times New Roman"/>
          <w:sz w:val="24"/>
        </w:rPr>
      </w:pPr>
    </w:p>
    <w:p>
      <w:pPr>
        <w:spacing w:line="400" w:lineRule="atLeast"/>
        <w:jc w:val="center"/>
        <w:rPr>
          <w:rFonts w:ascii="Times New Roman" w:hAnsi="Times New Roman" w:cs="Times New Roman"/>
          <w:sz w:val="24"/>
        </w:rPr>
      </w:pPr>
      <w:r>
        <w:rPr>
          <w:rFonts w:ascii="Times New Roman" w:hAnsi="Times New Roman" w:eastAsia="黑体" w:cs="Times New Roman"/>
          <w:sz w:val="27"/>
          <w:szCs w:val="27"/>
        </w:rPr>
        <w:br w:type="page"/>
      </w:r>
    </w:p>
    <w:p>
      <w:pPr>
        <w:spacing w:line="440" w:lineRule="exact"/>
        <w:jc w:val="center"/>
        <w:outlineLvl w:val="0"/>
        <w:rPr>
          <w:rFonts w:ascii="Times New Roman" w:hAnsi="Times New Roman" w:eastAsia="黑体" w:cs="Times New Roman"/>
          <w:sz w:val="28"/>
          <w:szCs w:val="28"/>
        </w:rPr>
      </w:pPr>
      <w:bookmarkStart w:id="221" w:name="_Toc22303_WPSOffice_Level1"/>
      <w:bookmarkStart w:id="222" w:name="_Toc13165_WPSOffice_Level1"/>
      <w:bookmarkStart w:id="223" w:name="_Toc15887_WPSOffice_Level1"/>
      <w:bookmarkStart w:id="224" w:name="_Toc11219_WPSOffice_Level1"/>
      <w:bookmarkStart w:id="225" w:name="_Toc2428_WPSOffice_Level1"/>
      <w:r>
        <w:rPr>
          <w:rFonts w:hint="eastAsia" w:ascii="Times New Roman" w:hAnsi="Times New Roman" w:eastAsia="黑体" w:cs="Times New Roman"/>
          <w:sz w:val="28"/>
          <w:szCs w:val="28"/>
        </w:rPr>
        <w:t>七</w:t>
      </w:r>
      <w:r>
        <w:rPr>
          <w:rFonts w:ascii="Times New Roman" w:hAnsi="Times New Roman" w:eastAsia="黑体" w:cs="Times New Roman"/>
          <w:sz w:val="28"/>
          <w:szCs w:val="28"/>
        </w:rPr>
        <w:t>、其它</w:t>
      </w:r>
      <w:bookmarkEnd w:id="221"/>
      <w:r>
        <w:rPr>
          <w:rFonts w:ascii="Times New Roman" w:hAnsi="Times New Roman" w:eastAsia="黑体" w:cs="Times New Roman"/>
          <w:sz w:val="28"/>
          <w:szCs w:val="28"/>
        </w:rPr>
        <w:t>材料</w:t>
      </w:r>
      <w:bookmarkEnd w:id="222"/>
      <w:bookmarkEnd w:id="223"/>
      <w:bookmarkEnd w:id="224"/>
      <w:bookmarkEnd w:id="225"/>
    </w:p>
    <w:p>
      <w:pPr>
        <w:pStyle w:val="30"/>
        <w:rPr>
          <w:rFonts w:hint="default" w:ascii="Times New Roman" w:hAnsi="Times New Roman" w:eastAsiaTheme="minorEastAsia"/>
          <w:color w:val="auto"/>
          <w:kern w:val="2"/>
          <w:szCs w:val="24"/>
        </w:rPr>
      </w:pPr>
    </w:p>
    <w:p>
      <w:pPr>
        <w:pStyle w:val="30"/>
        <w:rPr>
          <w:rFonts w:hint="default"/>
          <w:color w:val="0000FF"/>
        </w:rPr>
      </w:pPr>
      <w:r>
        <w:rPr>
          <w:rFonts w:ascii="Times New Roman" w:hAnsi="Times New Roman" w:eastAsiaTheme="minorEastAsia"/>
          <w:color w:val="auto"/>
          <w:kern w:val="2"/>
          <w:szCs w:val="24"/>
        </w:rPr>
        <w:t>注：本页须附</w:t>
      </w:r>
      <w:r>
        <w:rPr>
          <w:rFonts w:hint="default" w:ascii="Times New Roman" w:hAnsi="Times New Roman" w:eastAsiaTheme="minorEastAsia"/>
          <w:color w:val="auto"/>
          <w:kern w:val="2"/>
          <w:szCs w:val="24"/>
        </w:rPr>
        <w:t>响应保证金的银行凭证（电汇回单）复印件</w:t>
      </w:r>
      <w:r>
        <w:rPr>
          <w:rFonts w:ascii="Times New Roman" w:hAnsi="Times New Roman" w:eastAsiaTheme="minorEastAsia"/>
          <w:color w:val="auto"/>
          <w:kern w:val="2"/>
          <w:szCs w:val="24"/>
        </w:rPr>
        <w:t>或扫描件和供应商认为有必要提交的材料</w:t>
      </w:r>
      <w:r>
        <w:rPr>
          <w:rFonts w:hint="default" w:ascii="Times New Roman" w:hAnsi="Times New Roman" w:eastAsiaTheme="minorEastAsia"/>
          <w:color w:val="auto"/>
          <w:kern w:val="2"/>
          <w:szCs w:val="24"/>
        </w:rPr>
        <w:t>等</w:t>
      </w:r>
      <w:r>
        <w:rPr>
          <w:rFonts w:ascii="Times New Roman" w:hAnsi="Times New Roman" w:eastAsiaTheme="minorEastAsia"/>
          <w:color w:val="auto"/>
          <w:kern w:val="2"/>
          <w:szCs w:val="24"/>
        </w:rPr>
        <w:t>。</w:t>
      </w:r>
    </w:p>
    <w:p>
      <w:pPr>
        <w:pStyle w:val="30"/>
        <w:rPr>
          <w:rFonts w:hint="default"/>
          <w:color w:val="0000FF"/>
        </w:rPr>
      </w:pPr>
    </w:p>
    <w:sectPr>
      <w:head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Fang Song">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7594793"/>
      <w:docPartObj>
        <w:docPartGallery w:val="AutoText"/>
      </w:docPartObj>
    </w:sdtPr>
    <w:sdtContent>
      <w:p>
        <w:pPr>
          <w:pStyle w:val="16"/>
          <w:jc w:val="center"/>
        </w:pPr>
        <w:r>
          <w:fldChar w:fldCharType="begin"/>
        </w:r>
        <w:r>
          <w:instrText xml:space="preserve">PAGE   \* MERGEFORMAT</w:instrText>
        </w:r>
        <w:r>
          <w:fldChar w:fldCharType="separate"/>
        </w:r>
        <w:r>
          <w:rPr>
            <w:lang w:val="zh-CN"/>
          </w:rP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4"/>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FD33D48"/>
    <w:multiLevelType w:val="singleLevel"/>
    <w:tmpl w:val="CFD33D48"/>
    <w:lvl w:ilvl="0" w:tentative="0">
      <w:start w:val="3"/>
      <w:numFmt w:val="chineseCounting"/>
      <w:suff w:val="nothing"/>
      <w:lvlText w:val="%1、"/>
      <w:lvlJc w:val="left"/>
      <w:rPr>
        <w:rFonts w:hint="eastAsia"/>
      </w:rPr>
    </w:lvl>
  </w:abstractNum>
  <w:abstractNum w:abstractNumId="2">
    <w:nsid w:val="2E95D47B"/>
    <w:multiLevelType w:val="singleLevel"/>
    <w:tmpl w:val="2E95D47B"/>
    <w:lvl w:ilvl="0" w:tentative="0">
      <w:start w:val="1"/>
      <w:numFmt w:val="decimal"/>
      <w:pStyle w:val="5"/>
      <w:suff w:val="nothing"/>
      <w:lvlText w:val="%1．"/>
      <w:lvlJc w:val="left"/>
      <w:pPr>
        <w:ind w:left="17" w:firstLine="400"/>
      </w:pPr>
      <w:rPr>
        <w:rFonts w:hint="default"/>
      </w:rPr>
    </w:lvl>
  </w:abstractNum>
  <w:abstractNum w:abstractNumId="3">
    <w:nsid w:val="4E4B47C9"/>
    <w:multiLevelType w:val="multilevel"/>
    <w:tmpl w:val="4E4B47C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8B8"/>
    <w:rsid w:val="00053163"/>
    <w:rsid w:val="00076DFD"/>
    <w:rsid w:val="00085C36"/>
    <w:rsid w:val="00093752"/>
    <w:rsid w:val="000940D6"/>
    <w:rsid w:val="00111910"/>
    <w:rsid w:val="00114438"/>
    <w:rsid w:val="00126DE8"/>
    <w:rsid w:val="001460A6"/>
    <w:rsid w:val="001659E6"/>
    <w:rsid w:val="001712C9"/>
    <w:rsid w:val="00172E23"/>
    <w:rsid w:val="0017770F"/>
    <w:rsid w:val="00183D10"/>
    <w:rsid w:val="001A57CF"/>
    <w:rsid w:val="001B5419"/>
    <w:rsid w:val="001B5EF0"/>
    <w:rsid w:val="001F53FB"/>
    <w:rsid w:val="00266A2D"/>
    <w:rsid w:val="00266D72"/>
    <w:rsid w:val="0026791D"/>
    <w:rsid w:val="0027310A"/>
    <w:rsid w:val="00286930"/>
    <w:rsid w:val="00294976"/>
    <w:rsid w:val="002D438F"/>
    <w:rsid w:val="002F3566"/>
    <w:rsid w:val="003028B8"/>
    <w:rsid w:val="00327DC8"/>
    <w:rsid w:val="0033086D"/>
    <w:rsid w:val="003A33B3"/>
    <w:rsid w:val="003B0060"/>
    <w:rsid w:val="003C6A6E"/>
    <w:rsid w:val="003E0BAA"/>
    <w:rsid w:val="00404755"/>
    <w:rsid w:val="00466F51"/>
    <w:rsid w:val="004932B8"/>
    <w:rsid w:val="004B3C4C"/>
    <w:rsid w:val="00512041"/>
    <w:rsid w:val="00542FD4"/>
    <w:rsid w:val="0055236B"/>
    <w:rsid w:val="0057598E"/>
    <w:rsid w:val="00587A27"/>
    <w:rsid w:val="005B1C62"/>
    <w:rsid w:val="005D408C"/>
    <w:rsid w:val="0067493A"/>
    <w:rsid w:val="0068749C"/>
    <w:rsid w:val="006F31AC"/>
    <w:rsid w:val="007349C9"/>
    <w:rsid w:val="00774C23"/>
    <w:rsid w:val="007B6F9A"/>
    <w:rsid w:val="007C5358"/>
    <w:rsid w:val="007F0E50"/>
    <w:rsid w:val="008358C2"/>
    <w:rsid w:val="00856726"/>
    <w:rsid w:val="00860161"/>
    <w:rsid w:val="0086027B"/>
    <w:rsid w:val="00870AC3"/>
    <w:rsid w:val="008747EF"/>
    <w:rsid w:val="008B72BC"/>
    <w:rsid w:val="008C449A"/>
    <w:rsid w:val="0096675C"/>
    <w:rsid w:val="009A18F5"/>
    <w:rsid w:val="009E0BE7"/>
    <w:rsid w:val="009F0900"/>
    <w:rsid w:val="009F6B5B"/>
    <w:rsid w:val="00A10D81"/>
    <w:rsid w:val="00A505F6"/>
    <w:rsid w:val="00A859AB"/>
    <w:rsid w:val="00AA3176"/>
    <w:rsid w:val="00AB364A"/>
    <w:rsid w:val="00AC1385"/>
    <w:rsid w:val="00AD0B70"/>
    <w:rsid w:val="00AD1850"/>
    <w:rsid w:val="00AE0E3E"/>
    <w:rsid w:val="00AE1115"/>
    <w:rsid w:val="00AE3BE4"/>
    <w:rsid w:val="00AF0DA2"/>
    <w:rsid w:val="00B006AD"/>
    <w:rsid w:val="00B02FCA"/>
    <w:rsid w:val="00B1069D"/>
    <w:rsid w:val="00B1227A"/>
    <w:rsid w:val="00B30604"/>
    <w:rsid w:val="00B56F3C"/>
    <w:rsid w:val="00B71C0E"/>
    <w:rsid w:val="00BA586F"/>
    <w:rsid w:val="00BD0F0E"/>
    <w:rsid w:val="00BF4364"/>
    <w:rsid w:val="00C32DB3"/>
    <w:rsid w:val="00C5365A"/>
    <w:rsid w:val="00C543B4"/>
    <w:rsid w:val="00C652A9"/>
    <w:rsid w:val="00C86D74"/>
    <w:rsid w:val="00CA4790"/>
    <w:rsid w:val="00DF6258"/>
    <w:rsid w:val="00E3558B"/>
    <w:rsid w:val="00E97753"/>
    <w:rsid w:val="00EF7422"/>
    <w:rsid w:val="00F064B3"/>
    <w:rsid w:val="00F10F69"/>
    <w:rsid w:val="00F43DE7"/>
    <w:rsid w:val="00F71D4C"/>
    <w:rsid w:val="00F73AE7"/>
    <w:rsid w:val="00F93BB8"/>
    <w:rsid w:val="00FA1044"/>
    <w:rsid w:val="00FA1CCB"/>
    <w:rsid w:val="00FA367A"/>
    <w:rsid w:val="00FB37E7"/>
    <w:rsid w:val="00FD2626"/>
    <w:rsid w:val="01082DCE"/>
    <w:rsid w:val="01196377"/>
    <w:rsid w:val="011A27E6"/>
    <w:rsid w:val="011B4B0A"/>
    <w:rsid w:val="011D6ED0"/>
    <w:rsid w:val="013C7065"/>
    <w:rsid w:val="014D641B"/>
    <w:rsid w:val="01604B65"/>
    <w:rsid w:val="01631629"/>
    <w:rsid w:val="016A3995"/>
    <w:rsid w:val="01767A67"/>
    <w:rsid w:val="0187479B"/>
    <w:rsid w:val="018B2605"/>
    <w:rsid w:val="019312E0"/>
    <w:rsid w:val="0195715E"/>
    <w:rsid w:val="019D2FC7"/>
    <w:rsid w:val="019E058F"/>
    <w:rsid w:val="01B82FCB"/>
    <w:rsid w:val="01BC5540"/>
    <w:rsid w:val="01C27CFF"/>
    <w:rsid w:val="01E22FC9"/>
    <w:rsid w:val="01ED4448"/>
    <w:rsid w:val="01FB068C"/>
    <w:rsid w:val="02047B14"/>
    <w:rsid w:val="021A334D"/>
    <w:rsid w:val="02241CA7"/>
    <w:rsid w:val="022C0382"/>
    <w:rsid w:val="022D7E5C"/>
    <w:rsid w:val="02454DC6"/>
    <w:rsid w:val="02460711"/>
    <w:rsid w:val="024B086A"/>
    <w:rsid w:val="024C3FDE"/>
    <w:rsid w:val="024E6F66"/>
    <w:rsid w:val="025C2FF3"/>
    <w:rsid w:val="0260580C"/>
    <w:rsid w:val="026F50F7"/>
    <w:rsid w:val="0292228F"/>
    <w:rsid w:val="029D3473"/>
    <w:rsid w:val="02A843B9"/>
    <w:rsid w:val="02AF018D"/>
    <w:rsid w:val="02B17534"/>
    <w:rsid w:val="02C148EA"/>
    <w:rsid w:val="02C52E19"/>
    <w:rsid w:val="02F11F86"/>
    <w:rsid w:val="031402A0"/>
    <w:rsid w:val="03275F0C"/>
    <w:rsid w:val="03530EF0"/>
    <w:rsid w:val="03601717"/>
    <w:rsid w:val="03666726"/>
    <w:rsid w:val="036A6013"/>
    <w:rsid w:val="036B0042"/>
    <w:rsid w:val="038460EB"/>
    <w:rsid w:val="03921536"/>
    <w:rsid w:val="03957CCA"/>
    <w:rsid w:val="03BA168E"/>
    <w:rsid w:val="03DE6BBF"/>
    <w:rsid w:val="03EA0F31"/>
    <w:rsid w:val="03EC548F"/>
    <w:rsid w:val="03FB6B06"/>
    <w:rsid w:val="041C4143"/>
    <w:rsid w:val="04233E93"/>
    <w:rsid w:val="04295DA0"/>
    <w:rsid w:val="042F0E97"/>
    <w:rsid w:val="04352FAD"/>
    <w:rsid w:val="04533F12"/>
    <w:rsid w:val="046B7205"/>
    <w:rsid w:val="047B3AB4"/>
    <w:rsid w:val="047C0CFA"/>
    <w:rsid w:val="047C234D"/>
    <w:rsid w:val="048328A9"/>
    <w:rsid w:val="049F1121"/>
    <w:rsid w:val="04A52713"/>
    <w:rsid w:val="04A61CAB"/>
    <w:rsid w:val="04B66E9B"/>
    <w:rsid w:val="04B76022"/>
    <w:rsid w:val="04D91B0C"/>
    <w:rsid w:val="04DF02F5"/>
    <w:rsid w:val="04EA65EC"/>
    <w:rsid w:val="04EB6AA2"/>
    <w:rsid w:val="04F54297"/>
    <w:rsid w:val="04F76AAC"/>
    <w:rsid w:val="04F95D73"/>
    <w:rsid w:val="050022AA"/>
    <w:rsid w:val="05162632"/>
    <w:rsid w:val="05474D67"/>
    <w:rsid w:val="057351EA"/>
    <w:rsid w:val="05817F9F"/>
    <w:rsid w:val="058B4724"/>
    <w:rsid w:val="059761EF"/>
    <w:rsid w:val="059F2433"/>
    <w:rsid w:val="05A12F8F"/>
    <w:rsid w:val="05B16949"/>
    <w:rsid w:val="05B62340"/>
    <w:rsid w:val="05C614B1"/>
    <w:rsid w:val="05E55ECC"/>
    <w:rsid w:val="05EC3DBF"/>
    <w:rsid w:val="05F90297"/>
    <w:rsid w:val="060C39DD"/>
    <w:rsid w:val="061006D5"/>
    <w:rsid w:val="06227012"/>
    <w:rsid w:val="06291D77"/>
    <w:rsid w:val="062929E2"/>
    <w:rsid w:val="064B1FD0"/>
    <w:rsid w:val="06510831"/>
    <w:rsid w:val="06521FF7"/>
    <w:rsid w:val="0655574A"/>
    <w:rsid w:val="066756C3"/>
    <w:rsid w:val="066E7995"/>
    <w:rsid w:val="0671119D"/>
    <w:rsid w:val="068C07A0"/>
    <w:rsid w:val="069C2279"/>
    <w:rsid w:val="06C75E0F"/>
    <w:rsid w:val="06CD2659"/>
    <w:rsid w:val="06D9617D"/>
    <w:rsid w:val="06E209B7"/>
    <w:rsid w:val="06EE5449"/>
    <w:rsid w:val="071D3AEF"/>
    <w:rsid w:val="071F775B"/>
    <w:rsid w:val="0725414F"/>
    <w:rsid w:val="073E4D0F"/>
    <w:rsid w:val="07914D92"/>
    <w:rsid w:val="07B51055"/>
    <w:rsid w:val="07C93DD2"/>
    <w:rsid w:val="07E31EF0"/>
    <w:rsid w:val="07E82B07"/>
    <w:rsid w:val="07ED1B1A"/>
    <w:rsid w:val="07F10BD9"/>
    <w:rsid w:val="07F33261"/>
    <w:rsid w:val="07FB3039"/>
    <w:rsid w:val="07FC2047"/>
    <w:rsid w:val="080A4F8B"/>
    <w:rsid w:val="081D312D"/>
    <w:rsid w:val="08290DFC"/>
    <w:rsid w:val="082D031A"/>
    <w:rsid w:val="083227D0"/>
    <w:rsid w:val="083E61F6"/>
    <w:rsid w:val="08441F41"/>
    <w:rsid w:val="0871359F"/>
    <w:rsid w:val="08762289"/>
    <w:rsid w:val="088909C5"/>
    <w:rsid w:val="08A45B58"/>
    <w:rsid w:val="08A75E9F"/>
    <w:rsid w:val="08AC4CDC"/>
    <w:rsid w:val="08B51EFD"/>
    <w:rsid w:val="08C520FD"/>
    <w:rsid w:val="08C644EB"/>
    <w:rsid w:val="08CB31B1"/>
    <w:rsid w:val="08DE0702"/>
    <w:rsid w:val="08E36B16"/>
    <w:rsid w:val="08EB2A28"/>
    <w:rsid w:val="09033D88"/>
    <w:rsid w:val="091033C7"/>
    <w:rsid w:val="092454AE"/>
    <w:rsid w:val="094350D2"/>
    <w:rsid w:val="09520EC1"/>
    <w:rsid w:val="09522E65"/>
    <w:rsid w:val="096126C2"/>
    <w:rsid w:val="09667ECC"/>
    <w:rsid w:val="09904735"/>
    <w:rsid w:val="099E22BF"/>
    <w:rsid w:val="09A14FA9"/>
    <w:rsid w:val="09A1577F"/>
    <w:rsid w:val="09B1743D"/>
    <w:rsid w:val="09BF3C5F"/>
    <w:rsid w:val="09C32774"/>
    <w:rsid w:val="09EC3543"/>
    <w:rsid w:val="0A017749"/>
    <w:rsid w:val="0A18640B"/>
    <w:rsid w:val="0A2B3D2D"/>
    <w:rsid w:val="0A31325F"/>
    <w:rsid w:val="0A433EA3"/>
    <w:rsid w:val="0A4C0A53"/>
    <w:rsid w:val="0A562E5C"/>
    <w:rsid w:val="0A595E3B"/>
    <w:rsid w:val="0A6D4428"/>
    <w:rsid w:val="0A70103F"/>
    <w:rsid w:val="0A7A5777"/>
    <w:rsid w:val="0A830A8F"/>
    <w:rsid w:val="0ABA6BDF"/>
    <w:rsid w:val="0ADB488F"/>
    <w:rsid w:val="0ADF4740"/>
    <w:rsid w:val="0AF404CA"/>
    <w:rsid w:val="0B237F0C"/>
    <w:rsid w:val="0B25655D"/>
    <w:rsid w:val="0B3B41A4"/>
    <w:rsid w:val="0B466158"/>
    <w:rsid w:val="0B765704"/>
    <w:rsid w:val="0B78273B"/>
    <w:rsid w:val="0B7B1D60"/>
    <w:rsid w:val="0B7D0BA2"/>
    <w:rsid w:val="0B831417"/>
    <w:rsid w:val="0B976282"/>
    <w:rsid w:val="0B977E1E"/>
    <w:rsid w:val="0BAA0921"/>
    <w:rsid w:val="0BAB4B61"/>
    <w:rsid w:val="0BBE3C8E"/>
    <w:rsid w:val="0BD75140"/>
    <w:rsid w:val="0BD821CA"/>
    <w:rsid w:val="0BE00F68"/>
    <w:rsid w:val="0C0A4650"/>
    <w:rsid w:val="0C122E87"/>
    <w:rsid w:val="0C142061"/>
    <w:rsid w:val="0C25115F"/>
    <w:rsid w:val="0C30164C"/>
    <w:rsid w:val="0C4909C1"/>
    <w:rsid w:val="0C54553C"/>
    <w:rsid w:val="0C6153DA"/>
    <w:rsid w:val="0C680BDD"/>
    <w:rsid w:val="0C715D36"/>
    <w:rsid w:val="0C72723E"/>
    <w:rsid w:val="0C8830F0"/>
    <w:rsid w:val="0C915D6B"/>
    <w:rsid w:val="0C9F0011"/>
    <w:rsid w:val="0CA8035A"/>
    <w:rsid w:val="0CAD361F"/>
    <w:rsid w:val="0CAD70A0"/>
    <w:rsid w:val="0CCA7A68"/>
    <w:rsid w:val="0CDE4D0D"/>
    <w:rsid w:val="0CE45ABA"/>
    <w:rsid w:val="0CE55D2A"/>
    <w:rsid w:val="0CEA1161"/>
    <w:rsid w:val="0D0E1A16"/>
    <w:rsid w:val="0D10611A"/>
    <w:rsid w:val="0D204464"/>
    <w:rsid w:val="0D245D5D"/>
    <w:rsid w:val="0D2A5D78"/>
    <w:rsid w:val="0D643C93"/>
    <w:rsid w:val="0D820DCE"/>
    <w:rsid w:val="0D8328E8"/>
    <w:rsid w:val="0D840310"/>
    <w:rsid w:val="0D935001"/>
    <w:rsid w:val="0D99433B"/>
    <w:rsid w:val="0DA75F7E"/>
    <w:rsid w:val="0DAE4A0C"/>
    <w:rsid w:val="0DCE19B4"/>
    <w:rsid w:val="0DFE181D"/>
    <w:rsid w:val="0E10556B"/>
    <w:rsid w:val="0E14052A"/>
    <w:rsid w:val="0E1B588D"/>
    <w:rsid w:val="0E265F28"/>
    <w:rsid w:val="0E2873E9"/>
    <w:rsid w:val="0E2D3308"/>
    <w:rsid w:val="0E6113A0"/>
    <w:rsid w:val="0E744B2D"/>
    <w:rsid w:val="0E863ACB"/>
    <w:rsid w:val="0E8D05E0"/>
    <w:rsid w:val="0E9B3C63"/>
    <w:rsid w:val="0EA6433C"/>
    <w:rsid w:val="0EB4636E"/>
    <w:rsid w:val="0EB75DCA"/>
    <w:rsid w:val="0EC81177"/>
    <w:rsid w:val="0ED12EB4"/>
    <w:rsid w:val="0ED16605"/>
    <w:rsid w:val="0ED97B37"/>
    <w:rsid w:val="0EE3071C"/>
    <w:rsid w:val="0EED2DF2"/>
    <w:rsid w:val="0EF81537"/>
    <w:rsid w:val="0EF83DB8"/>
    <w:rsid w:val="0F401FA4"/>
    <w:rsid w:val="0F4F57E8"/>
    <w:rsid w:val="0F6C3B60"/>
    <w:rsid w:val="0F6F6315"/>
    <w:rsid w:val="0F7150A0"/>
    <w:rsid w:val="0F7A125F"/>
    <w:rsid w:val="0FB81B5B"/>
    <w:rsid w:val="0FBC4E69"/>
    <w:rsid w:val="0FD00E8A"/>
    <w:rsid w:val="0FE65A61"/>
    <w:rsid w:val="10090199"/>
    <w:rsid w:val="10321533"/>
    <w:rsid w:val="10337DDD"/>
    <w:rsid w:val="103656D1"/>
    <w:rsid w:val="103C7917"/>
    <w:rsid w:val="103D08C2"/>
    <w:rsid w:val="10564A8B"/>
    <w:rsid w:val="1058602D"/>
    <w:rsid w:val="10795C93"/>
    <w:rsid w:val="108B3AFA"/>
    <w:rsid w:val="10B15280"/>
    <w:rsid w:val="10CF164C"/>
    <w:rsid w:val="10D50461"/>
    <w:rsid w:val="10E24CD8"/>
    <w:rsid w:val="10F15163"/>
    <w:rsid w:val="10F26CDC"/>
    <w:rsid w:val="10FE1D37"/>
    <w:rsid w:val="11163C77"/>
    <w:rsid w:val="1139732F"/>
    <w:rsid w:val="114A7510"/>
    <w:rsid w:val="114C67B8"/>
    <w:rsid w:val="115A4908"/>
    <w:rsid w:val="115A53BC"/>
    <w:rsid w:val="11696085"/>
    <w:rsid w:val="117A2D8F"/>
    <w:rsid w:val="118060D4"/>
    <w:rsid w:val="118E75B9"/>
    <w:rsid w:val="1194155A"/>
    <w:rsid w:val="119C1623"/>
    <w:rsid w:val="11AB3509"/>
    <w:rsid w:val="11B42B23"/>
    <w:rsid w:val="11B5299E"/>
    <w:rsid w:val="11C3745F"/>
    <w:rsid w:val="11C92B03"/>
    <w:rsid w:val="11E52624"/>
    <w:rsid w:val="11E8124D"/>
    <w:rsid w:val="11F9333E"/>
    <w:rsid w:val="11FE31AD"/>
    <w:rsid w:val="121466AA"/>
    <w:rsid w:val="12224FD0"/>
    <w:rsid w:val="122B6577"/>
    <w:rsid w:val="12343761"/>
    <w:rsid w:val="123756D1"/>
    <w:rsid w:val="123B7167"/>
    <w:rsid w:val="124E5F2C"/>
    <w:rsid w:val="12597E87"/>
    <w:rsid w:val="125B3739"/>
    <w:rsid w:val="126943EE"/>
    <w:rsid w:val="12865675"/>
    <w:rsid w:val="129A697A"/>
    <w:rsid w:val="12C6189A"/>
    <w:rsid w:val="12CE785B"/>
    <w:rsid w:val="12D16BCB"/>
    <w:rsid w:val="12DC2AAB"/>
    <w:rsid w:val="12E74E3F"/>
    <w:rsid w:val="12ED7F8F"/>
    <w:rsid w:val="12F04674"/>
    <w:rsid w:val="12F429E8"/>
    <w:rsid w:val="12FE1AE7"/>
    <w:rsid w:val="13190BA4"/>
    <w:rsid w:val="13293F8A"/>
    <w:rsid w:val="132A5815"/>
    <w:rsid w:val="13356A71"/>
    <w:rsid w:val="134854F2"/>
    <w:rsid w:val="13594F2D"/>
    <w:rsid w:val="13714DE1"/>
    <w:rsid w:val="13A70B15"/>
    <w:rsid w:val="13B72E13"/>
    <w:rsid w:val="13BA32C6"/>
    <w:rsid w:val="13DE4A24"/>
    <w:rsid w:val="14003B68"/>
    <w:rsid w:val="14077165"/>
    <w:rsid w:val="140A4876"/>
    <w:rsid w:val="14231FAC"/>
    <w:rsid w:val="14264818"/>
    <w:rsid w:val="14317E7A"/>
    <w:rsid w:val="145378D4"/>
    <w:rsid w:val="1463315F"/>
    <w:rsid w:val="14664519"/>
    <w:rsid w:val="146F09C5"/>
    <w:rsid w:val="147441B4"/>
    <w:rsid w:val="14745B8C"/>
    <w:rsid w:val="14832530"/>
    <w:rsid w:val="14936D19"/>
    <w:rsid w:val="14991E4B"/>
    <w:rsid w:val="14D60FAD"/>
    <w:rsid w:val="14DF65DE"/>
    <w:rsid w:val="14F33B67"/>
    <w:rsid w:val="151E62FD"/>
    <w:rsid w:val="151F03B5"/>
    <w:rsid w:val="153A48EA"/>
    <w:rsid w:val="153A65BE"/>
    <w:rsid w:val="15422B45"/>
    <w:rsid w:val="156629A4"/>
    <w:rsid w:val="156A38D6"/>
    <w:rsid w:val="156C688A"/>
    <w:rsid w:val="1584295D"/>
    <w:rsid w:val="158735B1"/>
    <w:rsid w:val="15895244"/>
    <w:rsid w:val="159E013D"/>
    <w:rsid w:val="15A63FB3"/>
    <w:rsid w:val="15BA0961"/>
    <w:rsid w:val="15BC6BCB"/>
    <w:rsid w:val="15D32868"/>
    <w:rsid w:val="15EE1192"/>
    <w:rsid w:val="15FD0081"/>
    <w:rsid w:val="161713B9"/>
    <w:rsid w:val="162117F2"/>
    <w:rsid w:val="163D38BD"/>
    <w:rsid w:val="164432FC"/>
    <w:rsid w:val="166867F9"/>
    <w:rsid w:val="16746A12"/>
    <w:rsid w:val="16763172"/>
    <w:rsid w:val="167E2633"/>
    <w:rsid w:val="168431DE"/>
    <w:rsid w:val="168C763B"/>
    <w:rsid w:val="1690501F"/>
    <w:rsid w:val="16B22F9A"/>
    <w:rsid w:val="16D147CF"/>
    <w:rsid w:val="16DB2D50"/>
    <w:rsid w:val="16DE5569"/>
    <w:rsid w:val="16E8299C"/>
    <w:rsid w:val="16F40010"/>
    <w:rsid w:val="16FB1042"/>
    <w:rsid w:val="17096A52"/>
    <w:rsid w:val="170A434D"/>
    <w:rsid w:val="170A608F"/>
    <w:rsid w:val="17176EC0"/>
    <w:rsid w:val="171A22E9"/>
    <w:rsid w:val="173213AE"/>
    <w:rsid w:val="1735048C"/>
    <w:rsid w:val="173C70F5"/>
    <w:rsid w:val="174206F3"/>
    <w:rsid w:val="1761165F"/>
    <w:rsid w:val="176B4C2E"/>
    <w:rsid w:val="17912DBB"/>
    <w:rsid w:val="179E2BB2"/>
    <w:rsid w:val="17A31E57"/>
    <w:rsid w:val="17A41A09"/>
    <w:rsid w:val="17BE7705"/>
    <w:rsid w:val="17DE1931"/>
    <w:rsid w:val="17E43CA4"/>
    <w:rsid w:val="17FF683E"/>
    <w:rsid w:val="1803234F"/>
    <w:rsid w:val="181F7B0D"/>
    <w:rsid w:val="184D7361"/>
    <w:rsid w:val="18611ADF"/>
    <w:rsid w:val="18660D83"/>
    <w:rsid w:val="188F0361"/>
    <w:rsid w:val="18A34D8C"/>
    <w:rsid w:val="18AD0BE1"/>
    <w:rsid w:val="18B619A6"/>
    <w:rsid w:val="18BB43F9"/>
    <w:rsid w:val="18BD2A66"/>
    <w:rsid w:val="18C13AC1"/>
    <w:rsid w:val="18D119EE"/>
    <w:rsid w:val="190524A1"/>
    <w:rsid w:val="19111C94"/>
    <w:rsid w:val="192C2A2F"/>
    <w:rsid w:val="193809C2"/>
    <w:rsid w:val="194361A3"/>
    <w:rsid w:val="194E641E"/>
    <w:rsid w:val="195E6542"/>
    <w:rsid w:val="19646B2F"/>
    <w:rsid w:val="19651738"/>
    <w:rsid w:val="198365E2"/>
    <w:rsid w:val="19976995"/>
    <w:rsid w:val="19B044DF"/>
    <w:rsid w:val="19FA5475"/>
    <w:rsid w:val="19FC6A1D"/>
    <w:rsid w:val="1A110767"/>
    <w:rsid w:val="1A1964F4"/>
    <w:rsid w:val="1A576AE8"/>
    <w:rsid w:val="1A613F40"/>
    <w:rsid w:val="1A6450AE"/>
    <w:rsid w:val="1A6F3D1D"/>
    <w:rsid w:val="1A725150"/>
    <w:rsid w:val="1A742AE7"/>
    <w:rsid w:val="1A851E5E"/>
    <w:rsid w:val="1A8C2F08"/>
    <w:rsid w:val="1A976D8E"/>
    <w:rsid w:val="1A9A00BD"/>
    <w:rsid w:val="1A9F3526"/>
    <w:rsid w:val="1AB60854"/>
    <w:rsid w:val="1AB62259"/>
    <w:rsid w:val="1ADB5923"/>
    <w:rsid w:val="1ADF24BC"/>
    <w:rsid w:val="1AFB2F34"/>
    <w:rsid w:val="1B111758"/>
    <w:rsid w:val="1B142E41"/>
    <w:rsid w:val="1B16359A"/>
    <w:rsid w:val="1B1C4A6C"/>
    <w:rsid w:val="1B1F0131"/>
    <w:rsid w:val="1B2372F3"/>
    <w:rsid w:val="1B2709C3"/>
    <w:rsid w:val="1B2C2EBB"/>
    <w:rsid w:val="1B300A8F"/>
    <w:rsid w:val="1B3028D7"/>
    <w:rsid w:val="1B344A57"/>
    <w:rsid w:val="1B364075"/>
    <w:rsid w:val="1B387860"/>
    <w:rsid w:val="1B5A266B"/>
    <w:rsid w:val="1B6F3157"/>
    <w:rsid w:val="1B745152"/>
    <w:rsid w:val="1B763A15"/>
    <w:rsid w:val="1B8B1071"/>
    <w:rsid w:val="1B941FF2"/>
    <w:rsid w:val="1BB91E00"/>
    <w:rsid w:val="1BBC3580"/>
    <w:rsid w:val="1BBE0387"/>
    <w:rsid w:val="1BC0329E"/>
    <w:rsid w:val="1BC863D0"/>
    <w:rsid w:val="1BEF1A51"/>
    <w:rsid w:val="1C01157A"/>
    <w:rsid w:val="1C337FF5"/>
    <w:rsid w:val="1C3B4532"/>
    <w:rsid w:val="1C3F63C6"/>
    <w:rsid w:val="1C495A9B"/>
    <w:rsid w:val="1C4A4F18"/>
    <w:rsid w:val="1C4C62F2"/>
    <w:rsid w:val="1C565AA2"/>
    <w:rsid w:val="1C6063BC"/>
    <w:rsid w:val="1C677760"/>
    <w:rsid w:val="1C8342C9"/>
    <w:rsid w:val="1C835541"/>
    <w:rsid w:val="1C9D2E24"/>
    <w:rsid w:val="1CA63F16"/>
    <w:rsid w:val="1CB63D17"/>
    <w:rsid w:val="1CBE15B8"/>
    <w:rsid w:val="1CC70AAE"/>
    <w:rsid w:val="1CF93C71"/>
    <w:rsid w:val="1CF97B60"/>
    <w:rsid w:val="1D030883"/>
    <w:rsid w:val="1D1D75F2"/>
    <w:rsid w:val="1D2B549A"/>
    <w:rsid w:val="1D5039A9"/>
    <w:rsid w:val="1D670B14"/>
    <w:rsid w:val="1D924EB5"/>
    <w:rsid w:val="1D9F65B1"/>
    <w:rsid w:val="1DA002EB"/>
    <w:rsid w:val="1DD7785D"/>
    <w:rsid w:val="1DDF4AE1"/>
    <w:rsid w:val="1DE0242C"/>
    <w:rsid w:val="1DE02E8C"/>
    <w:rsid w:val="1DF11CEB"/>
    <w:rsid w:val="1DFB418B"/>
    <w:rsid w:val="1E061D8D"/>
    <w:rsid w:val="1E1510B3"/>
    <w:rsid w:val="1E1B06D7"/>
    <w:rsid w:val="1E1D003B"/>
    <w:rsid w:val="1E2A636A"/>
    <w:rsid w:val="1E2B5895"/>
    <w:rsid w:val="1E36533D"/>
    <w:rsid w:val="1E3F71AC"/>
    <w:rsid w:val="1E407FC7"/>
    <w:rsid w:val="1E484768"/>
    <w:rsid w:val="1E4946FB"/>
    <w:rsid w:val="1E4A65BA"/>
    <w:rsid w:val="1E506677"/>
    <w:rsid w:val="1E5A2DA3"/>
    <w:rsid w:val="1E60103D"/>
    <w:rsid w:val="1E611165"/>
    <w:rsid w:val="1E6C6427"/>
    <w:rsid w:val="1E7646AA"/>
    <w:rsid w:val="1E897274"/>
    <w:rsid w:val="1E965D04"/>
    <w:rsid w:val="1EA26379"/>
    <w:rsid w:val="1EC13239"/>
    <w:rsid w:val="1ED352F2"/>
    <w:rsid w:val="1ED920BE"/>
    <w:rsid w:val="1EF7470E"/>
    <w:rsid w:val="1F05265B"/>
    <w:rsid w:val="1F073AFB"/>
    <w:rsid w:val="1F0E2E4B"/>
    <w:rsid w:val="1F1068A9"/>
    <w:rsid w:val="1F11207D"/>
    <w:rsid w:val="1F204C25"/>
    <w:rsid w:val="1F2579D0"/>
    <w:rsid w:val="1F3309E4"/>
    <w:rsid w:val="1F3C6344"/>
    <w:rsid w:val="1F5435CA"/>
    <w:rsid w:val="1F546D45"/>
    <w:rsid w:val="1F6A639E"/>
    <w:rsid w:val="1F8132C8"/>
    <w:rsid w:val="1FA02744"/>
    <w:rsid w:val="1FA40FE8"/>
    <w:rsid w:val="1FAC011C"/>
    <w:rsid w:val="1FC24714"/>
    <w:rsid w:val="1FCC3990"/>
    <w:rsid w:val="1FD33427"/>
    <w:rsid w:val="200C298F"/>
    <w:rsid w:val="201C54FE"/>
    <w:rsid w:val="202A4D90"/>
    <w:rsid w:val="20351B26"/>
    <w:rsid w:val="20435529"/>
    <w:rsid w:val="20517E69"/>
    <w:rsid w:val="20530F08"/>
    <w:rsid w:val="2066350B"/>
    <w:rsid w:val="208701DC"/>
    <w:rsid w:val="20942936"/>
    <w:rsid w:val="20AD1511"/>
    <w:rsid w:val="20AE71CD"/>
    <w:rsid w:val="20C75587"/>
    <w:rsid w:val="20DD7EA1"/>
    <w:rsid w:val="20EC6F0D"/>
    <w:rsid w:val="20EF3849"/>
    <w:rsid w:val="21062AD1"/>
    <w:rsid w:val="210835D5"/>
    <w:rsid w:val="21114D59"/>
    <w:rsid w:val="212707FC"/>
    <w:rsid w:val="215134A4"/>
    <w:rsid w:val="216D73A5"/>
    <w:rsid w:val="21734752"/>
    <w:rsid w:val="2181475C"/>
    <w:rsid w:val="21865BCD"/>
    <w:rsid w:val="2186661B"/>
    <w:rsid w:val="21883536"/>
    <w:rsid w:val="218D6398"/>
    <w:rsid w:val="21C614F6"/>
    <w:rsid w:val="21D57E5D"/>
    <w:rsid w:val="220B38D3"/>
    <w:rsid w:val="220F27AB"/>
    <w:rsid w:val="223029AE"/>
    <w:rsid w:val="224B1241"/>
    <w:rsid w:val="22565E31"/>
    <w:rsid w:val="226C24D9"/>
    <w:rsid w:val="227540C8"/>
    <w:rsid w:val="229C12D9"/>
    <w:rsid w:val="22C438D9"/>
    <w:rsid w:val="22C90127"/>
    <w:rsid w:val="22D008F7"/>
    <w:rsid w:val="22D42D6B"/>
    <w:rsid w:val="22DF5D82"/>
    <w:rsid w:val="22E9418C"/>
    <w:rsid w:val="22FD581D"/>
    <w:rsid w:val="231A6446"/>
    <w:rsid w:val="23200D04"/>
    <w:rsid w:val="23252F62"/>
    <w:rsid w:val="2329015A"/>
    <w:rsid w:val="233D41F6"/>
    <w:rsid w:val="233E1D9D"/>
    <w:rsid w:val="235A23F9"/>
    <w:rsid w:val="23690BF3"/>
    <w:rsid w:val="237057D0"/>
    <w:rsid w:val="238A746E"/>
    <w:rsid w:val="23A70DB3"/>
    <w:rsid w:val="23D003FB"/>
    <w:rsid w:val="23E06FF0"/>
    <w:rsid w:val="23F26B67"/>
    <w:rsid w:val="241A5AEC"/>
    <w:rsid w:val="24321DFA"/>
    <w:rsid w:val="24530C8F"/>
    <w:rsid w:val="24636547"/>
    <w:rsid w:val="24717D47"/>
    <w:rsid w:val="249C788A"/>
    <w:rsid w:val="24B82B32"/>
    <w:rsid w:val="24BB6D5B"/>
    <w:rsid w:val="24DC6375"/>
    <w:rsid w:val="24DF0B67"/>
    <w:rsid w:val="24F755BB"/>
    <w:rsid w:val="24FA5375"/>
    <w:rsid w:val="25167458"/>
    <w:rsid w:val="251E581D"/>
    <w:rsid w:val="252A368C"/>
    <w:rsid w:val="253317B8"/>
    <w:rsid w:val="2537641D"/>
    <w:rsid w:val="253C3EF7"/>
    <w:rsid w:val="2558795E"/>
    <w:rsid w:val="255E089E"/>
    <w:rsid w:val="257F5882"/>
    <w:rsid w:val="25987884"/>
    <w:rsid w:val="259E1AE4"/>
    <w:rsid w:val="25BF330D"/>
    <w:rsid w:val="25C27A7C"/>
    <w:rsid w:val="25C76039"/>
    <w:rsid w:val="25E31DB1"/>
    <w:rsid w:val="25F341F9"/>
    <w:rsid w:val="25FD4EFD"/>
    <w:rsid w:val="2603678D"/>
    <w:rsid w:val="26050C41"/>
    <w:rsid w:val="261A0D6A"/>
    <w:rsid w:val="263F4733"/>
    <w:rsid w:val="264826D8"/>
    <w:rsid w:val="26486C62"/>
    <w:rsid w:val="26581526"/>
    <w:rsid w:val="26845C6C"/>
    <w:rsid w:val="26854595"/>
    <w:rsid w:val="26873841"/>
    <w:rsid w:val="269408C3"/>
    <w:rsid w:val="26A244E0"/>
    <w:rsid w:val="26AF5A72"/>
    <w:rsid w:val="26BE55EA"/>
    <w:rsid w:val="26C35476"/>
    <w:rsid w:val="26C762DB"/>
    <w:rsid w:val="26DC20E5"/>
    <w:rsid w:val="26F97745"/>
    <w:rsid w:val="270471C7"/>
    <w:rsid w:val="270E3585"/>
    <w:rsid w:val="274B353E"/>
    <w:rsid w:val="27524FD4"/>
    <w:rsid w:val="275319F4"/>
    <w:rsid w:val="27600BBF"/>
    <w:rsid w:val="27613BAA"/>
    <w:rsid w:val="276A2C20"/>
    <w:rsid w:val="276E6872"/>
    <w:rsid w:val="278E3101"/>
    <w:rsid w:val="27941CFF"/>
    <w:rsid w:val="27BC1DF8"/>
    <w:rsid w:val="27F4633D"/>
    <w:rsid w:val="2802487C"/>
    <w:rsid w:val="28076074"/>
    <w:rsid w:val="280D4614"/>
    <w:rsid w:val="281846D4"/>
    <w:rsid w:val="282F78FD"/>
    <w:rsid w:val="28413164"/>
    <w:rsid w:val="28436F61"/>
    <w:rsid w:val="286A2391"/>
    <w:rsid w:val="28724132"/>
    <w:rsid w:val="287B59F6"/>
    <w:rsid w:val="28847D06"/>
    <w:rsid w:val="288F48FB"/>
    <w:rsid w:val="28974169"/>
    <w:rsid w:val="28AC0ECF"/>
    <w:rsid w:val="28AE2264"/>
    <w:rsid w:val="28BE57FD"/>
    <w:rsid w:val="28C01F1D"/>
    <w:rsid w:val="28C14CAA"/>
    <w:rsid w:val="28D35487"/>
    <w:rsid w:val="28EB33ED"/>
    <w:rsid w:val="29001D45"/>
    <w:rsid w:val="290D0C20"/>
    <w:rsid w:val="29154A5F"/>
    <w:rsid w:val="29162105"/>
    <w:rsid w:val="291D6CFF"/>
    <w:rsid w:val="291E564E"/>
    <w:rsid w:val="29454998"/>
    <w:rsid w:val="29741CFA"/>
    <w:rsid w:val="297C2E49"/>
    <w:rsid w:val="29941624"/>
    <w:rsid w:val="299554BA"/>
    <w:rsid w:val="29956056"/>
    <w:rsid w:val="29A27CEA"/>
    <w:rsid w:val="29A873CE"/>
    <w:rsid w:val="29AA3C23"/>
    <w:rsid w:val="29BF59D6"/>
    <w:rsid w:val="29C53546"/>
    <w:rsid w:val="29C941A2"/>
    <w:rsid w:val="29EB49C9"/>
    <w:rsid w:val="29EE3DF2"/>
    <w:rsid w:val="29EF3FB8"/>
    <w:rsid w:val="29F12286"/>
    <w:rsid w:val="29FB2966"/>
    <w:rsid w:val="2A1D7695"/>
    <w:rsid w:val="2A2B2E5B"/>
    <w:rsid w:val="2A37472F"/>
    <w:rsid w:val="2A3A63BF"/>
    <w:rsid w:val="2A411009"/>
    <w:rsid w:val="2A48150B"/>
    <w:rsid w:val="2A4C0A1A"/>
    <w:rsid w:val="2A4C6A3D"/>
    <w:rsid w:val="2A633D38"/>
    <w:rsid w:val="2A655AFF"/>
    <w:rsid w:val="2A715DEA"/>
    <w:rsid w:val="2A97631D"/>
    <w:rsid w:val="2AA4290E"/>
    <w:rsid w:val="2AB4054B"/>
    <w:rsid w:val="2AB843C9"/>
    <w:rsid w:val="2AD307BD"/>
    <w:rsid w:val="2AD373B2"/>
    <w:rsid w:val="2AEA4C38"/>
    <w:rsid w:val="2AFE46B0"/>
    <w:rsid w:val="2B0739B9"/>
    <w:rsid w:val="2B073FBC"/>
    <w:rsid w:val="2B0C18DB"/>
    <w:rsid w:val="2B22095A"/>
    <w:rsid w:val="2B392180"/>
    <w:rsid w:val="2B3C1D66"/>
    <w:rsid w:val="2B3E28EB"/>
    <w:rsid w:val="2B430D79"/>
    <w:rsid w:val="2B6E1F63"/>
    <w:rsid w:val="2B9215B2"/>
    <w:rsid w:val="2BA42C24"/>
    <w:rsid w:val="2BB623FD"/>
    <w:rsid w:val="2BC566C7"/>
    <w:rsid w:val="2BC81736"/>
    <w:rsid w:val="2BE267D6"/>
    <w:rsid w:val="2BE3479D"/>
    <w:rsid w:val="2BF06232"/>
    <w:rsid w:val="2BFB3F34"/>
    <w:rsid w:val="2C0E0D00"/>
    <w:rsid w:val="2C19133D"/>
    <w:rsid w:val="2C1A1B3D"/>
    <w:rsid w:val="2C221397"/>
    <w:rsid w:val="2C703ADA"/>
    <w:rsid w:val="2C81653D"/>
    <w:rsid w:val="2CB9247E"/>
    <w:rsid w:val="2CDB73CF"/>
    <w:rsid w:val="2CF42A2C"/>
    <w:rsid w:val="2D1547AA"/>
    <w:rsid w:val="2D1C0C8B"/>
    <w:rsid w:val="2D334831"/>
    <w:rsid w:val="2D500625"/>
    <w:rsid w:val="2D511CF8"/>
    <w:rsid w:val="2D524590"/>
    <w:rsid w:val="2D707B2E"/>
    <w:rsid w:val="2D8E5DB3"/>
    <w:rsid w:val="2D9C231F"/>
    <w:rsid w:val="2D9F3C27"/>
    <w:rsid w:val="2DAB019F"/>
    <w:rsid w:val="2DB15F1B"/>
    <w:rsid w:val="2DE44B7D"/>
    <w:rsid w:val="2DE83586"/>
    <w:rsid w:val="2DE85A59"/>
    <w:rsid w:val="2E00515D"/>
    <w:rsid w:val="2E153C96"/>
    <w:rsid w:val="2E1D043E"/>
    <w:rsid w:val="2E2C3CC9"/>
    <w:rsid w:val="2E2D39B2"/>
    <w:rsid w:val="2E3944DD"/>
    <w:rsid w:val="2E524DAC"/>
    <w:rsid w:val="2E553313"/>
    <w:rsid w:val="2E6C4C6B"/>
    <w:rsid w:val="2E760F81"/>
    <w:rsid w:val="2E7A64DB"/>
    <w:rsid w:val="2E7F0E45"/>
    <w:rsid w:val="2E816717"/>
    <w:rsid w:val="2EB750F8"/>
    <w:rsid w:val="2EB774D0"/>
    <w:rsid w:val="2ED62883"/>
    <w:rsid w:val="2EDD72E4"/>
    <w:rsid w:val="2EE04406"/>
    <w:rsid w:val="2EE461BC"/>
    <w:rsid w:val="2EE642AD"/>
    <w:rsid w:val="2F05447E"/>
    <w:rsid w:val="2F3F6D21"/>
    <w:rsid w:val="2F427B64"/>
    <w:rsid w:val="2F4438E1"/>
    <w:rsid w:val="2F6C766B"/>
    <w:rsid w:val="2F7A7771"/>
    <w:rsid w:val="2F842328"/>
    <w:rsid w:val="2F8E7570"/>
    <w:rsid w:val="2FA70B41"/>
    <w:rsid w:val="2FAE780E"/>
    <w:rsid w:val="2FE3603D"/>
    <w:rsid w:val="2FEA61C6"/>
    <w:rsid w:val="2FF46A33"/>
    <w:rsid w:val="30164ACC"/>
    <w:rsid w:val="301746AE"/>
    <w:rsid w:val="301A510E"/>
    <w:rsid w:val="30446691"/>
    <w:rsid w:val="304A340C"/>
    <w:rsid w:val="30536DA5"/>
    <w:rsid w:val="30555F0B"/>
    <w:rsid w:val="305B18F9"/>
    <w:rsid w:val="306675DB"/>
    <w:rsid w:val="306F4A5C"/>
    <w:rsid w:val="30704F1E"/>
    <w:rsid w:val="30B74EB9"/>
    <w:rsid w:val="30BE49D8"/>
    <w:rsid w:val="30D21B3B"/>
    <w:rsid w:val="31130579"/>
    <w:rsid w:val="31150AF7"/>
    <w:rsid w:val="312977F5"/>
    <w:rsid w:val="3140510D"/>
    <w:rsid w:val="31490B16"/>
    <w:rsid w:val="31500AF0"/>
    <w:rsid w:val="31606BA9"/>
    <w:rsid w:val="317A746C"/>
    <w:rsid w:val="317B5137"/>
    <w:rsid w:val="31A028FB"/>
    <w:rsid w:val="31B173FD"/>
    <w:rsid w:val="31B535AF"/>
    <w:rsid w:val="31E07E1A"/>
    <w:rsid w:val="31EA44FA"/>
    <w:rsid w:val="31F304A6"/>
    <w:rsid w:val="31F8681B"/>
    <w:rsid w:val="32091243"/>
    <w:rsid w:val="32236298"/>
    <w:rsid w:val="32294765"/>
    <w:rsid w:val="323B6914"/>
    <w:rsid w:val="327E7CD9"/>
    <w:rsid w:val="32A92512"/>
    <w:rsid w:val="32AA7A12"/>
    <w:rsid w:val="32B56E69"/>
    <w:rsid w:val="32E24572"/>
    <w:rsid w:val="32F445A5"/>
    <w:rsid w:val="32FC5FC6"/>
    <w:rsid w:val="33053A94"/>
    <w:rsid w:val="330F4401"/>
    <w:rsid w:val="331E1E02"/>
    <w:rsid w:val="33353215"/>
    <w:rsid w:val="33435036"/>
    <w:rsid w:val="33472431"/>
    <w:rsid w:val="335D7B29"/>
    <w:rsid w:val="336B0B61"/>
    <w:rsid w:val="338C3ABE"/>
    <w:rsid w:val="33A867A1"/>
    <w:rsid w:val="33BE0CB2"/>
    <w:rsid w:val="33C02706"/>
    <w:rsid w:val="33D21CA6"/>
    <w:rsid w:val="33E7235C"/>
    <w:rsid w:val="33F133C2"/>
    <w:rsid w:val="33F943AC"/>
    <w:rsid w:val="341548E7"/>
    <w:rsid w:val="34251F8E"/>
    <w:rsid w:val="343B5AF3"/>
    <w:rsid w:val="34435914"/>
    <w:rsid w:val="3457286D"/>
    <w:rsid w:val="345A7961"/>
    <w:rsid w:val="347A05C3"/>
    <w:rsid w:val="347E5080"/>
    <w:rsid w:val="348075DB"/>
    <w:rsid w:val="348D4D75"/>
    <w:rsid w:val="34902CE5"/>
    <w:rsid w:val="34965FFC"/>
    <w:rsid w:val="349E0792"/>
    <w:rsid w:val="34B475AD"/>
    <w:rsid w:val="34B862ED"/>
    <w:rsid w:val="34C1398D"/>
    <w:rsid w:val="34D33C1F"/>
    <w:rsid w:val="34DB71D0"/>
    <w:rsid w:val="34E077DE"/>
    <w:rsid w:val="34EB3FFA"/>
    <w:rsid w:val="351529DC"/>
    <w:rsid w:val="351911D3"/>
    <w:rsid w:val="351C58FB"/>
    <w:rsid w:val="35240A2A"/>
    <w:rsid w:val="35493147"/>
    <w:rsid w:val="35572F42"/>
    <w:rsid w:val="35597C68"/>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757D2"/>
    <w:rsid w:val="360D3064"/>
    <w:rsid w:val="3652616D"/>
    <w:rsid w:val="366046B9"/>
    <w:rsid w:val="366135C0"/>
    <w:rsid w:val="36671AA6"/>
    <w:rsid w:val="366A5627"/>
    <w:rsid w:val="36710AA2"/>
    <w:rsid w:val="36AC26B2"/>
    <w:rsid w:val="36C81B5B"/>
    <w:rsid w:val="36CA4796"/>
    <w:rsid w:val="36D305E5"/>
    <w:rsid w:val="36EA7FF2"/>
    <w:rsid w:val="36F11D9A"/>
    <w:rsid w:val="37017235"/>
    <w:rsid w:val="373D169F"/>
    <w:rsid w:val="374E143A"/>
    <w:rsid w:val="375145A6"/>
    <w:rsid w:val="37522485"/>
    <w:rsid w:val="37613C52"/>
    <w:rsid w:val="376D6E4F"/>
    <w:rsid w:val="376F2885"/>
    <w:rsid w:val="377835C6"/>
    <w:rsid w:val="37DD1744"/>
    <w:rsid w:val="37DD7F51"/>
    <w:rsid w:val="37E72EA9"/>
    <w:rsid w:val="37F25243"/>
    <w:rsid w:val="380255AF"/>
    <w:rsid w:val="382C7212"/>
    <w:rsid w:val="38333626"/>
    <w:rsid w:val="383F0981"/>
    <w:rsid w:val="384E441A"/>
    <w:rsid w:val="38506C2F"/>
    <w:rsid w:val="38803B23"/>
    <w:rsid w:val="38877CF7"/>
    <w:rsid w:val="388E389A"/>
    <w:rsid w:val="38961914"/>
    <w:rsid w:val="38AF3010"/>
    <w:rsid w:val="38D822E9"/>
    <w:rsid w:val="38DD6A3B"/>
    <w:rsid w:val="38E03474"/>
    <w:rsid w:val="38E2286A"/>
    <w:rsid w:val="38E32D4B"/>
    <w:rsid w:val="38E94228"/>
    <w:rsid w:val="38F45BAD"/>
    <w:rsid w:val="39051B96"/>
    <w:rsid w:val="39090EB2"/>
    <w:rsid w:val="390A09B4"/>
    <w:rsid w:val="390B2C76"/>
    <w:rsid w:val="391644FB"/>
    <w:rsid w:val="39257351"/>
    <w:rsid w:val="392F0F3D"/>
    <w:rsid w:val="39322F95"/>
    <w:rsid w:val="39430A5E"/>
    <w:rsid w:val="39436B1B"/>
    <w:rsid w:val="39602F23"/>
    <w:rsid w:val="396B58C4"/>
    <w:rsid w:val="397B0BB4"/>
    <w:rsid w:val="399B3376"/>
    <w:rsid w:val="39A64195"/>
    <w:rsid w:val="39AF1465"/>
    <w:rsid w:val="39C04E20"/>
    <w:rsid w:val="39CA3463"/>
    <w:rsid w:val="39CF6662"/>
    <w:rsid w:val="39DA6F82"/>
    <w:rsid w:val="39E34201"/>
    <w:rsid w:val="39E80849"/>
    <w:rsid w:val="39F2252B"/>
    <w:rsid w:val="3A0E5A41"/>
    <w:rsid w:val="3A2175BE"/>
    <w:rsid w:val="3A2436D1"/>
    <w:rsid w:val="3A2A7F00"/>
    <w:rsid w:val="3A593D19"/>
    <w:rsid w:val="3A6A27D7"/>
    <w:rsid w:val="3ABC09E4"/>
    <w:rsid w:val="3AC12C28"/>
    <w:rsid w:val="3AC407C9"/>
    <w:rsid w:val="3AC86569"/>
    <w:rsid w:val="3ADD1A06"/>
    <w:rsid w:val="3AF06CC1"/>
    <w:rsid w:val="3B09581A"/>
    <w:rsid w:val="3B183E18"/>
    <w:rsid w:val="3B2035BA"/>
    <w:rsid w:val="3B215631"/>
    <w:rsid w:val="3B2D6711"/>
    <w:rsid w:val="3B51309B"/>
    <w:rsid w:val="3B842F2C"/>
    <w:rsid w:val="3B883403"/>
    <w:rsid w:val="3B954F85"/>
    <w:rsid w:val="3B9C0E95"/>
    <w:rsid w:val="3BA96A60"/>
    <w:rsid w:val="3BB47304"/>
    <w:rsid w:val="3BBD0AD4"/>
    <w:rsid w:val="3BFD5C4B"/>
    <w:rsid w:val="3BFE5D03"/>
    <w:rsid w:val="3C0248C3"/>
    <w:rsid w:val="3C072215"/>
    <w:rsid w:val="3C167592"/>
    <w:rsid w:val="3C170EB9"/>
    <w:rsid w:val="3C250799"/>
    <w:rsid w:val="3C276162"/>
    <w:rsid w:val="3C2A1D4A"/>
    <w:rsid w:val="3C2B1BD6"/>
    <w:rsid w:val="3C2C17DF"/>
    <w:rsid w:val="3C396A58"/>
    <w:rsid w:val="3C432995"/>
    <w:rsid w:val="3C663D83"/>
    <w:rsid w:val="3C714A0F"/>
    <w:rsid w:val="3C762FBC"/>
    <w:rsid w:val="3C80126B"/>
    <w:rsid w:val="3C9108DC"/>
    <w:rsid w:val="3CA427D7"/>
    <w:rsid w:val="3CA431D4"/>
    <w:rsid w:val="3CA86B29"/>
    <w:rsid w:val="3CAC710F"/>
    <w:rsid w:val="3CBD03A6"/>
    <w:rsid w:val="3CDC27C9"/>
    <w:rsid w:val="3CE068D8"/>
    <w:rsid w:val="3CF21AEE"/>
    <w:rsid w:val="3D0A22D5"/>
    <w:rsid w:val="3D0B5F2D"/>
    <w:rsid w:val="3D114B5C"/>
    <w:rsid w:val="3D133607"/>
    <w:rsid w:val="3D193B16"/>
    <w:rsid w:val="3D2C2175"/>
    <w:rsid w:val="3D3F2810"/>
    <w:rsid w:val="3D484D37"/>
    <w:rsid w:val="3D495DF7"/>
    <w:rsid w:val="3D851633"/>
    <w:rsid w:val="3D875BB8"/>
    <w:rsid w:val="3DBF1661"/>
    <w:rsid w:val="3E051FCE"/>
    <w:rsid w:val="3E1756B6"/>
    <w:rsid w:val="3E1920C0"/>
    <w:rsid w:val="3E2048C2"/>
    <w:rsid w:val="3E28471D"/>
    <w:rsid w:val="3E42659A"/>
    <w:rsid w:val="3E4C632F"/>
    <w:rsid w:val="3E5D6A46"/>
    <w:rsid w:val="3E5E3BF8"/>
    <w:rsid w:val="3E5F70CE"/>
    <w:rsid w:val="3E610DA9"/>
    <w:rsid w:val="3E645172"/>
    <w:rsid w:val="3E701062"/>
    <w:rsid w:val="3E77442B"/>
    <w:rsid w:val="3E981358"/>
    <w:rsid w:val="3EAC39B4"/>
    <w:rsid w:val="3EC11BF7"/>
    <w:rsid w:val="3EC13CE7"/>
    <w:rsid w:val="3EF169DA"/>
    <w:rsid w:val="3EF93089"/>
    <w:rsid w:val="3F0E4239"/>
    <w:rsid w:val="3F127531"/>
    <w:rsid w:val="3F2B4E96"/>
    <w:rsid w:val="3F3A7BF4"/>
    <w:rsid w:val="3F4C6C3F"/>
    <w:rsid w:val="3F507482"/>
    <w:rsid w:val="3F5661ED"/>
    <w:rsid w:val="3F5C181E"/>
    <w:rsid w:val="3F6263C0"/>
    <w:rsid w:val="3F700303"/>
    <w:rsid w:val="3F755AF4"/>
    <w:rsid w:val="3F7A035D"/>
    <w:rsid w:val="3F7A4AAC"/>
    <w:rsid w:val="3F7F2AED"/>
    <w:rsid w:val="3F8568C6"/>
    <w:rsid w:val="3F895D56"/>
    <w:rsid w:val="3FAA1713"/>
    <w:rsid w:val="3FAF7F99"/>
    <w:rsid w:val="3FBE325D"/>
    <w:rsid w:val="3FC24EFB"/>
    <w:rsid w:val="3FC42D5D"/>
    <w:rsid w:val="3FC470DF"/>
    <w:rsid w:val="3FDD44BD"/>
    <w:rsid w:val="3FEE70B9"/>
    <w:rsid w:val="4016105A"/>
    <w:rsid w:val="404126D4"/>
    <w:rsid w:val="40507088"/>
    <w:rsid w:val="40511B29"/>
    <w:rsid w:val="40525CFA"/>
    <w:rsid w:val="405666DE"/>
    <w:rsid w:val="405A164D"/>
    <w:rsid w:val="405A2653"/>
    <w:rsid w:val="40622EEA"/>
    <w:rsid w:val="407D09B4"/>
    <w:rsid w:val="40892F96"/>
    <w:rsid w:val="408E1F25"/>
    <w:rsid w:val="409D774F"/>
    <w:rsid w:val="40A22DA0"/>
    <w:rsid w:val="40A354E5"/>
    <w:rsid w:val="40B03322"/>
    <w:rsid w:val="40C444B5"/>
    <w:rsid w:val="4109777D"/>
    <w:rsid w:val="411F6223"/>
    <w:rsid w:val="41390C96"/>
    <w:rsid w:val="413B683F"/>
    <w:rsid w:val="41466C95"/>
    <w:rsid w:val="414B6987"/>
    <w:rsid w:val="4158647C"/>
    <w:rsid w:val="415F77BE"/>
    <w:rsid w:val="416140A9"/>
    <w:rsid w:val="416B0B98"/>
    <w:rsid w:val="4175321B"/>
    <w:rsid w:val="418F78FA"/>
    <w:rsid w:val="4195768D"/>
    <w:rsid w:val="41A605D0"/>
    <w:rsid w:val="41CA3305"/>
    <w:rsid w:val="41CC6A6E"/>
    <w:rsid w:val="41D46746"/>
    <w:rsid w:val="41E50241"/>
    <w:rsid w:val="41ED6B4B"/>
    <w:rsid w:val="41F26C34"/>
    <w:rsid w:val="42065175"/>
    <w:rsid w:val="42203DE5"/>
    <w:rsid w:val="423339AE"/>
    <w:rsid w:val="42400071"/>
    <w:rsid w:val="42400975"/>
    <w:rsid w:val="42623E1B"/>
    <w:rsid w:val="42702AE2"/>
    <w:rsid w:val="427A3AB6"/>
    <w:rsid w:val="427B2568"/>
    <w:rsid w:val="427B6090"/>
    <w:rsid w:val="428A5209"/>
    <w:rsid w:val="42A15C50"/>
    <w:rsid w:val="42A32E9D"/>
    <w:rsid w:val="42A37451"/>
    <w:rsid w:val="42AA632B"/>
    <w:rsid w:val="42AE7F37"/>
    <w:rsid w:val="42B9327D"/>
    <w:rsid w:val="42CC28E0"/>
    <w:rsid w:val="42FB67F0"/>
    <w:rsid w:val="43037BB1"/>
    <w:rsid w:val="4308583C"/>
    <w:rsid w:val="433E40E3"/>
    <w:rsid w:val="434C25F0"/>
    <w:rsid w:val="434D4AE8"/>
    <w:rsid w:val="43512BF1"/>
    <w:rsid w:val="435448CE"/>
    <w:rsid w:val="43572820"/>
    <w:rsid w:val="43617131"/>
    <w:rsid w:val="43633FF9"/>
    <w:rsid w:val="436B0A40"/>
    <w:rsid w:val="43715519"/>
    <w:rsid w:val="437B5074"/>
    <w:rsid w:val="437E400B"/>
    <w:rsid w:val="438F344E"/>
    <w:rsid w:val="439637CB"/>
    <w:rsid w:val="43993698"/>
    <w:rsid w:val="43B31196"/>
    <w:rsid w:val="43B62342"/>
    <w:rsid w:val="43BB720C"/>
    <w:rsid w:val="43BC335F"/>
    <w:rsid w:val="43C92B32"/>
    <w:rsid w:val="43EB7ACC"/>
    <w:rsid w:val="43F82A86"/>
    <w:rsid w:val="43FC1AB4"/>
    <w:rsid w:val="442A1993"/>
    <w:rsid w:val="442F4C28"/>
    <w:rsid w:val="44402F95"/>
    <w:rsid w:val="4476180F"/>
    <w:rsid w:val="447D407D"/>
    <w:rsid w:val="44830531"/>
    <w:rsid w:val="448A0E5D"/>
    <w:rsid w:val="449D45F7"/>
    <w:rsid w:val="44A435AA"/>
    <w:rsid w:val="44A872EC"/>
    <w:rsid w:val="44A91136"/>
    <w:rsid w:val="44C07EB7"/>
    <w:rsid w:val="44C41CD0"/>
    <w:rsid w:val="44EB55BF"/>
    <w:rsid w:val="44F34F27"/>
    <w:rsid w:val="4516216D"/>
    <w:rsid w:val="451F0B3D"/>
    <w:rsid w:val="452A57C8"/>
    <w:rsid w:val="452D2698"/>
    <w:rsid w:val="454E3658"/>
    <w:rsid w:val="45836B41"/>
    <w:rsid w:val="45BA3A93"/>
    <w:rsid w:val="45CD65C9"/>
    <w:rsid w:val="45D06AB0"/>
    <w:rsid w:val="45D32B9D"/>
    <w:rsid w:val="45D51F09"/>
    <w:rsid w:val="45E335B5"/>
    <w:rsid w:val="46072FDC"/>
    <w:rsid w:val="460B44C8"/>
    <w:rsid w:val="46136A51"/>
    <w:rsid w:val="46144FA7"/>
    <w:rsid w:val="461F3C01"/>
    <w:rsid w:val="462D4AD7"/>
    <w:rsid w:val="463E6D3E"/>
    <w:rsid w:val="46566AA9"/>
    <w:rsid w:val="46661558"/>
    <w:rsid w:val="466A3548"/>
    <w:rsid w:val="466C4AED"/>
    <w:rsid w:val="46967F5B"/>
    <w:rsid w:val="46B05B1F"/>
    <w:rsid w:val="46B35E11"/>
    <w:rsid w:val="46BA27BC"/>
    <w:rsid w:val="46BC6770"/>
    <w:rsid w:val="46CF7E90"/>
    <w:rsid w:val="46D13DB8"/>
    <w:rsid w:val="46F51685"/>
    <w:rsid w:val="47240834"/>
    <w:rsid w:val="47322080"/>
    <w:rsid w:val="47546CCD"/>
    <w:rsid w:val="475567CD"/>
    <w:rsid w:val="475B3DA3"/>
    <w:rsid w:val="478039D4"/>
    <w:rsid w:val="479E642E"/>
    <w:rsid w:val="47A20A59"/>
    <w:rsid w:val="47B5458F"/>
    <w:rsid w:val="47C1238D"/>
    <w:rsid w:val="47CB0AA5"/>
    <w:rsid w:val="47E246F7"/>
    <w:rsid w:val="47E76F91"/>
    <w:rsid w:val="47FF0DAF"/>
    <w:rsid w:val="48030380"/>
    <w:rsid w:val="48185A6B"/>
    <w:rsid w:val="48273A4D"/>
    <w:rsid w:val="483F2C13"/>
    <w:rsid w:val="48490C72"/>
    <w:rsid w:val="484A471E"/>
    <w:rsid w:val="485162E7"/>
    <w:rsid w:val="48560B58"/>
    <w:rsid w:val="48615205"/>
    <w:rsid w:val="486B3599"/>
    <w:rsid w:val="486F3FB1"/>
    <w:rsid w:val="487452ED"/>
    <w:rsid w:val="48936FC5"/>
    <w:rsid w:val="489414DE"/>
    <w:rsid w:val="48A61185"/>
    <w:rsid w:val="48C34DDE"/>
    <w:rsid w:val="48D17B15"/>
    <w:rsid w:val="48F814A8"/>
    <w:rsid w:val="48F9195F"/>
    <w:rsid w:val="491171A1"/>
    <w:rsid w:val="491E08A2"/>
    <w:rsid w:val="4927647B"/>
    <w:rsid w:val="49283B8D"/>
    <w:rsid w:val="492C5797"/>
    <w:rsid w:val="495013A9"/>
    <w:rsid w:val="495F48E7"/>
    <w:rsid w:val="49804F41"/>
    <w:rsid w:val="49882C25"/>
    <w:rsid w:val="499C2D6D"/>
    <w:rsid w:val="49B6004B"/>
    <w:rsid w:val="49BF7880"/>
    <w:rsid w:val="49C82B49"/>
    <w:rsid w:val="49D56C49"/>
    <w:rsid w:val="49D855C7"/>
    <w:rsid w:val="49EC4258"/>
    <w:rsid w:val="49F80512"/>
    <w:rsid w:val="4A21436D"/>
    <w:rsid w:val="4A263F01"/>
    <w:rsid w:val="4A30391F"/>
    <w:rsid w:val="4A4658CB"/>
    <w:rsid w:val="4A466F69"/>
    <w:rsid w:val="4A4C1CC9"/>
    <w:rsid w:val="4A7F1D52"/>
    <w:rsid w:val="4A854E3F"/>
    <w:rsid w:val="4AAB146E"/>
    <w:rsid w:val="4AB1692B"/>
    <w:rsid w:val="4AED724C"/>
    <w:rsid w:val="4AF850BA"/>
    <w:rsid w:val="4AFB4F34"/>
    <w:rsid w:val="4AFF0D6E"/>
    <w:rsid w:val="4B130467"/>
    <w:rsid w:val="4B1338CC"/>
    <w:rsid w:val="4B172B12"/>
    <w:rsid w:val="4B262EBA"/>
    <w:rsid w:val="4B3F1EC7"/>
    <w:rsid w:val="4B531F8D"/>
    <w:rsid w:val="4B662E8B"/>
    <w:rsid w:val="4B82772E"/>
    <w:rsid w:val="4B8D450C"/>
    <w:rsid w:val="4B913D43"/>
    <w:rsid w:val="4B943B21"/>
    <w:rsid w:val="4B99555D"/>
    <w:rsid w:val="4BAB096B"/>
    <w:rsid w:val="4BAF7E06"/>
    <w:rsid w:val="4BBB3716"/>
    <w:rsid w:val="4BD46636"/>
    <w:rsid w:val="4BEE45CB"/>
    <w:rsid w:val="4C082496"/>
    <w:rsid w:val="4C08678F"/>
    <w:rsid w:val="4C1B5AC4"/>
    <w:rsid w:val="4C396B73"/>
    <w:rsid w:val="4C426781"/>
    <w:rsid w:val="4C4C5496"/>
    <w:rsid w:val="4C4F154F"/>
    <w:rsid w:val="4C6A1CEF"/>
    <w:rsid w:val="4C6C3432"/>
    <w:rsid w:val="4C854697"/>
    <w:rsid w:val="4C8C21FB"/>
    <w:rsid w:val="4C907331"/>
    <w:rsid w:val="4C9D08B4"/>
    <w:rsid w:val="4CA66198"/>
    <w:rsid w:val="4CAA102F"/>
    <w:rsid w:val="4CB14655"/>
    <w:rsid w:val="4CB33E17"/>
    <w:rsid w:val="4CC80B92"/>
    <w:rsid w:val="4CC92C3A"/>
    <w:rsid w:val="4CE01489"/>
    <w:rsid w:val="4CEB74B6"/>
    <w:rsid w:val="4CF50A59"/>
    <w:rsid w:val="4CF8202F"/>
    <w:rsid w:val="4CFD4AAA"/>
    <w:rsid w:val="4D182801"/>
    <w:rsid w:val="4D1836FB"/>
    <w:rsid w:val="4D441013"/>
    <w:rsid w:val="4D533AAF"/>
    <w:rsid w:val="4D79073E"/>
    <w:rsid w:val="4D7B0185"/>
    <w:rsid w:val="4D9E34B9"/>
    <w:rsid w:val="4DAC7F99"/>
    <w:rsid w:val="4DBF6851"/>
    <w:rsid w:val="4DC90683"/>
    <w:rsid w:val="4DC94ACF"/>
    <w:rsid w:val="4DE047C5"/>
    <w:rsid w:val="4DE54991"/>
    <w:rsid w:val="4DF05258"/>
    <w:rsid w:val="4E0571E8"/>
    <w:rsid w:val="4E062723"/>
    <w:rsid w:val="4E252D2A"/>
    <w:rsid w:val="4E3F795C"/>
    <w:rsid w:val="4E40707C"/>
    <w:rsid w:val="4E42373A"/>
    <w:rsid w:val="4E507D99"/>
    <w:rsid w:val="4E866E0A"/>
    <w:rsid w:val="4E8D2056"/>
    <w:rsid w:val="4EBB286E"/>
    <w:rsid w:val="4ED21F42"/>
    <w:rsid w:val="4EE07940"/>
    <w:rsid w:val="4EF647A8"/>
    <w:rsid w:val="4F093E78"/>
    <w:rsid w:val="4F1D2082"/>
    <w:rsid w:val="4F1E444B"/>
    <w:rsid w:val="4F280A7B"/>
    <w:rsid w:val="4F2B223C"/>
    <w:rsid w:val="4F2C416E"/>
    <w:rsid w:val="4F302AFD"/>
    <w:rsid w:val="4F356C08"/>
    <w:rsid w:val="4F3B0396"/>
    <w:rsid w:val="4F4D0E89"/>
    <w:rsid w:val="4F5464CE"/>
    <w:rsid w:val="4F55307E"/>
    <w:rsid w:val="4F6F5219"/>
    <w:rsid w:val="4F86245D"/>
    <w:rsid w:val="4F8C427A"/>
    <w:rsid w:val="4F8E4B27"/>
    <w:rsid w:val="4F907AA4"/>
    <w:rsid w:val="4FA60918"/>
    <w:rsid w:val="4FB476B5"/>
    <w:rsid w:val="4FBB1DA4"/>
    <w:rsid w:val="4FBC4BF4"/>
    <w:rsid w:val="4FD65B1E"/>
    <w:rsid w:val="50051405"/>
    <w:rsid w:val="500832F8"/>
    <w:rsid w:val="501136F0"/>
    <w:rsid w:val="502256AD"/>
    <w:rsid w:val="50247690"/>
    <w:rsid w:val="504215FA"/>
    <w:rsid w:val="50451DB7"/>
    <w:rsid w:val="504B791D"/>
    <w:rsid w:val="508F60CA"/>
    <w:rsid w:val="50981162"/>
    <w:rsid w:val="50BC7B28"/>
    <w:rsid w:val="50C06385"/>
    <w:rsid w:val="50CE6418"/>
    <w:rsid w:val="50D40BCA"/>
    <w:rsid w:val="50D70E9D"/>
    <w:rsid w:val="50F35D93"/>
    <w:rsid w:val="50FA44CD"/>
    <w:rsid w:val="510036F5"/>
    <w:rsid w:val="5105303B"/>
    <w:rsid w:val="51114085"/>
    <w:rsid w:val="511216F1"/>
    <w:rsid w:val="512A1CE3"/>
    <w:rsid w:val="514516F1"/>
    <w:rsid w:val="51545650"/>
    <w:rsid w:val="516E7D73"/>
    <w:rsid w:val="51746D8E"/>
    <w:rsid w:val="517805B0"/>
    <w:rsid w:val="5180209A"/>
    <w:rsid w:val="51897721"/>
    <w:rsid w:val="519667AD"/>
    <w:rsid w:val="51973EE4"/>
    <w:rsid w:val="51A84D41"/>
    <w:rsid w:val="51AA2482"/>
    <w:rsid w:val="51B1317F"/>
    <w:rsid w:val="51C23429"/>
    <w:rsid w:val="51DB1E92"/>
    <w:rsid w:val="51DB6A31"/>
    <w:rsid w:val="51E14E39"/>
    <w:rsid w:val="51E7696D"/>
    <w:rsid w:val="51ED757F"/>
    <w:rsid w:val="52150A7D"/>
    <w:rsid w:val="521A7507"/>
    <w:rsid w:val="52414306"/>
    <w:rsid w:val="52457AEB"/>
    <w:rsid w:val="52564EE5"/>
    <w:rsid w:val="52666F95"/>
    <w:rsid w:val="526763FB"/>
    <w:rsid w:val="52741EC2"/>
    <w:rsid w:val="52985707"/>
    <w:rsid w:val="53336AAE"/>
    <w:rsid w:val="533A136C"/>
    <w:rsid w:val="534333C5"/>
    <w:rsid w:val="53480B19"/>
    <w:rsid w:val="5355264E"/>
    <w:rsid w:val="535F22BA"/>
    <w:rsid w:val="535F2BBA"/>
    <w:rsid w:val="537153F1"/>
    <w:rsid w:val="537C67BA"/>
    <w:rsid w:val="539B7315"/>
    <w:rsid w:val="539F71DB"/>
    <w:rsid w:val="53AF337A"/>
    <w:rsid w:val="53B26284"/>
    <w:rsid w:val="53B759F4"/>
    <w:rsid w:val="53B82303"/>
    <w:rsid w:val="53D225A4"/>
    <w:rsid w:val="53DF4479"/>
    <w:rsid w:val="54157C9B"/>
    <w:rsid w:val="54186AD3"/>
    <w:rsid w:val="54371F77"/>
    <w:rsid w:val="543B112A"/>
    <w:rsid w:val="544A4D29"/>
    <w:rsid w:val="544B7CE0"/>
    <w:rsid w:val="54547B86"/>
    <w:rsid w:val="545E0121"/>
    <w:rsid w:val="546A3396"/>
    <w:rsid w:val="54760B52"/>
    <w:rsid w:val="5481317B"/>
    <w:rsid w:val="5488216F"/>
    <w:rsid w:val="548F4C36"/>
    <w:rsid w:val="5494027A"/>
    <w:rsid w:val="54A21918"/>
    <w:rsid w:val="54AA76FF"/>
    <w:rsid w:val="54AD5A10"/>
    <w:rsid w:val="54B92F65"/>
    <w:rsid w:val="54BE694D"/>
    <w:rsid w:val="54D61114"/>
    <w:rsid w:val="54D614E8"/>
    <w:rsid w:val="54DA00AC"/>
    <w:rsid w:val="54DE5937"/>
    <w:rsid w:val="54E05AE9"/>
    <w:rsid w:val="54E82ECC"/>
    <w:rsid w:val="54FB3C17"/>
    <w:rsid w:val="55220DA5"/>
    <w:rsid w:val="55272CCA"/>
    <w:rsid w:val="552B579B"/>
    <w:rsid w:val="55487F01"/>
    <w:rsid w:val="555C6E60"/>
    <w:rsid w:val="556B7BE3"/>
    <w:rsid w:val="556E398A"/>
    <w:rsid w:val="558114B8"/>
    <w:rsid w:val="55813D78"/>
    <w:rsid w:val="55910F8E"/>
    <w:rsid w:val="5592346B"/>
    <w:rsid w:val="55AB500F"/>
    <w:rsid w:val="55B256C0"/>
    <w:rsid w:val="55BD2995"/>
    <w:rsid w:val="55C73811"/>
    <w:rsid w:val="55DF79E5"/>
    <w:rsid w:val="55EC71AA"/>
    <w:rsid w:val="560A6D02"/>
    <w:rsid w:val="5611384C"/>
    <w:rsid w:val="561B28DD"/>
    <w:rsid w:val="561D05FE"/>
    <w:rsid w:val="5635520A"/>
    <w:rsid w:val="564846E1"/>
    <w:rsid w:val="566056C5"/>
    <w:rsid w:val="56641FF0"/>
    <w:rsid w:val="566C0CDE"/>
    <w:rsid w:val="567421A7"/>
    <w:rsid w:val="567F34E2"/>
    <w:rsid w:val="56840D14"/>
    <w:rsid w:val="568868CC"/>
    <w:rsid w:val="56933527"/>
    <w:rsid w:val="56993C32"/>
    <w:rsid w:val="56994311"/>
    <w:rsid w:val="569C4AD4"/>
    <w:rsid w:val="56A90562"/>
    <w:rsid w:val="56AD325A"/>
    <w:rsid w:val="56AD47B1"/>
    <w:rsid w:val="56B913AD"/>
    <w:rsid w:val="56DA0859"/>
    <w:rsid w:val="56DC35DD"/>
    <w:rsid w:val="56E17318"/>
    <w:rsid w:val="56FD590E"/>
    <w:rsid w:val="56FE257B"/>
    <w:rsid w:val="57036880"/>
    <w:rsid w:val="57305E26"/>
    <w:rsid w:val="57314C5A"/>
    <w:rsid w:val="574A5794"/>
    <w:rsid w:val="57555B5F"/>
    <w:rsid w:val="575A261C"/>
    <w:rsid w:val="5767545D"/>
    <w:rsid w:val="57926AA1"/>
    <w:rsid w:val="57A6426A"/>
    <w:rsid w:val="57BB5C52"/>
    <w:rsid w:val="57C05FDC"/>
    <w:rsid w:val="57E01724"/>
    <w:rsid w:val="57F307C1"/>
    <w:rsid w:val="57FA2BAA"/>
    <w:rsid w:val="57FA43F1"/>
    <w:rsid w:val="580162E5"/>
    <w:rsid w:val="58041F34"/>
    <w:rsid w:val="5815497A"/>
    <w:rsid w:val="581C6799"/>
    <w:rsid w:val="58327181"/>
    <w:rsid w:val="585D149C"/>
    <w:rsid w:val="586621B6"/>
    <w:rsid w:val="589C683B"/>
    <w:rsid w:val="58B9588A"/>
    <w:rsid w:val="58C14572"/>
    <w:rsid w:val="58C73AD7"/>
    <w:rsid w:val="58DA2920"/>
    <w:rsid w:val="58EA0BC9"/>
    <w:rsid w:val="58F020A3"/>
    <w:rsid w:val="58FB332B"/>
    <w:rsid w:val="58FD073F"/>
    <w:rsid w:val="59017975"/>
    <w:rsid w:val="59540A82"/>
    <w:rsid w:val="59594578"/>
    <w:rsid w:val="59631729"/>
    <w:rsid w:val="598A7A09"/>
    <w:rsid w:val="59B33075"/>
    <w:rsid w:val="59B63D96"/>
    <w:rsid w:val="59C13ED2"/>
    <w:rsid w:val="59E6253A"/>
    <w:rsid w:val="59E7033F"/>
    <w:rsid w:val="5A0354F7"/>
    <w:rsid w:val="5A1E5359"/>
    <w:rsid w:val="5A291824"/>
    <w:rsid w:val="5A344ECC"/>
    <w:rsid w:val="5A390B46"/>
    <w:rsid w:val="5A492723"/>
    <w:rsid w:val="5A5D74BC"/>
    <w:rsid w:val="5A7C5C8F"/>
    <w:rsid w:val="5A90403D"/>
    <w:rsid w:val="5A9D71ED"/>
    <w:rsid w:val="5AA2571A"/>
    <w:rsid w:val="5AB04EDE"/>
    <w:rsid w:val="5AC64C86"/>
    <w:rsid w:val="5ACF4A76"/>
    <w:rsid w:val="5AD51064"/>
    <w:rsid w:val="5ADE295C"/>
    <w:rsid w:val="5AF8170C"/>
    <w:rsid w:val="5AF863F7"/>
    <w:rsid w:val="5B05555C"/>
    <w:rsid w:val="5B1649CC"/>
    <w:rsid w:val="5B244DD8"/>
    <w:rsid w:val="5B2717CA"/>
    <w:rsid w:val="5B295890"/>
    <w:rsid w:val="5B2E4556"/>
    <w:rsid w:val="5B33002E"/>
    <w:rsid w:val="5B3879B9"/>
    <w:rsid w:val="5B436EF0"/>
    <w:rsid w:val="5B4D2B80"/>
    <w:rsid w:val="5B550806"/>
    <w:rsid w:val="5B893F6C"/>
    <w:rsid w:val="5B9F1B41"/>
    <w:rsid w:val="5BA37F28"/>
    <w:rsid w:val="5BAE24A8"/>
    <w:rsid w:val="5BB117B1"/>
    <w:rsid w:val="5BC21E99"/>
    <w:rsid w:val="5BC51BF0"/>
    <w:rsid w:val="5BCF26D8"/>
    <w:rsid w:val="5C0B7CEE"/>
    <w:rsid w:val="5C44015E"/>
    <w:rsid w:val="5C4D41F0"/>
    <w:rsid w:val="5C554BC5"/>
    <w:rsid w:val="5C5E67FA"/>
    <w:rsid w:val="5C7D3D43"/>
    <w:rsid w:val="5C882C4F"/>
    <w:rsid w:val="5C891791"/>
    <w:rsid w:val="5C8962BA"/>
    <w:rsid w:val="5CA70B0A"/>
    <w:rsid w:val="5CBD523A"/>
    <w:rsid w:val="5CCD31A9"/>
    <w:rsid w:val="5CD2475E"/>
    <w:rsid w:val="5CE93A12"/>
    <w:rsid w:val="5CF86CAE"/>
    <w:rsid w:val="5D0B3776"/>
    <w:rsid w:val="5D2C6AEB"/>
    <w:rsid w:val="5D443020"/>
    <w:rsid w:val="5D47572E"/>
    <w:rsid w:val="5D485FD5"/>
    <w:rsid w:val="5D487E79"/>
    <w:rsid w:val="5D516A2D"/>
    <w:rsid w:val="5D65410C"/>
    <w:rsid w:val="5D6C5E39"/>
    <w:rsid w:val="5D71281A"/>
    <w:rsid w:val="5D7D662C"/>
    <w:rsid w:val="5D954FBB"/>
    <w:rsid w:val="5DDC7D5E"/>
    <w:rsid w:val="5DE847B7"/>
    <w:rsid w:val="5E0779FA"/>
    <w:rsid w:val="5E1D5BB1"/>
    <w:rsid w:val="5E1D5F77"/>
    <w:rsid w:val="5E234035"/>
    <w:rsid w:val="5E2911D4"/>
    <w:rsid w:val="5E4F7B9F"/>
    <w:rsid w:val="5E5D1A5A"/>
    <w:rsid w:val="5E751A3D"/>
    <w:rsid w:val="5E7762CF"/>
    <w:rsid w:val="5E8460C1"/>
    <w:rsid w:val="5EB1688A"/>
    <w:rsid w:val="5EBF574D"/>
    <w:rsid w:val="5EC9135A"/>
    <w:rsid w:val="5ED14E5B"/>
    <w:rsid w:val="5EF04B7B"/>
    <w:rsid w:val="5EFF3DE0"/>
    <w:rsid w:val="5F007B24"/>
    <w:rsid w:val="5F106EAF"/>
    <w:rsid w:val="5F283CA5"/>
    <w:rsid w:val="5F305F32"/>
    <w:rsid w:val="5F425A26"/>
    <w:rsid w:val="5F4E3CB5"/>
    <w:rsid w:val="5F7D1E64"/>
    <w:rsid w:val="5F9374D0"/>
    <w:rsid w:val="5FD70C25"/>
    <w:rsid w:val="5FDA48B5"/>
    <w:rsid w:val="5FE25384"/>
    <w:rsid w:val="5FE539C8"/>
    <w:rsid w:val="5FE875BC"/>
    <w:rsid w:val="60671E65"/>
    <w:rsid w:val="607562A7"/>
    <w:rsid w:val="60785778"/>
    <w:rsid w:val="608664A5"/>
    <w:rsid w:val="608C7B28"/>
    <w:rsid w:val="608F41F2"/>
    <w:rsid w:val="609E6925"/>
    <w:rsid w:val="60BA77CD"/>
    <w:rsid w:val="60C63F24"/>
    <w:rsid w:val="60CA2B58"/>
    <w:rsid w:val="60F80C2F"/>
    <w:rsid w:val="613468C2"/>
    <w:rsid w:val="613A48D5"/>
    <w:rsid w:val="61487E7F"/>
    <w:rsid w:val="614C4BCD"/>
    <w:rsid w:val="614F6149"/>
    <w:rsid w:val="61572E4F"/>
    <w:rsid w:val="616128EC"/>
    <w:rsid w:val="616720C6"/>
    <w:rsid w:val="61675F7A"/>
    <w:rsid w:val="61725619"/>
    <w:rsid w:val="617E294F"/>
    <w:rsid w:val="618649E8"/>
    <w:rsid w:val="619104F5"/>
    <w:rsid w:val="61AB7C65"/>
    <w:rsid w:val="61C3512C"/>
    <w:rsid w:val="61DB7979"/>
    <w:rsid w:val="61FC7977"/>
    <w:rsid w:val="62073433"/>
    <w:rsid w:val="620B3059"/>
    <w:rsid w:val="620D753C"/>
    <w:rsid w:val="62181D46"/>
    <w:rsid w:val="626B7791"/>
    <w:rsid w:val="62721747"/>
    <w:rsid w:val="628762A4"/>
    <w:rsid w:val="628C2933"/>
    <w:rsid w:val="628C4312"/>
    <w:rsid w:val="62AB1D8D"/>
    <w:rsid w:val="62C42917"/>
    <w:rsid w:val="62D9309F"/>
    <w:rsid w:val="62DE5A92"/>
    <w:rsid w:val="62DE7E74"/>
    <w:rsid w:val="62E73481"/>
    <w:rsid w:val="62ED42C9"/>
    <w:rsid w:val="62F0419C"/>
    <w:rsid w:val="62FA55D0"/>
    <w:rsid w:val="631A7E52"/>
    <w:rsid w:val="63234C0F"/>
    <w:rsid w:val="634B4DB7"/>
    <w:rsid w:val="634C01CF"/>
    <w:rsid w:val="635665B8"/>
    <w:rsid w:val="637A72AA"/>
    <w:rsid w:val="63A46BE2"/>
    <w:rsid w:val="63A83A82"/>
    <w:rsid w:val="63CB3622"/>
    <w:rsid w:val="63D600F2"/>
    <w:rsid w:val="63E31E9D"/>
    <w:rsid w:val="63E37CE8"/>
    <w:rsid w:val="640434E5"/>
    <w:rsid w:val="64185C22"/>
    <w:rsid w:val="643B275E"/>
    <w:rsid w:val="64411A38"/>
    <w:rsid w:val="64587275"/>
    <w:rsid w:val="646A5BED"/>
    <w:rsid w:val="648D2A22"/>
    <w:rsid w:val="64C4485F"/>
    <w:rsid w:val="64DA076B"/>
    <w:rsid w:val="64E36924"/>
    <w:rsid w:val="64E9112D"/>
    <w:rsid w:val="65014155"/>
    <w:rsid w:val="65142B38"/>
    <w:rsid w:val="6520621E"/>
    <w:rsid w:val="653D68E6"/>
    <w:rsid w:val="65630AA9"/>
    <w:rsid w:val="656A3683"/>
    <w:rsid w:val="656A7144"/>
    <w:rsid w:val="657B048C"/>
    <w:rsid w:val="657F70B1"/>
    <w:rsid w:val="65865107"/>
    <w:rsid w:val="659242EE"/>
    <w:rsid w:val="65B0069A"/>
    <w:rsid w:val="65B61ED7"/>
    <w:rsid w:val="65E9533F"/>
    <w:rsid w:val="65F76683"/>
    <w:rsid w:val="65F93869"/>
    <w:rsid w:val="66060E74"/>
    <w:rsid w:val="660B2971"/>
    <w:rsid w:val="660B5D8E"/>
    <w:rsid w:val="66224F9D"/>
    <w:rsid w:val="66306DCD"/>
    <w:rsid w:val="6632531C"/>
    <w:rsid w:val="66625D91"/>
    <w:rsid w:val="667237CD"/>
    <w:rsid w:val="6686143F"/>
    <w:rsid w:val="66953E2E"/>
    <w:rsid w:val="669F7CBA"/>
    <w:rsid w:val="66AE39AD"/>
    <w:rsid w:val="66B00768"/>
    <w:rsid w:val="66E4039A"/>
    <w:rsid w:val="66FB73E6"/>
    <w:rsid w:val="670A4B9E"/>
    <w:rsid w:val="67171C12"/>
    <w:rsid w:val="671C012D"/>
    <w:rsid w:val="672E507D"/>
    <w:rsid w:val="673936D7"/>
    <w:rsid w:val="67517AFA"/>
    <w:rsid w:val="67805AAD"/>
    <w:rsid w:val="67AB1B26"/>
    <w:rsid w:val="67B265D1"/>
    <w:rsid w:val="67B30E44"/>
    <w:rsid w:val="67C23B71"/>
    <w:rsid w:val="67C501C3"/>
    <w:rsid w:val="67E55296"/>
    <w:rsid w:val="67E87F7F"/>
    <w:rsid w:val="68080A2F"/>
    <w:rsid w:val="681E7CFD"/>
    <w:rsid w:val="68221B5F"/>
    <w:rsid w:val="682633F9"/>
    <w:rsid w:val="68270406"/>
    <w:rsid w:val="68273145"/>
    <w:rsid w:val="682A5BF7"/>
    <w:rsid w:val="68535738"/>
    <w:rsid w:val="68721156"/>
    <w:rsid w:val="687C423F"/>
    <w:rsid w:val="68C25D28"/>
    <w:rsid w:val="68C26E64"/>
    <w:rsid w:val="68D033F3"/>
    <w:rsid w:val="68DC689F"/>
    <w:rsid w:val="68E0170A"/>
    <w:rsid w:val="68EF43CD"/>
    <w:rsid w:val="68F302CC"/>
    <w:rsid w:val="69021666"/>
    <w:rsid w:val="69123CE1"/>
    <w:rsid w:val="69141C2E"/>
    <w:rsid w:val="69184264"/>
    <w:rsid w:val="69284A46"/>
    <w:rsid w:val="69332761"/>
    <w:rsid w:val="693350FB"/>
    <w:rsid w:val="695479FA"/>
    <w:rsid w:val="696F1E02"/>
    <w:rsid w:val="69705CB0"/>
    <w:rsid w:val="69762AAC"/>
    <w:rsid w:val="697826BD"/>
    <w:rsid w:val="69833542"/>
    <w:rsid w:val="69874F79"/>
    <w:rsid w:val="69997553"/>
    <w:rsid w:val="69AA23F5"/>
    <w:rsid w:val="69BF7EC3"/>
    <w:rsid w:val="69D330B4"/>
    <w:rsid w:val="69D830EB"/>
    <w:rsid w:val="69F432B5"/>
    <w:rsid w:val="6A1B5C00"/>
    <w:rsid w:val="6A2835EC"/>
    <w:rsid w:val="6A291175"/>
    <w:rsid w:val="6A2C34AA"/>
    <w:rsid w:val="6A6459AF"/>
    <w:rsid w:val="6A820F91"/>
    <w:rsid w:val="6A824374"/>
    <w:rsid w:val="6A87407F"/>
    <w:rsid w:val="6A99127D"/>
    <w:rsid w:val="6AB8004E"/>
    <w:rsid w:val="6AB861B4"/>
    <w:rsid w:val="6AC255D7"/>
    <w:rsid w:val="6AD70E16"/>
    <w:rsid w:val="6AD96CB7"/>
    <w:rsid w:val="6AFC217D"/>
    <w:rsid w:val="6B0F3C1E"/>
    <w:rsid w:val="6B13077A"/>
    <w:rsid w:val="6B1424DD"/>
    <w:rsid w:val="6B221E5F"/>
    <w:rsid w:val="6B272595"/>
    <w:rsid w:val="6B2B1CE6"/>
    <w:rsid w:val="6B2F5E6F"/>
    <w:rsid w:val="6B356BA5"/>
    <w:rsid w:val="6B4629BA"/>
    <w:rsid w:val="6B4C3CF7"/>
    <w:rsid w:val="6B6B5CD2"/>
    <w:rsid w:val="6B711394"/>
    <w:rsid w:val="6B7C0E69"/>
    <w:rsid w:val="6B882178"/>
    <w:rsid w:val="6BA078E7"/>
    <w:rsid w:val="6BB36B04"/>
    <w:rsid w:val="6BC576AE"/>
    <w:rsid w:val="6BC82F86"/>
    <w:rsid w:val="6BCC1277"/>
    <w:rsid w:val="6BE4278E"/>
    <w:rsid w:val="6BEA1F9C"/>
    <w:rsid w:val="6BFC4F57"/>
    <w:rsid w:val="6C1F76C2"/>
    <w:rsid w:val="6C3706F6"/>
    <w:rsid w:val="6C4E1244"/>
    <w:rsid w:val="6C5B6EEC"/>
    <w:rsid w:val="6C5D2D2B"/>
    <w:rsid w:val="6C6E3EA2"/>
    <w:rsid w:val="6C7765FE"/>
    <w:rsid w:val="6C8008DC"/>
    <w:rsid w:val="6CAA5E4D"/>
    <w:rsid w:val="6CC60DC9"/>
    <w:rsid w:val="6CD44DB3"/>
    <w:rsid w:val="6CDC7845"/>
    <w:rsid w:val="6D000FC4"/>
    <w:rsid w:val="6D031778"/>
    <w:rsid w:val="6D08005D"/>
    <w:rsid w:val="6D0A7C83"/>
    <w:rsid w:val="6D106FB7"/>
    <w:rsid w:val="6D196988"/>
    <w:rsid w:val="6D1C3F9C"/>
    <w:rsid w:val="6D2B7848"/>
    <w:rsid w:val="6D492CA5"/>
    <w:rsid w:val="6D4A67A4"/>
    <w:rsid w:val="6D517127"/>
    <w:rsid w:val="6D54626E"/>
    <w:rsid w:val="6D5D5CC1"/>
    <w:rsid w:val="6D6B744D"/>
    <w:rsid w:val="6D6F171F"/>
    <w:rsid w:val="6DA07DE7"/>
    <w:rsid w:val="6DA721E6"/>
    <w:rsid w:val="6DBE5CD2"/>
    <w:rsid w:val="6DE374BA"/>
    <w:rsid w:val="6DEC6B1D"/>
    <w:rsid w:val="6E1A3D81"/>
    <w:rsid w:val="6E1F2CEB"/>
    <w:rsid w:val="6E20601C"/>
    <w:rsid w:val="6E2A5041"/>
    <w:rsid w:val="6E2C4FDA"/>
    <w:rsid w:val="6E3A38A7"/>
    <w:rsid w:val="6E41574E"/>
    <w:rsid w:val="6E4660D0"/>
    <w:rsid w:val="6E4A043D"/>
    <w:rsid w:val="6E68323D"/>
    <w:rsid w:val="6E6F129A"/>
    <w:rsid w:val="6E8C7E9A"/>
    <w:rsid w:val="6EA7226C"/>
    <w:rsid w:val="6EAD5918"/>
    <w:rsid w:val="6EB13143"/>
    <w:rsid w:val="6EBF0F07"/>
    <w:rsid w:val="6EC3545C"/>
    <w:rsid w:val="6ECA78B1"/>
    <w:rsid w:val="6EFD5C0F"/>
    <w:rsid w:val="6F0211AE"/>
    <w:rsid w:val="6F03116A"/>
    <w:rsid w:val="6F0759D7"/>
    <w:rsid w:val="6F081FAF"/>
    <w:rsid w:val="6F217724"/>
    <w:rsid w:val="6F252E0D"/>
    <w:rsid w:val="6F257D94"/>
    <w:rsid w:val="6F4379DD"/>
    <w:rsid w:val="6F4707F5"/>
    <w:rsid w:val="6F6A055F"/>
    <w:rsid w:val="6F6A09C1"/>
    <w:rsid w:val="6F733EF8"/>
    <w:rsid w:val="6F7478CD"/>
    <w:rsid w:val="6F8310B0"/>
    <w:rsid w:val="6FA66C5B"/>
    <w:rsid w:val="6FAF4A0F"/>
    <w:rsid w:val="6FB917DB"/>
    <w:rsid w:val="6FC80B1A"/>
    <w:rsid w:val="6FD412E1"/>
    <w:rsid w:val="6FE87B68"/>
    <w:rsid w:val="6FEA1D9F"/>
    <w:rsid w:val="6FEE7DF4"/>
    <w:rsid w:val="6FF43A17"/>
    <w:rsid w:val="6FF473BA"/>
    <w:rsid w:val="6FFC588A"/>
    <w:rsid w:val="7017567F"/>
    <w:rsid w:val="70233526"/>
    <w:rsid w:val="70306C17"/>
    <w:rsid w:val="70754C0A"/>
    <w:rsid w:val="70810F20"/>
    <w:rsid w:val="70826A53"/>
    <w:rsid w:val="70956D4D"/>
    <w:rsid w:val="70984F7D"/>
    <w:rsid w:val="709970EF"/>
    <w:rsid w:val="709C1A8C"/>
    <w:rsid w:val="70B27B70"/>
    <w:rsid w:val="70CE09C3"/>
    <w:rsid w:val="70E41A32"/>
    <w:rsid w:val="70F302B4"/>
    <w:rsid w:val="710C1A43"/>
    <w:rsid w:val="710E7A9F"/>
    <w:rsid w:val="71147566"/>
    <w:rsid w:val="71287630"/>
    <w:rsid w:val="712C1AEB"/>
    <w:rsid w:val="713148BC"/>
    <w:rsid w:val="71371CF9"/>
    <w:rsid w:val="713E5AE7"/>
    <w:rsid w:val="71464190"/>
    <w:rsid w:val="716F1C44"/>
    <w:rsid w:val="717E7A69"/>
    <w:rsid w:val="71806D32"/>
    <w:rsid w:val="71AD6FAE"/>
    <w:rsid w:val="71AE30B5"/>
    <w:rsid w:val="71C170C7"/>
    <w:rsid w:val="71C27EC8"/>
    <w:rsid w:val="71C33DD0"/>
    <w:rsid w:val="71D83B53"/>
    <w:rsid w:val="72005AE6"/>
    <w:rsid w:val="72104AC2"/>
    <w:rsid w:val="72124041"/>
    <w:rsid w:val="72135B21"/>
    <w:rsid w:val="721601E1"/>
    <w:rsid w:val="72337620"/>
    <w:rsid w:val="723F5BDB"/>
    <w:rsid w:val="72570EA7"/>
    <w:rsid w:val="72726B56"/>
    <w:rsid w:val="727355E2"/>
    <w:rsid w:val="72A11E23"/>
    <w:rsid w:val="72A322A5"/>
    <w:rsid w:val="72AF0917"/>
    <w:rsid w:val="72B3210B"/>
    <w:rsid w:val="72CF7ADB"/>
    <w:rsid w:val="72E75951"/>
    <w:rsid w:val="72E91B02"/>
    <w:rsid w:val="72F9284C"/>
    <w:rsid w:val="72FF3233"/>
    <w:rsid w:val="732650C3"/>
    <w:rsid w:val="733C616F"/>
    <w:rsid w:val="7340334A"/>
    <w:rsid w:val="734A7EB9"/>
    <w:rsid w:val="734F3E6D"/>
    <w:rsid w:val="73586DC3"/>
    <w:rsid w:val="735B05AA"/>
    <w:rsid w:val="736811C4"/>
    <w:rsid w:val="73725CC7"/>
    <w:rsid w:val="73920BE9"/>
    <w:rsid w:val="739B35DE"/>
    <w:rsid w:val="73DA0AAB"/>
    <w:rsid w:val="73FA2A89"/>
    <w:rsid w:val="73FE207D"/>
    <w:rsid w:val="73FF32CB"/>
    <w:rsid w:val="7405758D"/>
    <w:rsid w:val="74301EA6"/>
    <w:rsid w:val="74386E56"/>
    <w:rsid w:val="7439010A"/>
    <w:rsid w:val="74622F2F"/>
    <w:rsid w:val="746A031C"/>
    <w:rsid w:val="747636CD"/>
    <w:rsid w:val="7497088D"/>
    <w:rsid w:val="74A30572"/>
    <w:rsid w:val="74AA32BF"/>
    <w:rsid w:val="74C17E67"/>
    <w:rsid w:val="74C73FE3"/>
    <w:rsid w:val="74DC5A55"/>
    <w:rsid w:val="74E71A82"/>
    <w:rsid w:val="74F64E3F"/>
    <w:rsid w:val="74FD1B30"/>
    <w:rsid w:val="751D0E17"/>
    <w:rsid w:val="754A05DC"/>
    <w:rsid w:val="75942A40"/>
    <w:rsid w:val="75A023F2"/>
    <w:rsid w:val="75C33053"/>
    <w:rsid w:val="75C5780F"/>
    <w:rsid w:val="75E4528E"/>
    <w:rsid w:val="75FB2A56"/>
    <w:rsid w:val="75FF18EA"/>
    <w:rsid w:val="76023351"/>
    <w:rsid w:val="76060D91"/>
    <w:rsid w:val="761730DD"/>
    <w:rsid w:val="762514F1"/>
    <w:rsid w:val="762C5C47"/>
    <w:rsid w:val="765512FB"/>
    <w:rsid w:val="765E31FB"/>
    <w:rsid w:val="766477E6"/>
    <w:rsid w:val="76687032"/>
    <w:rsid w:val="7672045B"/>
    <w:rsid w:val="76766B2A"/>
    <w:rsid w:val="767F2D37"/>
    <w:rsid w:val="768259E2"/>
    <w:rsid w:val="76895AED"/>
    <w:rsid w:val="7698131F"/>
    <w:rsid w:val="76984EB1"/>
    <w:rsid w:val="76991A17"/>
    <w:rsid w:val="76AE6448"/>
    <w:rsid w:val="76BA50E5"/>
    <w:rsid w:val="76C42FE0"/>
    <w:rsid w:val="76D42781"/>
    <w:rsid w:val="76D81D5A"/>
    <w:rsid w:val="77067FBD"/>
    <w:rsid w:val="771672D4"/>
    <w:rsid w:val="771A06F0"/>
    <w:rsid w:val="77236D53"/>
    <w:rsid w:val="772A5AB9"/>
    <w:rsid w:val="7731080D"/>
    <w:rsid w:val="7737633C"/>
    <w:rsid w:val="774D3DC3"/>
    <w:rsid w:val="776A22E2"/>
    <w:rsid w:val="776D6580"/>
    <w:rsid w:val="778C04E9"/>
    <w:rsid w:val="778F2765"/>
    <w:rsid w:val="77AC60FB"/>
    <w:rsid w:val="77B360B7"/>
    <w:rsid w:val="77BE4FE1"/>
    <w:rsid w:val="77E22291"/>
    <w:rsid w:val="78125407"/>
    <w:rsid w:val="78163E0D"/>
    <w:rsid w:val="78300AEE"/>
    <w:rsid w:val="78316776"/>
    <w:rsid w:val="784F14F7"/>
    <w:rsid w:val="78507637"/>
    <w:rsid w:val="78570B0F"/>
    <w:rsid w:val="7859168E"/>
    <w:rsid w:val="7867796C"/>
    <w:rsid w:val="787F40EE"/>
    <w:rsid w:val="78827560"/>
    <w:rsid w:val="78985EAB"/>
    <w:rsid w:val="789E5F80"/>
    <w:rsid w:val="78A74161"/>
    <w:rsid w:val="78B4709E"/>
    <w:rsid w:val="78B57BD3"/>
    <w:rsid w:val="78C14DB7"/>
    <w:rsid w:val="78C243BF"/>
    <w:rsid w:val="78D81144"/>
    <w:rsid w:val="78F669DD"/>
    <w:rsid w:val="79047D24"/>
    <w:rsid w:val="792073FF"/>
    <w:rsid w:val="79255B1E"/>
    <w:rsid w:val="79327BE3"/>
    <w:rsid w:val="793423B9"/>
    <w:rsid w:val="794674FF"/>
    <w:rsid w:val="794F5E9D"/>
    <w:rsid w:val="7950305C"/>
    <w:rsid w:val="79556476"/>
    <w:rsid w:val="79596ED9"/>
    <w:rsid w:val="796606AB"/>
    <w:rsid w:val="79713968"/>
    <w:rsid w:val="797279F9"/>
    <w:rsid w:val="798B6440"/>
    <w:rsid w:val="79957930"/>
    <w:rsid w:val="79976759"/>
    <w:rsid w:val="799C0BFC"/>
    <w:rsid w:val="79B50C6F"/>
    <w:rsid w:val="79C3787E"/>
    <w:rsid w:val="79D319E8"/>
    <w:rsid w:val="79E06AB0"/>
    <w:rsid w:val="79E5068F"/>
    <w:rsid w:val="7A0527D6"/>
    <w:rsid w:val="7A073B40"/>
    <w:rsid w:val="7A1A2327"/>
    <w:rsid w:val="7A1E66A7"/>
    <w:rsid w:val="7A2B12D7"/>
    <w:rsid w:val="7A3E3C86"/>
    <w:rsid w:val="7A421F6B"/>
    <w:rsid w:val="7A4A456D"/>
    <w:rsid w:val="7A4C538F"/>
    <w:rsid w:val="7A594BC2"/>
    <w:rsid w:val="7A9C129D"/>
    <w:rsid w:val="7AAC617C"/>
    <w:rsid w:val="7ABB0835"/>
    <w:rsid w:val="7ABE7A74"/>
    <w:rsid w:val="7AC3193E"/>
    <w:rsid w:val="7ACB1468"/>
    <w:rsid w:val="7AD825ED"/>
    <w:rsid w:val="7AE7522B"/>
    <w:rsid w:val="7AF11E4A"/>
    <w:rsid w:val="7AFC756B"/>
    <w:rsid w:val="7B0A616D"/>
    <w:rsid w:val="7B1530FA"/>
    <w:rsid w:val="7B341651"/>
    <w:rsid w:val="7B5C211A"/>
    <w:rsid w:val="7B6A65F9"/>
    <w:rsid w:val="7B73525D"/>
    <w:rsid w:val="7B754167"/>
    <w:rsid w:val="7B761A22"/>
    <w:rsid w:val="7B841502"/>
    <w:rsid w:val="7B856B69"/>
    <w:rsid w:val="7B977186"/>
    <w:rsid w:val="7BA51FAA"/>
    <w:rsid w:val="7BA71431"/>
    <w:rsid w:val="7BAB65F0"/>
    <w:rsid w:val="7BC5601A"/>
    <w:rsid w:val="7BE067C0"/>
    <w:rsid w:val="7BF7355E"/>
    <w:rsid w:val="7C041716"/>
    <w:rsid w:val="7C0734B8"/>
    <w:rsid w:val="7C0F6F8D"/>
    <w:rsid w:val="7C1832E2"/>
    <w:rsid w:val="7C2C3168"/>
    <w:rsid w:val="7C60764A"/>
    <w:rsid w:val="7C7F077B"/>
    <w:rsid w:val="7C9A2C55"/>
    <w:rsid w:val="7C9E0E6D"/>
    <w:rsid w:val="7CB570A3"/>
    <w:rsid w:val="7CC85D2E"/>
    <w:rsid w:val="7CFA0A3C"/>
    <w:rsid w:val="7CFB25C5"/>
    <w:rsid w:val="7D024938"/>
    <w:rsid w:val="7D0432EA"/>
    <w:rsid w:val="7D071A67"/>
    <w:rsid w:val="7D153027"/>
    <w:rsid w:val="7D240558"/>
    <w:rsid w:val="7D4E4391"/>
    <w:rsid w:val="7D5144DA"/>
    <w:rsid w:val="7D6A50D1"/>
    <w:rsid w:val="7D6C1F0C"/>
    <w:rsid w:val="7D6F7C2B"/>
    <w:rsid w:val="7D7B5BD6"/>
    <w:rsid w:val="7D812A55"/>
    <w:rsid w:val="7D9828AA"/>
    <w:rsid w:val="7DA15DD8"/>
    <w:rsid w:val="7DA54E7B"/>
    <w:rsid w:val="7DAD4B1E"/>
    <w:rsid w:val="7DCE4670"/>
    <w:rsid w:val="7DDB6F5C"/>
    <w:rsid w:val="7DDF08B2"/>
    <w:rsid w:val="7DDF7781"/>
    <w:rsid w:val="7E1A1B7E"/>
    <w:rsid w:val="7E2F58AE"/>
    <w:rsid w:val="7E464EB2"/>
    <w:rsid w:val="7E525568"/>
    <w:rsid w:val="7E5724CE"/>
    <w:rsid w:val="7E5B4BE3"/>
    <w:rsid w:val="7E6C79E8"/>
    <w:rsid w:val="7E6E14DC"/>
    <w:rsid w:val="7EB5709B"/>
    <w:rsid w:val="7EB83A78"/>
    <w:rsid w:val="7EB90785"/>
    <w:rsid w:val="7EDA31B4"/>
    <w:rsid w:val="7EE97E69"/>
    <w:rsid w:val="7EEF15E6"/>
    <w:rsid w:val="7F0F3C4C"/>
    <w:rsid w:val="7F102E25"/>
    <w:rsid w:val="7F2B3490"/>
    <w:rsid w:val="7F81479C"/>
    <w:rsid w:val="7F961536"/>
    <w:rsid w:val="7FB772DD"/>
    <w:rsid w:val="7FD5728C"/>
    <w:rsid w:val="7FE66A22"/>
    <w:rsid w:val="7FED0787"/>
    <w:rsid w:val="7FF3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楷体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5">
    <w:name w:val="heading 2"/>
    <w:basedOn w:val="1"/>
    <w:next w:val="1"/>
    <w:link w:val="34"/>
    <w:qFormat/>
    <w:uiPriority w:val="0"/>
    <w:pPr>
      <w:keepNext/>
      <w:keepLines/>
      <w:numPr>
        <w:ilvl w:val="0"/>
        <w:numId w:val="2"/>
      </w:numPr>
      <w:spacing w:line="360" w:lineRule="auto"/>
      <w:outlineLvl w:val="1"/>
    </w:pPr>
    <w:rPr>
      <w:rFonts w:ascii="Arial" w:hAnsi="Arial"/>
      <w:b/>
      <w:bCs/>
      <w:sz w:val="28"/>
      <w:szCs w:val="32"/>
    </w:rPr>
  </w:style>
  <w:style w:type="paragraph" w:styleId="6">
    <w:name w:val="heading 3"/>
    <w:basedOn w:val="1"/>
    <w:next w:val="1"/>
    <w:qFormat/>
    <w:uiPriority w:val="0"/>
    <w:pPr>
      <w:keepNext/>
      <w:keepLines/>
      <w:outlineLvl w:val="2"/>
    </w:pPr>
    <w:rPr>
      <w:rFonts w:ascii="宋体" w:hAnsi="宋体" w:eastAsia="黑体"/>
      <w:bCs/>
      <w:sz w:val="24"/>
      <w:szCs w:val="28"/>
    </w:rPr>
  </w:style>
  <w:style w:type="paragraph" w:styleId="7">
    <w:name w:val="heading 5"/>
    <w:basedOn w:val="1"/>
    <w:next w:val="1"/>
    <w:unhideWhenUsed/>
    <w:qFormat/>
    <w:uiPriority w:val="9"/>
    <w:pPr>
      <w:keepNext/>
      <w:keepLines/>
      <w:spacing w:before="280" w:after="290" w:line="376" w:lineRule="auto"/>
      <w:outlineLvl w:val="4"/>
    </w:pPr>
    <w:rPr>
      <w:b/>
      <w:bCs/>
      <w:sz w:val="28"/>
      <w:szCs w:val="28"/>
    </w:rPr>
  </w:style>
  <w:style w:type="paragraph" w:styleId="8">
    <w:name w:val="heading 9"/>
    <w:basedOn w:val="1"/>
    <w:next w:val="1"/>
    <w:link w:val="52"/>
    <w:semiHidden/>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99"/>
    <w:pPr>
      <w:spacing w:before="240" w:after="60"/>
      <w:jc w:val="center"/>
      <w:outlineLvl w:val="0"/>
    </w:pPr>
    <w:rPr>
      <w:rFonts w:ascii="Cambria" w:hAnsi="Cambria"/>
      <w:b/>
      <w:bCs/>
      <w:kern w:val="0"/>
      <w:sz w:val="32"/>
      <w:szCs w:val="32"/>
    </w:rPr>
  </w:style>
  <w:style w:type="paragraph" w:styleId="9">
    <w:name w:val="Normal Indent"/>
    <w:basedOn w:val="1"/>
    <w:qFormat/>
    <w:uiPriority w:val="0"/>
    <w:pPr>
      <w:ind w:firstLine="420"/>
    </w:pPr>
    <w:rPr>
      <w:szCs w:val="20"/>
    </w:rPr>
  </w:style>
  <w:style w:type="paragraph" w:styleId="10">
    <w:name w:val="annotation text"/>
    <w:basedOn w:val="1"/>
    <w:qFormat/>
    <w:uiPriority w:val="0"/>
    <w:pPr>
      <w:jc w:val="left"/>
    </w:pPr>
  </w:style>
  <w:style w:type="paragraph" w:styleId="11">
    <w:name w:val="Body Text 3"/>
    <w:basedOn w:val="1"/>
    <w:qFormat/>
    <w:uiPriority w:val="0"/>
    <w:pPr>
      <w:spacing w:beforeLines="50"/>
    </w:pPr>
    <w:rPr>
      <w:rFonts w:ascii="宋体" w:hAnsi="宋体"/>
      <w:szCs w:val="20"/>
    </w:rPr>
  </w:style>
  <w:style w:type="paragraph" w:styleId="12">
    <w:name w:val="Body Text Indent"/>
    <w:basedOn w:val="1"/>
    <w:next w:val="13"/>
    <w:link w:val="49"/>
    <w:qFormat/>
    <w:uiPriority w:val="0"/>
    <w:pPr>
      <w:spacing w:after="120"/>
      <w:ind w:left="420" w:leftChars="200"/>
    </w:pPr>
  </w:style>
  <w:style w:type="paragraph" w:styleId="13">
    <w:name w:val="envelope return"/>
    <w:basedOn w:val="1"/>
    <w:unhideWhenUsed/>
    <w:qFormat/>
    <w:uiPriority w:val="99"/>
    <w:pPr>
      <w:snapToGrid w:val="0"/>
      <w:ind w:firstLine="200"/>
    </w:pPr>
    <w:rPr>
      <w:rFonts w:ascii="Arial" w:hAnsi="Arial" w:cs="Arial"/>
      <w:szCs w:val="20"/>
    </w:rPr>
  </w:style>
  <w:style w:type="paragraph" w:styleId="14">
    <w:name w:val="Plain Text"/>
    <w:basedOn w:val="1"/>
    <w:qFormat/>
    <w:uiPriority w:val="0"/>
    <w:rPr>
      <w:rFonts w:ascii="宋体" w:hAnsi="Courier New"/>
      <w:szCs w:val="20"/>
    </w:rPr>
  </w:style>
  <w:style w:type="paragraph" w:styleId="15">
    <w:name w:val="Balloon Text"/>
    <w:basedOn w:val="1"/>
    <w:link w:val="45"/>
    <w:qFormat/>
    <w:uiPriority w:val="0"/>
    <w:rPr>
      <w:sz w:val="18"/>
      <w:szCs w:val="18"/>
    </w:rPr>
  </w:style>
  <w:style w:type="paragraph" w:styleId="16">
    <w:name w:val="footer"/>
    <w:basedOn w:val="1"/>
    <w:link w:val="48"/>
    <w:qFormat/>
    <w:uiPriority w:val="99"/>
    <w:pPr>
      <w:tabs>
        <w:tab w:val="center" w:pos="4153"/>
        <w:tab w:val="right" w:pos="8306"/>
      </w:tabs>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before="120" w:after="120"/>
      <w:jc w:val="left"/>
    </w:pPr>
    <w:rPr>
      <w:rFonts w:cs="Calibri"/>
      <w:b/>
      <w:bCs/>
      <w:caps/>
      <w:sz w:val="20"/>
      <w:szCs w:val="20"/>
    </w:rPr>
  </w:style>
  <w:style w:type="paragraph" w:styleId="19">
    <w:name w:val="footnote text"/>
    <w:basedOn w:val="1"/>
    <w:unhideWhenUsed/>
    <w:qFormat/>
    <w:uiPriority w:val="0"/>
    <w:pPr>
      <w:snapToGrid w:val="0"/>
      <w:jc w:val="left"/>
    </w:pPr>
    <w:rPr>
      <w:sz w:val="18"/>
      <w:szCs w:val="18"/>
    </w:rPr>
  </w:style>
  <w:style w:type="paragraph" w:styleId="20">
    <w:name w:val="Normal (Web)"/>
    <w:basedOn w:val="1"/>
    <w:qFormat/>
    <w:uiPriority w:val="0"/>
    <w:pPr>
      <w:widowControl/>
      <w:spacing w:beforeAutospacing="1" w:afterAutospacing="1"/>
      <w:jc w:val="left"/>
    </w:pPr>
    <w:rPr>
      <w:rFonts w:ascii="宋体" w:hAnsi="宋体" w:eastAsia="宋体" w:cs="宋体"/>
      <w:kern w:val="0"/>
      <w:sz w:val="24"/>
    </w:rPr>
  </w:style>
  <w:style w:type="paragraph" w:styleId="21">
    <w:name w:val="index 1"/>
    <w:basedOn w:val="1"/>
    <w:next w:val="1"/>
    <w:semiHidden/>
    <w:qFormat/>
    <w:uiPriority w:val="0"/>
    <w:pPr>
      <w:spacing w:line="220" w:lineRule="exact"/>
      <w:jc w:val="center"/>
    </w:pPr>
    <w:rPr>
      <w:rFonts w:ascii="仿宋_GB2312" w:eastAsia="仿宋_GB2312"/>
      <w:szCs w:val="21"/>
    </w:rPr>
  </w:style>
  <w:style w:type="paragraph" w:styleId="22">
    <w:name w:val="Body Text First Indent 2"/>
    <w:basedOn w:val="12"/>
    <w:link w:val="50"/>
    <w:qFormat/>
    <w:uiPriority w:val="0"/>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rFonts w:ascii="Verdana" w:hAnsi="Verdana"/>
      <w:b/>
      <w:kern w:val="0"/>
      <w:szCs w:val="20"/>
      <w:lang w:eastAsia="en-US"/>
    </w:rPr>
  </w:style>
  <w:style w:type="character" w:styleId="27">
    <w:name w:val="page number"/>
    <w:basedOn w:val="25"/>
    <w:qFormat/>
    <w:uiPriority w:val="0"/>
  </w:style>
  <w:style w:type="character" w:styleId="28">
    <w:name w:val="annotation reference"/>
    <w:qFormat/>
    <w:uiPriority w:val="0"/>
    <w:rPr>
      <w:sz w:val="21"/>
      <w:szCs w:val="21"/>
    </w:rPr>
  </w:style>
  <w:style w:type="character" w:styleId="29">
    <w:name w:val="footnote reference"/>
    <w:qFormat/>
    <w:uiPriority w:val="0"/>
    <w:rPr>
      <w:vertAlign w:val="superscript"/>
    </w:rPr>
  </w:style>
  <w:style w:type="paragraph" w:customStyle="1" w:styleId="30">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1">
    <w:name w:val="表格"/>
    <w:basedOn w:val="1"/>
    <w:qFormat/>
    <w:uiPriority w:val="0"/>
    <w:pPr>
      <w:textAlignment w:val="center"/>
    </w:pPr>
    <w:rPr>
      <w:rFonts w:ascii="华文细黑" w:hAnsi="华文细黑"/>
      <w:kern w:val="0"/>
      <w:szCs w:val="20"/>
    </w:rPr>
  </w:style>
  <w:style w:type="paragraph" w:customStyle="1" w:styleId="32">
    <w:name w:val="正文 题目"/>
    <w:basedOn w:val="1"/>
    <w:qFormat/>
    <w:uiPriority w:val="0"/>
    <w:pPr>
      <w:jc w:val="center"/>
    </w:pPr>
    <w:rPr>
      <w:rFonts w:ascii="黑体" w:hAnsi="黑体" w:eastAsia="黑体"/>
      <w:sz w:val="28"/>
    </w:rPr>
  </w:style>
  <w:style w:type="paragraph" w:customStyle="1" w:styleId="33">
    <w:name w:val="列出段落1"/>
    <w:basedOn w:val="1"/>
    <w:qFormat/>
    <w:uiPriority w:val="99"/>
    <w:rPr>
      <w:rFonts w:ascii="Times New Roman" w:hAnsi="Times New Roman"/>
    </w:rPr>
  </w:style>
  <w:style w:type="character" w:customStyle="1" w:styleId="34">
    <w:name w:val="标题 2 字符"/>
    <w:link w:val="5"/>
    <w:qFormat/>
    <w:uiPriority w:val="0"/>
    <w:rPr>
      <w:rFonts w:ascii="Arial" w:hAnsi="Arial"/>
      <w:b/>
      <w:bCs/>
      <w:sz w:val="28"/>
      <w:szCs w:val="32"/>
    </w:rPr>
  </w:style>
  <w:style w:type="paragraph" w:customStyle="1" w:styleId="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6">
    <w:name w:val="WPSOffice手动目录 1"/>
    <w:qFormat/>
    <w:uiPriority w:val="0"/>
    <w:rPr>
      <w:rFonts w:asciiTheme="minorHAnsi" w:hAnsiTheme="minorHAnsi" w:eastAsiaTheme="minorEastAsia" w:cstheme="minorBidi"/>
      <w:lang w:val="en-US" w:eastAsia="zh-CN" w:bidi="ar-SA"/>
    </w:rPr>
  </w:style>
  <w:style w:type="paragraph" w:customStyle="1" w:styleId="37">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8">
    <w:name w:val="font21"/>
    <w:basedOn w:val="25"/>
    <w:qFormat/>
    <w:uiPriority w:val="0"/>
    <w:rPr>
      <w:rFonts w:hint="eastAsia" w:ascii="宋体" w:hAnsi="宋体" w:eastAsia="宋体" w:cs="宋体"/>
      <w:color w:val="000000"/>
      <w:sz w:val="24"/>
      <w:szCs w:val="24"/>
      <w:u w:val="none"/>
    </w:rPr>
  </w:style>
  <w:style w:type="character" w:customStyle="1" w:styleId="39">
    <w:name w:val="font01"/>
    <w:basedOn w:val="25"/>
    <w:qFormat/>
    <w:uiPriority w:val="0"/>
    <w:rPr>
      <w:rFonts w:hint="default" w:ascii="Times New Roman" w:hAnsi="Times New Roman" w:cs="Times New Roman"/>
      <w:color w:val="000000"/>
      <w:sz w:val="24"/>
      <w:szCs w:val="24"/>
      <w:u w:val="none"/>
    </w:rPr>
  </w:style>
  <w:style w:type="character" w:customStyle="1" w:styleId="40">
    <w:name w:val="font11"/>
    <w:basedOn w:val="25"/>
    <w:qFormat/>
    <w:uiPriority w:val="0"/>
    <w:rPr>
      <w:rFonts w:hint="default" w:ascii="Times New Roman" w:hAnsi="Times New Roman" w:cs="Times New Roman"/>
      <w:color w:val="000000"/>
      <w:sz w:val="20"/>
      <w:szCs w:val="20"/>
      <w:u w:val="none"/>
    </w:rPr>
  </w:style>
  <w:style w:type="character" w:customStyle="1" w:styleId="41">
    <w:name w:val="font31"/>
    <w:basedOn w:val="25"/>
    <w:qFormat/>
    <w:uiPriority w:val="0"/>
    <w:rPr>
      <w:rFonts w:hint="eastAsia" w:ascii="宋体" w:hAnsi="宋体" w:eastAsia="宋体" w:cs="宋体"/>
      <w:color w:val="000000"/>
      <w:sz w:val="20"/>
      <w:szCs w:val="20"/>
      <w:u w:val="none"/>
    </w:rPr>
  </w:style>
  <w:style w:type="paragraph" w:customStyle="1" w:styleId="42">
    <w:name w:val="格式4"/>
    <w:basedOn w:val="1"/>
    <w:qFormat/>
    <w:uiPriority w:val="0"/>
    <w:pPr>
      <w:spacing w:line="420" w:lineRule="exact"/>
      <w:ind w:left="990" w:leftChars="300" w:hanging="360" w:hangingChars="150"/>
    </w:pPr>
    <w:rPr>
      <w:rFonts w:ascii="宋体" w:hAnsi="宋体"/>
      <w:color w:val="000000"/>
      <w:sz w:val="24"/>
    </w:rPr>
  </w:style>
  <w:style w:type="character" w:customStyle="1" w:styleId="43">
    <w:name w:val="font41"/>
    <w:basedOn w:val="25"/>
    <w:qFormat/>
    <w:uiPriority w:val="0"/>
    <w:rPr>
      <w:rFonts w:hint="eastAsia" w:ascii="仿宋" w:hAnsi="仿宋" w:eastAsia="仿宋" w:cs="仿宋"/>
      <w:color w:val="000000"/>
      <w:sz w:val="21"/>
      <w:szCs w:val="21"/>
      <w:u w:val="none"/>
    </w:rPr>
  </w:style>
  <w:style w:type="paragraph" w:customStyle="1" w:styleId="44">
    <w:name w:val="Char"/>
    <w:basedOn w:val="1"/>
    <w:qFormat/>
    <w:uiPriority w:val="0"/>
    <w:rPr>
      <w:rFonts w:ascii="Tahoma" w:hAnsi="Tahoma"/>
      <w:sz w:val="24"/>
      <w:szCs w:val="20"/>
    </w:rPr>
  </w:style>
  <w:style w:type="character" w:customStyle="1" w:styleId="45">
    <w:name w:val="批注框文本 字符"/>
    <w:basedOn w:val="25"/>
    <w:link w:val="15"/>
    <w:qFormat/>
    <w:uiPriority w:val="0"/>
    <w:rPr>
      <w:rFonts w:asciiTheme="minorHAnsi" w:hAnsiTheme="minorHAnsi" w:eastAsiaTheme="minorEastAsia" w:cstheme="minorBidi"/>
      <w:kern w:val="2"/>
      <w:sz w:val="18"/>
      <w:szCs w:val="18"/>
    </w:rPr>
  </w:style>
  <w:style w:type="character" w:customStyle="1" w:styleId="46">
    <w:name w:val="font112"/>
    <w:basedOn w:val="25"/>
    <w:qFormat/>
    <w:uiPriority w:val="0"/>
    <w:rPr>
      <w:rFonts w:hint="eastAsia" w:ascii="宋体" w:hAnsi="宋体" w:eastAsia="宋体" w:cs="宋体"/>
      <w:color w:val="000000"/>
      <w:sz w:val="18"/>
      <w:szCs w:val="18"/>
      <w:u w:val="none"/>
    </w:rPr>
  </w:style>
  <w:style w:type="paragraph" w:styleId="47">
    <w:name w:val="List Paragraph"/>
    <w:basedOn w:val="1"/>
    <w:qFormat/>
    <w:uiPriority w:val="99"/>
    <w:pPr>
      <w:ind w:firstLine="420" w:firstLineChars="200"/>
    </w:pPr>
  </w:style>
  <w:style w:type="character" w:customStyle="1" w:styleId="48">
    <w:name w:val="页脚 字符"/>
    <w:basedOn w:val="25"/>
    <w:link w:val="16"/>
    <w:qFormat/>
    <w:uiPriority w:val="99"/>
    <w:rPr>
      <w:rFonts w:asciiTheme="minorHAnsi" w:hAnsiTheme="minorHAnsi" w:eastAsiaTheme="minorEastAsia" w:cstheme="minorBidi"/>
      <w:kern w:val="2"/>
      <w:sz w:val="18"/>
      <w:szCs w:val="18"/>
    </w:rPr>
  </w:style>
  <w:style w:type="character" w:customStyle="1" w:styleId="49">
    <w:name w:val="正文文本缩进 字符"/>
    <w:basedOn w:val="25"/>
    <w:link w:val="12"/>
    <w:qFormat/>
    <w:uiPriority w:val="0"/>
    <w:rPr>
      <w:rFonts w:asciiTheme="minorHAnsi" w:hAnsiTheme="minorHAnsi" w:eastAsiaTheme="minorEastAsia" w:cstheme="minorBidi"/>
      <w:kern w:val="2"/>
      <w:sz w:val="21"/>
      <w:szCs w:val="24"/>
    </w:rPr>
  </w:style>
  <w:style w:type="character" w:customStyle="1" w:styleId="50">
    <w:name w:val="正文文本首行缩进 2 字符"/>
    <w:basedOn w:val="49"/>
    <w:link w:val="22"/>
    <w:qFormat/>
    <w:uiPriority w:val="0"/>
    <w:rPr>
      <w:rFonts w:asciiTheme="minorHAnsi" w:hAnsiTheme="minorHAnsi" w:eastAsiaTheme="minorEastAsia" w:cstheme="minorBidi"/>
      <w:kern w:val="2"/>
      <w:sz w:val="21"/>
      <w:szCs w:val="24"/>
    </w:rPr>
  </w:style>
  <w:style w:type="paragraph" w:customStyle="1" w:styleId="51">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52">
    <w:name w:val="标题 9 字符"/>
    <w:basedOn w:val="25"/>
    <w:link w:val="8"/>
    <w:semiHidden/>
    <w:qFormat/>
    <w:uiPriority w:val="0"/>
    <w:rPr>
      <w:rFonts w:asciiTheme="majorHAnsi" w:hAnsiTheme="majorHAnsi" w:eastAsiaTheme="majorEastAsia" w:cstheme="majorBidi"/>
      <w:kern w:val="2"/>
      <w:sz w:val="21"/>
      <w:szCs w:val="21"/>
    </w:rPr>
  </w:style>
  <w:style w:type="paragraph" w:customStyle="1" w:styleId="53">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0CEF7-3B00-4EBA-A98F-2612ABC4735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2380</Words>
  <Characters>13570</Characters>
  <Lines>113</Lines>
  <Paragraphs>31</Paragraphs>
  <TotalTime>543</TotalTime>
  <ScaleCrop>false</ScaleCrop>
  <LinksUpToDate>false</LinksUpToDate>
  <CharactersWithSpaces>15919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齐子鹤</cp:lastModifiedBy>
  <cp:lastPrinted>2023-07-26T02:33:00Z</cp:lastPrinted>
  <dcterms:modified xsi:type="dcterms:W3CDTF">2023-07-31T08:45:38Z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A4E510C77CE6484299BF398820A0A6ED_13</vt:lpwstr>
  </property>
</Properties>
</file>