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8A648">
      <w:pPr>
        <w:widowControl/>
        <w:jc w:val="both"/>
        <w:rPr>
          <w:rFonts w:ascii="Times New Roman" w:hAnsi="Times New Roman" w:eastAsia="宋体" w:cs="Times New Roman"/>
          <w:color w:val="auto"/>
          <w:sz w:val="24"/>
        </w:rPr>
      </w:pPr>
    </w:p>
    <w:p w14:paraId="571F178B">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color w:val="auto"/>
          <w:sz w:val="36"/>
          <w:szCs w:val="36"/>
          <w:lang w:val="en-US" w:eastAsia="zh-CN"/>
        </w:rPr>
      </w:pPr>
      <w:r>
        <w:rPr>
          <w:rFonts w:hint="eastAsia" w:ascii="Times New Roman" w:hAnsi="Times New Roman" w:eastAsia="宋体" w:cs="Times New Roman"/>
          <w:b/>
          <w:bCs/>
          <w:color w:val="auto"/>
          <w:sz w:val="44"/>
          <w:szCs w:val="44"/>
          <w:lang w:val="en-US" w:eastAsia="zh-CN"/>
        </w:rPr>
        <w:t>安徽省高速公路试验检测科研中心有限公司</w:t>
      </w:r>
      <w:bookmarkStart w:id="217" w:name="_GoBack"/>
      <w:r>
        <w:rPr>
          <w:rFonts w:hint="eastAsia" w:ascii="Times New Roman" w:hAnsi="Times New Roman" w:eastAsia="宋体" w:cs="Times New Roman"/>
          <w:b/>
          <w:bCs/>
          <w:color w:val="auto"/>
          <w:sz w:val="44"/>
          <w:szCs w:val="44"/>
          <w:lang w:val="en-US" w:eastAsia="zh-CN"/>
        </w:rPr>
        <w:t>2025-2027年生产车辆租赁服务集中采购</w:t>
      </w:r>
    </w:p>
    <w:bookmarkEnd w:id="217"/>
    <w:p w14:paraId="2DEFCD8D">
      <w:pPr>
        <w:pStyle w:val="2"/>
        <w:rPr>
          <w:rFonts w:ascii="Times New Roman" w:hAnsi="Times New Roman" w:cs="Times New Roman"/>
          <w:color w:val="auto"/>
          <w:szCs w:val="21"/>
        </w:rPr>
      </w:pPr>
    </w:p>
    <w:p w14:paraId="3AB793B1">
      <w:pPr>
        <w:pStyle w:val="2"/>
        <w:rPr>
          <w:rFonts w:ascii="Times New Roman" w:hAnsi="Times New Roman" w:cs="Times New Roman"/>
          <w:color w:val="auto"/>
          <w:szCs w:val="21"/>
        </w:rPr>
      </w:pPr>
    </w:p>
    <w:p w14:paraId="3DD8713D">
      <w:pPr>
        <w:pStyle w:val="2"/>
        <w:rPr>
          <w:rFonts w:ascii="Times New Roman" w:hAnsi="Times New Roman" w:cs="Times New Roman"/>
          <w:color w:val="auto"/>
          <w:szCs w:val="21"/>
        </w:rPr>
      </w:pPr>
    </w:p>
    <w:p w14:paraId="3CE3CCC1">
      <w:pPr>
        <w:pStyle w:val="3"/>
        <w:outlineLvl w:val="9"/>
        <w:rPr>
          <w:rFonts w:ascii="Times New Roman" w:hAnsi="Times New Roman" w:cs="Times New Roman"/>
          <w:color w:val="auto"/>
          <w:szCs w:val="21"/>
        </w:rPr>
      </w:pPr>
    </w:p>
    <w:p w14:paraId="142241F8">
      <w:pPr>
        <w:rPr>
          <w:color w:val="auto"/>
        </w:rPr>
      </w:pPr>
    </w:p>
    <w:p w14:paraId="25FC15F5">
      <w:pPr>
        <w:spacing w:line="540" w:lineRule="exact"/>
        <w:ind w:firstLine="420"/>
        <w:rPr>
          <w:rFonts w:ascii="Times New Roman" w:hAnsi="Times New Roman" w:cs="Times New Roman"/>
          <w:color w:val="auto"/>
          <w:szCs w:val="21"/>
        </w:rPr>
      </w:pPr>
    </w:p>
    <w:p w14:paraId="515FE6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 xml:space="preserve">询 </w:t>
      </w:r>
      <w:r>
        <w:rPr>
          <w:rFonts w:hint="eastAsia" w:ascii="Times New Roman" w:hAnsi="Times New Roman" w:eastAsia="黑体" w:cs="Times New Roman"/>
          <w:color w:val="auto"/>
          <w:sz w:val="72"/>
          <w:szCs w:val="72"/>
          <w:lang w:val="en-US" w:eastAsia="zh-CN"/>
        </w:rPr>
        <w:t xml:space="preserve"> </w:t>
      </w:r>
      <w:r>
        <w:rPr>
          <w:rFonts w:ascii="Times New Roman" w:hAnsi="Times New Roman" w:eastAsia="黑体" w:cs="Times New Roman"/>
          <w:color w:val="auto"/>
          <w:sz w:val="72"/>
          <w:szCs w:val="72"/>
        </w:rPr>
        <w:t>比</w:t>
      </w:r>
      <w:r>
        <w:rPr>
          <w:rFonts w:hint="eastAsia" w:ascii="Times New Roman" w:hAnsi="Times New Roman" w:eastAsia="黑体" w:cs="Times New Roman"/>
          <w:color w:val="auto"/>
          <w:sz w:val="72"/>
          <w:szCs w:val="72"/>
          <w:lang w:val="en-US" w:eastAsia="zh-CN"/>
        </w:rPr>
        <w:t xml:space="preserve">  </w:t>
      </w:r>
      <w:r>
        <w:rPr>
          <w:rFonts w:ascii="Times New Roman" w:hAnsi="Times New Roman" w:eastAsia="黑体" w:cs="Times New Roman"/>
          <w:color w:val="auto"/>
          <w:sz w:val="72"/>
          <w:szCs w:val="72"/>
        </w:rPr>
        <w:t>文</w:t>
      </w:r>
      <w:r>
        <w:rPr>
          <w:rFonts w:hint="eastAsia" w:ascii="Times New Roman" w:hAnsi="Times New Roman" w:eastAsia="黑体" w:cs="Times New Roman"/>
          <w:color w:val="auto"/>
          <w:sz w:val="72"/>
          <w:szCs w:val="72"/>
          <w:lang w:val="en-US" w:eastAsia="zh-CN"/>
        </w:rPr>
        <w:t xml:space="preserve">  </w:t>
      </w:r>
      <w:r>
        <w:rPr>
          <w:rFonts w:ascii="Times New Roman" w:hAnsi="Times New Roman" w:eastAsia="黑体" w:cs="Times New Roman"/>
          <w:color w:val="auto"/>
          <w:sz w:val="72"/>
          <w:szCs w:val="72"/>
        </w:rPr>
        <w:t>件</w:t>
      </w:r>
    </w:p>
    <w:p w14:paraId="49096B40">
      <w:pPr>
        <w:spacing w:line="540" w:lineRule="exact"/>
        <w:ind w:firstLine="420"/>
        <w:rPr>
          <w:rFonts w:ascii="Times New Roman" w:hAnsi="Times New Roman" w:cs="Times New Roman"/>
          <w:color w:val="auto"/>
          <w:szCs w:val="21"/>
        </w:rPr>
      </w:pPr>
    </w:p>
    <w:p w14:paraId="6C8CC309">
      <w:pPr>
        <w:spacing w:line="540" w:lineRule="exact"/>
        <w:ind w:firstLine="420"/>
        <w:rPr>
          <w:rFonts w:ascii="Times New Roman" w:hAnsi="Times New Roman" w:cs="Times New Roman"/>
          <w:color w:val="auto"/>
          <w:szCs w:val="21"/>
        </w:rPr>
      </w:pPr>
    </w:p>
    <w:p w14:paraId="0ADE30F0">
      <w:pPr>
        <w:spacing w:line="540" w:lineRule="exact"/>
        <w:ind w:firstLine="420"/>
        <w:rPr>
          <w:rFonts w:ascii="Times New Roman" w:hAnsi="Times New Roman" w:cs="Times New Roman"/>
          <w:color w:val="auto"/>
          <w:szCs w:val="21"/>
        </w:rPr>
      </w:pPr>
    </w:p>
    <w:p w14:paraId="1BC99B9D">
      <w:pPr>
        <w:spacing w:line="540" w:lineRule="exact"/>
        <w:ind w:firstLine="420"/>
        <w:rPr>
          <w:rFonts w:ascii="Times New Roman" w:hAnsi="Times New Roman" w:cs="Times New Roman"/>
          <w:color w:val="auto"/>
          <w:szCs w:val="21"/>
        </w:rPr>
      </w:pPr>
    </w:p>
    <w:p w14:paraId="74E23F11">
      <w:pPr>
        <w:spacing w:line="540" w:lineRule="exact"/>
        <w:ind w:firstLine="420"/>
        <w:rPr>
          <w:rFonts w:ascii="Times New Roman" w:hAnsi="Times New Roman" w:cs="Times New Roman"/>
          <w:color w:val="auto"/>
          <w:szCs w:val="21"/>
        </w:rPr>
      </w:pPr>
    </w:p>
    <w:p w14:paraId="6F2E2CFD">
      <w:pPr>
        <w:spacing w:line="540" w:lineRule="exact"/>
        <w:ind w:firstLine="420"/>
        <w:rPr>
          <w:rFonts w:ascii="Times New Roman" w:hAnsi="Times New Roman" w:cs="Times New Roman"/>
          <w:color w:val="auto"/>
          <w:szCs w:val="21"/>
        </w:rPr>
      </w:pPr>
    </w:p>
    <w:p w14:paraId="5E66F9FF">
      <w:pPr>
        <w:pStyle w:val="2"/>
        <w:rPr>
          <w:color w:val="auto"/>
        </w:rPr>
      </w:pPr>
    </w:p>
    <w:p w14:paraId="1C62B9EF">
      <w:pPr>
        <w:spacing w:line="540" w:lineRule="exact"/>
        <w:ind w:firstLine="420"/>
        <w:rPr>
          <w:rFonts w:ascii="Times New Roman" w:hAnsi="Times New Roman" w:cs="Times New Roman"/>
          <w:color w:val="auto"/>
          <w:szCs w:val="21"/>
        </w:rPr>
      </w:pPr>
    </w:p>
    <w:p w14:paraId="667DF086">
      <w:pPr>
        <w:spacing w:line="540" w:lineRule="exact"/>
        <w:ind w:firstLine="640"/>
        <w:rPr>
          <w:rFonts w:ascii="Times New Roman" w:hAnsi="Times New Roman" w:eastAsia="黑体" w:cs="Times New Roman"/>
          <w:color w:val="auto"/>
          <w:sz w:val="32"/>
          <w:szCs w:val="32"/>
        </w:rPr>
      </w:pPr>
    </w:p>
    <w:p w14:paraId="22E900CE">
      <w:pPr>
        <w:spacing w:line="540" w:lineRule="exact"/>
        <w:ind w:left="1896" w:leftChars="903"/>
        <w:jc w:val="center"/>
        <w:rPr>
          <w:rFonts w:ascii="Times New Roman" w:hAnsi="Times New Roman" w:cs="Times New Roman"/>
          <w:color w:val="auto"/>
          <w:szCs w:val="21"/>
        </w:rPr>
      </w:pPr>
    </w:p>
    <w:p w14:paraId="3B50FC05">
      <w:pPr>
        <w:snapToGrid w:val="0"/>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采购人：</w:t>
      </w:r>
      <w:r>
        <w:rPr>
          <w:rFonts w:hint="eastAsia" w:ascii="Times New Roman" w:hAnsi="Times New Roman" w:eastAsia="黑体" w:cs="Times New Roman"/>
          <w:color w:val="auto"/>
          <w:sz w:val="32"/>
          <w:szCs w:val="32"/>
          <w:u w:val="single"/>
        </w:rPr>
        <w:t>安徽</w:t>
      </w:r>
      <w:r>
        <w:rPr>
          <w:rFonts w:hint="eastAsia" w:ascii="Times New Roman" w:hAnsi="Times New Roman" w:eastAsia="黑体" w:cs="Times New Roman"/>
          <w:color w:val="auto"/>
          <w:sz w:val="32"/>
          <w:szCs w:val="32"/>
          <w:u w:val="single"/>
          <w:lang w:val="en-US" w:eastAsia="zh-CN"/>
        </w:rPr>
        <w:t>省</w:t>
      </w:r>
      <w:r>
        <w:rPr>
          <w:rFonts w:hint="eastAsia" w:ascii="Times New Roman" w:hAnsi="Times New Roman" w:eastAsia="黑体" w:cs="Times New Roman"/>
          <w:color w:val="auto"/>
          <w:sz w:val="32"/>
          <w:szCs w:val="32"/>
          <w:u w:val="single"/>
        </w:rPr>
        <w:t>高速公路试验检测科研中心有限公司</w:t>
      </w:r>
    </w:p>
    <w:p w14:paraId="59EE8BA2">
      <w:pPr>
        <w:snapToGrid w:val="0"/>
        <w:ind w:left="1896" w:leftChars="903"/>
        <w:jc w:val="center"/>
        <w:rPr>
          <w:rFonts w:ascii="Times New Roman" w:hAnsi="Times New Roman" w:cs="Times New Roman"/>
          <w:color w:val="auto"/>
          <w:sz w:val="32"/>
          <w:szCs w:val="32"/>
        </w:rPr>
      </w:pPr>
    </w:p>
    <w:p w14:paraId="120D6DBC">
      <w:pPr>
        <w:snapToGrid w:val="0"/>
        <w:jc w:val="center"/>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cs="Times New Roman"/>
          <w:color w:val="auto"/>
          <w:sz w:val="32"/>
          <w:szCs w:val="32"/>
          <w:u w:val="single"/>
          <w:lang w:val="en-US" w:eastAsia="zh-CN"/>
        </w:rPr>
        <w:t xml:space="preserve"> </w:t>
      </w:r>
      <w:r>
        <w:rPr>
          <w:rFonts w:hint="eastAsia" w:ascii="Times New Roman" w:hAnsi="Times New Roman" w:eastAsia="黑体" w:cs="Times New Roman"/>
          <w:color w:val="auto"/>
          <w:sz w:val="32"/>
          <w:szCs w:val="32"/>
          <w:u w:val="single"/>
        </w:rPr>
        <w:t>202</w:t>
      </w:r>
      <w:r>
        <w:rPr>
          <w:rFonts w:hint="eastAsia" w:ascii="Times New Roman" w:hAnsi="Times New Roman" w:eastAsia="黑体" w:cs="Times New Roman"/>
          <w:color w:val="auto"/>
          <w:sz w:val="32"/>
          <w:szCs w:val="32"/>
          <w:u w:val="single"/>
          <w:lang w:val="en-US" w:eastAsia="zh-CN"/>
        </w:rPr>
        <w:t>5</w:t>
      </w:r>
      <w:r>
        <w:rPr>
          <w:rFonts w:ascii="Times New Roman" w:hAnsi="Times New Roman" w:eastAsia="黑体" w:cs="Times New Roman"/>
          <w:color w:val="auto"/>
          <w:sz w:val="32"/>
          <w:szCs w:val="32"/>
          <w:u w:val="none"/>
        </w:rPr>
        <w:t>年</w:t>
      </w:r>
      <w:r>
        <w:rPr>
          <w:rFonts w:hint="eastAsia" w:ascii="Times New Roman" w:hAnsi="Times New Roman" w:eastAsia="黑体" w:cs="Times New Roman"/>
          <w:color w:val="auto"/>
          <w:sz w:val="32"/>
          <w:szCs w:val="32"/>
          <w:u w:val="single"/>
          <w:lang w:val="en-US" w:eastAsia="zh-CN"/>
        </w:rPr>
        <w:t xml:space="preserve"> 03 </w:t>
      </w:r>
      <w:r>
        <w:rPr>
          <w:rFonts w:ascii="Times New Roman" w:hAnsi="Times New Roman" w:eastAsia="黑体" w:cs="Times New Roman"/>
          <w:color w:val="auto"/>
          <w:sz w:val="32"/>
          <w:szCs w:val="32"/>
          <w:u w:val="none"/>
        </w:rPr>
        <w:t>月</w:t>
      </w:r>
      <w:r>
        <w:rPr>
          <w:rFonts w:hint="eastAsia" w:ascii="Times New Roman" w:hAnsi="Times New Roman" w:eastAsia="黑体" w:cs="Times New Roman"/>
          <w:color w:val="auto"/>
          <w:sz w:val="32"/>
          <w:szCs w:val="32"/>
          <w:u w:val="single"/>
          <w:lang w:val="en-US" w:eastAsia="zh-CN"/>
        </w:rPr>
        <w:t xml:space="preserve"> 18 </w:t>
      </w:r>
      <w:r>
        <w:rPr>
          <w:rFonts w:ascii="Times New Roman" w:hAnsi="Times New Roman" w:eastAsia="黑体" w:cs="Times New Roman"/>
          <w:color w:val="auto"/>
          <w:sz w:val="32"/>
          <w:szCs w:val="32"/>
          <w:u w:val="none"/>
        </w:rPr>
        <w:t>日</w:t>
      </w:r>
    </w:p>
    <w:p w14:paraId="11D99ED5">
      <w:pPr>
        <w:ind w:left="1896" w:leftChars="903"/>
        <w:rPr>
          <w:rFonts w:ascii="Times New Roman" w:hAnsi="Times New Roman" w:eastAsia="宋体" w:cs="Times New Roman"/>
          <w:color w:val="auto"/>
          <w:sz w:val="24"/>
        </w:rPr>
      </w:pPr>
    </w:p>
    <w:p w14:paraId="2E3DB700">
      <w:pPr>
        <w:pStyle w:val="2"/>
        <w:rPr>
          <w:rFonts w:ascii="Times New Roman" w:hAnsi="Times New Roman" w:eastAsia="宋体" w:cs="Times New Roman"/>
          <w:color w:val="auto"/>
          <w:sz w:val="24"/>
        </w:rPr>
      </w:pPr>
    </w:p>
    <w:p w14:paraId="7123A932">
      <w:pPr>
        <w:pStyle w:val="3"/>
        <w:outlineLvl w:val="9"/>
        <w:rPr>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3811A697">
      <w:pPr>
        <w:jc w:val="center"/>
        <w:rPr>
          <w:rFonts w:hint="eastAsia" w:ascii="黑体" w:hAnsi="黑体" w:eastAsia="黑体" w:cs="黑体"/>
          <w:color w:val="auto"/>
          <w:sz w:val="28"/>
          <w:szCs w:val="28"/>
        </w:rPr>
      </w:pPr>
    </w:p>
    <w:p w14:paraId="28900416">
      <w:pPr>
        <w:spacing w:line="360" w:lineRule="auto"/>
        <w:jc w:val="center"/>
        <w:rPr>
          <w:rFonts w:hint="eastAsia" w:ascii="黑体" w:hAnsi="黑体" w:eastAsia="黑体" w:cs="黑体"/>
          <w:color w:val="auto"/>
          <w:sz w:val="28"/>
          <w:szCs w:val="28"/>
        </w:rPr>
      </w:pPr>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录</w:t>
      </w:r>
    </w:p>
    <w:p w14:paraId="5FCF0837">
      <w:pPr>
        <w:pStyle w:val="36"/>
        <w:tabs>
          <w:tab w:val="right" w:leader="dot" w:pos="8312"/>
        </w:tabs>
        <w:spacing w:line="360" w:lineRule="auto"/>
        <w:ind w:firstLine="400" w:firstLineChars="200"/>
        <w:rPr>
          <w:rFonts w:hint="eastAsia" w:ascii="Times New Roman" w:hAnsi="Times New Roman" w:eastAsia="宋体" w:cs="Times New Roman"/>
          <w:color w:val="auto"/>
          <w:sz w:val="28"/>
          <w:szCs w:val="28"/>
          <w:lang w:val="en-US" w:eastAsia="zh-CN"/>
        </w:rPr>
      </w:pPr>
      <w:r>
        <w:rPr>
          <w:color w:val="auto"/>
        </w:rPr>
        <w:fldChar w:fldCharType="begin"/>
      </w:r>
      <w:r>
        <w:rPr>
          <w:color w:val="auto"/>
        </w:rPr>
        <w:instrText xml:space="preserve"> HYPERLINK \l "_Toc29394_WPSOffice_Level1" </w:instrText>
      </w:r>
      <w:r>
        <w:rPr>
          <w:color w:val="auto"/>
        </w:rPr>
        <w:fldChar w:fldCharType="separate"/>
      </w:r>
      <w:r>
        <w:rPr>
          <w:rFonts w:ascii="Times New Roman" w:hAnsi="Times New Roman" w:eastAsia="宋体" w:cs="Times New Roman"/>
          <w:color w:val="auto"/>
          <w:sz w:val="28"/>
          <w:szCs w:val="28"/>
        </w:rPr>
        <w:t>第一章 采购公告</w:t>
      </w:r>
      <w:r>
        <w:rPr>
          <w:rFonts w:ascii="Times New Roman" w:hAnsi="Times New Roman" w:cs="Times New Roman"/>
          <w:color w:val="auto"/>
          <w:sz w:val="28"/>
          <w:szCs w:val="28"/>
        </w:rPr>
        <w:tab/>
      </w:r>
      <w:bookmarkStart w:id="0" w:name="_Toc29394_WPSOffice_Level1Page"/>
      <w:r>
        <w:rPr>
          <w:rFonts w:hint="eastAsia" w:ascii="Times New Roman" w:hAnsi="Times New Roman" w:cs="Times New Roman"/>
          <w:color w:val="auto"/>
          <w:sz w:val="28"/>
          <w:szCs w:val="28"/>
          <w:lang w:val="en-US" w:eastAsia="zh-CN"/>
        </w:rPr>
        <w:t xml:space="preserve"> </w:t>
      </w:r>
      <w:bookmarkEnd w:id="0"/>
      <w:r>
        <w:rPr>
          <w:rFonts w:hint="eastAsia" w:ascii="Times New Roman" w:hAnsi="Times New Roman" w:cs="Times New Roman"/>
          <w:color w:val="auto"/>
          <w:sz w:val="28"/>
          <w:szCs w:val="28"/>
          <w:lang w:val="en-US" w:eastAsia="zh-CN"/>
        </w:rPr>
        <w:t>1</w:t>
      </w:r>
      <w:r>
        <w:rPr>
          <w:rFonts w:ascii="Times New Roman" w:hAnsi="Times New Roman" w:cs="Times New Roman"/>
          <w:color w:val="auto"/>
          <w:sz w:val="28"/>
          <w:szCs w:val="28"/>
        </w:rPr>
        <w:fldChar w:fldCharType="end"/>
      </w:r>
    </w:p>
    <w:p w14:paraId="2D1D69DD">
      <w:pPr>
        <w:pStyle w:val="36"/>
        <w:tabs>
          <w:tab w:val="right" w:leader="dot" w:pos="8312"/>
        </w:tabs>
        <w:spacing w:line="360" w:lineRule="auto"/>
        <w:ind w:firstLine="400" w:firstLineChars="200"/>
        <w:rPr>
          <w:rFonts w:ascii="Times New Roman" w:hAnsi="Times New Roman" w:cs="Times New Roman"/>
          <w:color w:val="auto"/>
          <w:sz w:val="28"/>
          <w:szCs w:val="28"/>
        </w:rPr>
      </w:pPr>
      <w:r>
        <w:rPr>
          <w:color w:val="auto"/>
        </w:rPr>
        <w:fldChar w:fldCharType="begin"/>
      </w:r>
      <w:r>
        <w:rPr>
          <w:color w:val="auto"/>
        </w:rPr>
        <w:instrText xml:space="preserve"> HYPERLINK \l "_Toc5039_WPSOffice_Level1" </w:instrText>
      </w:r>
      <w:r>
        <w:rPr>
          <w:color w:val="auto"/>
        </w:rPr>
        <w:fldChar w:fldCharType="separate"/>
      </w:r>
      <w:r>
        <w:rPr>
          <w:rFonts w:ascii="Times New Roman" w:hAnsi="Times New Roman" w:eastAsia="宋体" w:cs="Times New Roman"/>
          <w:color w:val="auto"/>
          <w:sz w:val="28"/>
          <w:szCs w:val="28"/>
        </w:rPr>
        <w:t>第二章 供应商须知</w:t>
      </w:r>
      <w:r>
        <w:rPr>
          <w:rFonts w:ascii="Times New Roman" w:hAnsi="Times New Roman" w:cs="Times New Roman"/>
          <w:color w:val="auto"/>
          <w:sz w:val="28"/>
          <w:szCs w:val="28"/>
        </w:rPr>
        <w:tab/>
      </w:r>
      <w:r>
        <w:rPr>
          <w:rFonts w:hint="eastAsia" w:ascii="Times New Roman" w:hAnsi="Times New Roman" w:cs="Times New Roman"/>
          <w:color w:val="auto"/>
          <w:sz w:val="28"/>
          <w:szCs w:val="28"/>
          <w:lang w:val="en-US" w:eastAsia="zh-CN"/>
        </w:rPr>
        <w:t>3</w:t>
      </w:r>
      <w:r>
        <w:rPr>
          <w:rFonts w:ascii="Times New Roman" w:hAnsi="Times New Roman" w:cs="Times New Roman"/>
          <w:color w:val="auto"/>
          <w:sz w:val="28"/>
          <w:szCs w:val="28"/>
        </w:rPr>
        <w:fldChar w:fldCharType="end"/>
      </w:r>
    </w:p>
    <w:p w14:paraId="5CEBBE20">
      <w:pPr>
        <w:pStyle w:val="36"/>
        <w:tabs>
          <w:tab w:val="right" w:leader="dot" w:pos="8312"/>
        </w:tabs>
        <w:spacing w:line="360" w:lineRule="auto"/>
        <w:ind w:firstLine="400" w:firstLineChars="200"/>
        <w:rPr>
          <w:rFonts w:ascii="Times New Roman" w:hAnsi="Times New Roman" w:cs="Times New Roman"/>
          <w:color w:val="auto"/>
          <w:sz w:val="28"/>
          <w:szCs w:val="28"/>
        </w:rPr>
      </w:pPr>
      <w:r>
        <w:rPr>
          <w:color w:val="auto"/>
        </w:rPr>
        <w:fldChar w:fldCharType="begin"/>
      </w:r>
      <w:r>
        <w:rPr>
          <w:color w:val="auto"/>
        </w:rPr>
        <w:instrText xml:space="preserve"> HYPERLINK \l "_Toc14424_WPSOffice_Level1" </w:instrText>
      </w:r>
      <w:r>
        <w:rPr>
          <w:color w:val="auto"/>
        </w:rPr>
        <w:fldChar w:fldCharType="separate"/>
      </w:r>
      <w:r>
        <w:rPr>
          <w:rFonts w:ascii="Times New Roman" w:hAnsi="Times New Roman" w:eastAsia="宋体" w:cs="Times New Roman"/>
          <w:color w:val="auto"/>
          <w:sz w:val="28"/>
          <w:szCs w:val="28"/>
        </w:rPr>
        <w:t>第三章 评审办法</w:t>
      </w:r>
      <w:r>
        <w:rPr>
          <w:rFonts w:ascii="Times New Roman" w:hAnsi="Times New Roman" w:cs="Times New Roman"/>
          <w:color w:val="auto"/>
          <w:sz w:val="28"/>
          <w:szCs w:val="28"/>
        </w:rPr>
        <w:tab/>
      </w:r>
      <w:r>
        <w:rPr>
          <w:rFonts w:hint="eastAsia" w:ascii="Times New Roman" w:hAnsi="Times New Roman" w:cs="Times New Roman"/>
          <w:color w:val="auto"/>
          <w:sz w:val="28"/>
          <w:szCs w:val="28"/>
          <w:lang w:val="en-US" w:eastAsia="zh-CN"/>
        </w:rPr>
        <w:t>9</w:t>
      </w:r>
      <w:r>
        <w:rPr>
          <w:rFonts w:ascii="Times New Roman" w:hAnsi="Times New Roman" w:cs="Times New Roman"/>
          <w:color w:val="auto"/>
          <w:sz w:val="28"/>
          <w:szCs w:val="28"/>
        </w:rPr>
        <w:fldChar w:fldCharType="end"/>
      </w:r>
    </w:p>
    <w:p w14:paraId="72F150EC">
      <w:pPr>
        <w:pStyle w:val="36"/>
        <w:tabs>
          <w:tab w:val="right" w:leader="dot" w:pos="8312"/>
        </w:tabs>
        <w:spacing w:line="360" w:lineRule="auto"/>
        <w:ind w:firstLine="400" w:firstLineChars="200"/>
        <w:rPr>
          <w:rFonts w:hint="eastAsia" w:ascii="Times New Roman" w:hAnsi="Times New Roman" w:eastAsia="宋体" w:cs="Times New Roman"/>
          <w:color w:val="auto"/>
          <w:sz w:val="28"/>
          <w:szCs w:val="28"/>
          <w:lang w:val="en-US" w:eastAsia="zh-CN"/>
        </w:rPr>
      </w:pPr>
      <w:r>
        <w:rPr>
          <w:color w:val="auto"/>
        </w:rPr>
        <w:fldChar w:fldCharType="begin"/>
      </w:r>
      <w:r>
        <w:rPr>
          <w:color w:val="auto"/>
        </w:rPr>
        <w:instrText xml:space="preserve"> HYPERLINK \l "_Toc3093_WPSOffice_Level1" </w:instrText>
      </w:r>
      <w:r>
        <w:rPr>
          <w:color w:val="auto"/>
        </w:rPr>
        <w:fldChar w:fldCharType="separate"/>
      </w:r>
      <w:r>
        <w:rPr>
          <w:rFonts w:ascii="Times New Roman" w:hAnsi="Times New Roman" w:eastAsia="宋体" w:cs="Times New Roman"/>
          <w:color w:val="auto"/>
          <w:sz w:val="28"/>
          <w:szCs w:val="28"/>
        </w:rPr>
        <w:t>第四章 合同内容</w:t>
      </w:r>
      <w:r>
        <w:rPr>
          <w:rFonts w:ascii="Times New Roman" w:hAnsi="Times New Roman" w:cs="Times New Roman"/>
          <w:color w:val="auto"/>
          <w:sz w:val="28"/>
          <w:szCs w:val="28"/>
        </w:rPr>
        <w:tab/>
      </w:r>
      <w:r>
        <w:rPr>
          <w:rFonts w:hint="eastAsia" w:ascii="Times New Roman" w:hAnsi="Times New Roman" w:cs="Times New Roman"/>
          <w:color w:val="auto"/>
          <w:sz w:val="28"/>
          <w:szCs w:val="28"/>
          <w:lang w:val="en-US" w:eastAsia="zh-CN"/>
        </w:rPr>
        <w:t>1</w:t>
      </w:r>
      <w:r>
        <w:rPr>
          <w:rFonts w:ascii="Times New Roman" w:hAnsi="Times New Roman" w:cs="Times New Roman"/>
          <w:color w:val="auto"/>
          <w:sz w:val="28"/>
          <w:szCs w:val="28"/>
        </w:rPr>
        <w:fldChar w:fldCharType="end"/>
      </w:r>
      <w:r>
        <w:rPr>
          <w:rFonts w:hint="eastAsia" w:ascii="Times New Roman" w:hAnsi="Times New Roman" w:cs="Times New Roman"/>
          <w:color w:val="auto"/>
          <w:sz w:val="28"/>
          <w:szCs w:val="28"/>
          <w:lang w:val="en-US" w:eastAsia="zh-CN"/>
        </w:rPr>
        <w:t>3</w:t>
      </w:r>
    </w:p>
    <w:p w14:paraId="2B3AA694">
      <w:pPr>
        <w:pStyle w:val="36"/>
        <w:tabs>
          <w:tab w:val="right" w:leader="dot" w:pos="8312"/>
        </w:tabs>
        <w:spacing w:line="360" w:lineRule="auto"/>
        <w:ind w:firstLine="400" w:firstLineChars="200"/>
        <w:rPr>
          <w:rFonts w:hint="eastAsia" w:ascii="Times New Roman" w:hAnsi="Times New Roman" w:eastAsia="宋体" w:cs="Times New Roman"/>
          <w:color w:val="auto"/>
          <w:sz w:val="28"/>
          <w:szCs w:val="28"/>
          <w:lang w:val="en-US" w:eastAsia="zh-CN"/>
        </w:rPr>
      </w:pPr>
      <w:r>
        <w:rPr>
          <w:color w:val="auto"/>
        </w:rPr>
        <w:fldChar w:fldCharType="begin"/>
      </w:r>
      <w:r>
        <w:rPr>
          <w:color w:val="auto"/>
        </w:rPr>
        <w:instrText xml:space="preserve"> HYPERLINK \l "_Toc29924_WPSOffice_Level1" </w:instrText>
      </w:r>
      <w:r>
        <w:rPr>
          <w:color w:val="auto"/>
        </w:rPr>
        <w:fldChar w:fldCharType="separate"/>
      </w:r>
      <w:r>
        <w:rPr>
          <w:rFonts w:ascii="Times New Roman" w:hAnsi="Times New Roman" w:eastAsia="宋体" w:cs="Times New Roman"/>
          <w:color w:val="auto"/>
          <w:sz w:val="28"/>
          <w:szCs w:val="28"/>
        </w:rPr>
        <w:t>第五章 采购需求</w:t>
      </w:r>
      <w:r>
        <w:rPr>
          <w:rFonts w:ascii="Times New Roman" w:hAnsi="Times New Roman" w:cs="Times New Roman"/>
          <w:color w:val="auto"/>
          <w:sz w:val="28"/>
          <w:szCs w:val="28"/>
        </w:rPr>
        <w:tab/>
      </w:r>
      <w:r>
        <w:rPr>
          <w:rFonts w:hint="eastAsia" w:ascii="Times New Roman" w:hAnsi="Times New Roman" w:cs="Times New Roman"/>
          <w:color w:val="auto"/>
          <w:sz w:val="28"/>
          <w:szCs w:val="28"/>
          <w:lang w:val="en-US" w:eastAsia="zh-CN"/>
        </w:rPr>
        <w:t>2</w:t>
      </w:r>
      <w:r>
        <w:rPr>
          <w:rFonts w:ascii="Times New Roman" w:hAnsi="Times New Roman" w:cs="Times New Roman"/>
          <w:color w:val="auto"/>
          <w:sz w:val="28"/>
          <w:szCs w:val="28"/>
        </w:rPr>
        <w:fldChar w:fldCharType="end"/>
      </w:r>
      <w:r>
        <w:rPr>
          <w:rFonts w:hint="eastAsia" w:ascii="Times New Roman" w:hAnsi="Times New Roman" w:cs="Times New Roman"/>
          <w:color w:val="auto"/>
          <w:sz w:val="28"/>
          <w:szCs w:val="28"/>
          <w:lang w:val="en-US" w:eastAsia="zh-CN"/>
        </w:rPr>
        <w:t>0</w:t>
      </w:r>
    </w:p>
    <w:p w14:paraId="2391D417">
      <w:pPr>
        <w:pStyle w:val="36"/>
        <w:tabs>
          <w:tab w:val="right" w:leader="dot" w:pos="8312"/>
        </w:tabs>
        <w:spacing w:line="360" w:lineRule="auto"/>
        <w:ind w:firstLine="400" w:firstLineChars="200"/>
        <w:rPr>
          <w:rFonts w:hint="eastAsia" w:eastAsia="宋体"/>
          <w:color w:val="auto"/>
          <w:lang w:val="en-US" w:eastAsia="zh-CN"/>
        </w:rPr>
      </w:pPr>
      <w:r>
        <w:rPr>
          <w:color w:val="auto"/>
        </w:rPr>
        <w:fldChar w:fldCharType="begin"/>
      </w:r>
      <w:r>
        <w:rPr>
          <w:color w:val="auto"/>
        </w:rPr>
        <w:instrText xml:space="preserve"> HYPERLINK \l "_Toc21204_WPSOffice_Level1" </w:instrText>
      </w:r>
      <w:r>
        <w:rPr>
          <w:color w:val="auto"/>
        </w:rPr>
        <w:fldChar w:fldCharType="separate"/>
      </w:r>
      <w:r>
        <w:rPr>
          <w:rFonts w:ascii="Times New Roman" w:hAnsi="Times New Roman" w:eastAsia="宋体" w:cs="Times New Roman"/>
          <w:color w:val="auto"/>
          <w:sz w:val="28"/>
          <w:szCs w:val="28"/>
        </w:rPr>
        <w:t>第六章 响应文件格式</w:t>
      </w:r>
      <w:r>
        <w:rPr>
          <w:rFonts w:ascii="Times New Roman" w:hAnsi="Times New Roman" w:cs="Times New Roman"/>
          <w:color w:val="auto"/>
          <w:sz w:val="28"/>
          <w:szCs w:val="28"/>
        </w:rPr>
        <w:tab/>
      </w:r>
      <w:r>
        <w:rPr>
          <w:rFonts w:hint="eastAsia" w:ascii="Times New Roman" w:hAnsi="Times New Roman" w:cs="Times New Roman"/>
          <w:color w:val="auto"/>
          <w:sz w:val="28"/>
          <w:szCs w:val="28"/>
          <w:lang w:val="en-US" w:eastAsia="zh-CN"/>
        </w:rPr>
        <w:t>2</w:t>
      </w:r>
      <w:r>
        <w:rPr>
          <w:rFonts w:ascii="Times New Roman" w:hAnsi="Times New Roman" w:cs="Times New Roman"/>
          <w:color w:val="auto"/>
          <w:sz w:val="28"/>
          <w:szCs w:val="28"/>
        </w:rPr>
        <w:fldChar w:fldCharType="end"/>
      </w:r>
      <w:r>
        <w:rPr>
          <w:rFonts w:hint="eastAsia" w:ascii="Times New Roman" w:hAnsi="Times New Roman" w:cs="Times New Roman"/>
          <w:color w:val="auto"/>
          <w:sz w:val="28"/>
          <w:szCs w:val="28"/>
          <w:lang w:val="en-US" w:eastAsia="zh-CN"/>
        </w:rPr>
        <w:t>2</w:t>
      </w:r>
    </w:p>
    <w:p w14:paraId="7A4F7381">
      <w:pPr>
        <w:pStyle w:val="36"/>
        <w:tabs>
          <w:tab w:val="right" w:leader="dot" w:pos="8312"/>
        </w:tabs>
        <w:rPr>
          <w:color w:val="auto"/>
        </w:rPr>
      </w:pPr>
    </w:p>
    <w:p w14:paraId="0A04D8FA">
      <w:pPr>
        <w:jc w:val="center"/>
        <w:rPr>
          <w:rFonts w:ascii="宋体" w:hAnsi="宋体" w:eastAsia="宋体"/>
          <w:color w:val="auto"/>
        </w:rPr>
      </w:pPr>
    </w:p>
    <w:p w14:paraId="773E6789">
      <w:pPr>
        <w:rPr>
          <w:rFonts w:ascii="Times New Roman" w:hAnsi="Times New Roman" w:eastAsia="宋体" w:cs="Times New Roman"/>
          <w:color w:val="auto"/>
        </w:rPr>
      </w:pPr>
    </w:p>
    <w:p w14:paraId="5C12688E">
      <w:pPr>
        <w:pStyle w:val="4"/>
        <w:spacing w:before="312" w:after="312"/>
        <w:rPr>
          <w:rFonts w:ascii="Times New Roman" w:hAnsi="Times New Roman" w:eastAsia="宋体" w:cs="Times New Roman"/>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bookmarkStart w:id="1" w:name="_Toc29394_WPSOffice_Level1"/>
    </w:p>
    <w:p w14:paraId="6CA7FE0D">
      <w:pPr>
        <w:pStyle w:val="4"/>
        <w:spacing w:before="312" w:after="312"/>
        <w:rPr>
          <w:rFonts w:ascii="Times New Roman" w:hAnsi="Times New Roman" w:eastAsia="宋体" w:cs="Times New Roman"/>
          <w:color w:val="auto"/>
        </w:rPr>
      </w:pPr>
      <w:r>
        <w:rPr>
          <w:rFonts w:ascii="Times New Roman" w:hAnsi="Times New Roman" w:eastAsia="宋体" w:cs="Times New Roman"/>
          <w:color w:val="auto"/>
        </w:rPr>
        <w:t>采购公告</w:t>
      </w:r>
      <w:bookmarkEnd w:id="1"/>
    </w:p>
    <w:p w14:paraId="15B6EDB6">
      <w:pPr>
        <w:pStyle w:val="5"/>
        <w:snapToGrid w:val="0"/>
        <w:spacing w:before="120" w:after="120" w:line="240" w:lineRule="auto"/>
        <w:ind w:firstLine="403"/>
        <w:rPr>
          <w:rFonts w:ascii="Times New Roman" w:hAnsi="Times New Roman" w:eastAsia="黑体" w:cs="Times New Roman"/>
          <w:b w:val="0"/>
          <w:color w:val="auto"/>
          <w:sz w:val="22"/>
          <w:szCs w:val="15"/>
        </w:rPr>
      </w:pPr>
      <w:bookmarkStart w:id="2" w:name="_Toc6496_WPSOffice_Level2"/>
      <w:bookmarkStart w:id="3" w:name="_Toc525632585"/>
      <w:bookmarkStart w:id="4" w:name="_Toc10395_WPSOffice_Level2"/>
      <w:bookmarkStart w:id="5" w:name="_Toc13871"/>
      <w:bookmarkStart w:id="6" w:name="_Toc24354_WPSOffice_Level2"/>
      <w:bookmarkStart w:id="7" w:name="_Toc12765"/>
      <w:bookmarkStart w:id="8" w:name="_Toc4489_WPSOffice_Level2"/>
      <w:r>
        <w:rPr>
          <w:rFonts w:ascii="Times New Roman" w:hAnsi="Times New Roman" w:eastAsia="黑体" w:cs="Times New Roman"/>
          <w:b w:val="0"/>
          <w:color w:val="auto"/>
          <w:sz w:val="22"/>
          <w:szCs w:val="15"/>
        </w:rPr>
        <w:t>项目简介</w:t>
      </w:r>
      <w:bookmarkEnd w:id="2"/>
      <w:bookmarkEnd w:id="3"/>
      <w:bookmarkEnd w:id="4"/>
      <w:bookmarkEnd w:id="5"/>
      <w:bookmarkEnd w:id="6"/>
      <w:bookmarkEnd w:id="7"/>
      <w:bookmarkEnd w:id="8"/>
    </w:p>
    <w:p w14:paraId="2CB900BC">
      <w:pPr>
        <w:widowControl/>
        <w:ind w:firstLine="420" w:firstLineChars="200"/>
        <w:jc w:val="left"/>
        <w:rPr>
          <w:rFonts w:hint="eastAsia" w:ascii="Times New Roman" w:hAnsi="Times New Roman" w:eastAsia="宋体" w:cs="Times New Roman"/>
          <w:color w:val="auto"/>
          <w:szCs w:val="22"/>
          <w:u w:val="single"/>
          <w:lang w:val="en-US" w:eastAsia="zh-CN"/>
        </w:rPr>
      </w:pPr>
      <w:r>
        <w:rPr>
          <w:rFonts w:hint="eastAsia" w:ascii="Times New Roman" w:hAnsi="Times New Roman" w:cs="Times New Roman"/>
          <w:color w:val="auto"/>
          <w:szCs w:val="22"/>
          <w:lang w:val="en-US" w:eastAsia="zh-CN"/>
        </w:rPr>
        <w:t>1.1</w:t>
      </w:r>
      <w:r>
        <w:rPr>
          <w:rFonts w:hint="eastAsia" w:ascii="Times New Roman" w:hAnsi="Times New Roman" w:cs="Times New Roman"/>
          <w:color w:val="auto"/>
          <w:szCs w:val="22"/>
        </w:rPr>
        <w:t>项目名称：</w:t>
      </w:r>
      <w:r>
        <w:rPr>
          <w:rFonts w:hint="eastAsia" w:ascii="Times New Roman" w:hAnsi="Times New Roman" w:eastAsia="宋体" w:cs="Times New Roman"/>
          <w:color w:val="auto"/>
          <w:szCs w:val="22"/>
          <w:u w:val="single"/>
          <w:lang w:val="en-US" w:eastAsia="zh-CN"/>
        </w:rPr>
        <w:t>安徽省高速公路试验检测科研中心有限公司2025-2027年生产车辆租赁服务集中采购</w:t>
      </w:r>
    </w:p>
    <w:p w14:paraId="62E76B6A">
      <w:pPr>
        <w:numPr>
          <w:ilvl w:val="0"/>
          <w:numId w:val="0"/>
        </w:numPr>
        <w:snapToGrid w:val="0"/>
        <w:spacing w:line="440" w:lineRule="exact"/>
        <w:ind w:leftChars="200"/>
        <w:rPr>
          <w:rFonts w:hint="eastAsia" w:ascii="Times New Roman" w:hAnsi="Times New Roman" w:cs="Times New Roman"/>
          <w:color w:val="auto"/>
          <w:szCs w:val="22"/>
        </w:rPr>
      </w:pPr>
      <w:r>
        <w:rPr>
          <w:rFonts w:hint="eastAsia" w:ascii="Times New Roman" w:hAnsi="Times New Roman" w:cs="Times New Roman"/>
          <w:color w:val="auto"/>
          <w:szCs w:val="22"/>
        </w:rPr>
        <w:t>1.2 采 购 人：</w:t>
      </w:r>
      <w:r>
        <w:rPr>
          <w:rFonts w:hint="eastAsia" w:ascii="Times New Roman" w:hAnsi="Times New Roman" w:cs="Times New Roman"/>
          <w:color w:val="auto"/>
          <w:szCs w:val="22"/>
          <w:u w:val="single"/>
        </w:rPr>
        <w:t>安徽</w:t>
      </w:r>
      <w:r>
        <w:rPr>
          <w:rFonts w:hint="eastAsia" w:ascii="Times New Roman" w:hAnsi="Times New Roman" w:cs="Times New Roman"/>
          <w:color w:val="auto"/>
          <w:szCs w:val="22"/>
          <w:u w:val="single"/>
          <w:lang w:val="en-US" w:eastAsia="zh-CN"/>
        </w:rPr>
        <w:t>省</w:t>
      </w:r>
      <w:r>
        <w:rPr>
          <w:rFonts w:hint="eastAsia" w:ascii="Times New Roman" w:hAnsi="Times New Roman" w:cs="Times New Roman"/>
          <w:color w:val="auto"/>
          <w:szCs w:val="22"/>
          <w:u w:val="single"/>
        </w:rPr>
        <w:t>高速公路试验检测科研中心有限公司（以下简称“高速检测”）</w:t>
      </w:r>
    </w:p>
    <w:p w14:paraId="69880F07">
      <w:pPr>
        <w:snapToGrid w:val="0"/>
        <w:spacing w:line="440" w:lineRule="exact"/>
        <w:ind w:firstLine="420" w:firstLineChars="200"/>
        <w:rPr>
          <w:rFonts w:hint="eastAsia" w:ascii="Times New Roman" w:hAnsi="Times New Roman" w:cs="Times New Roman"/>
          <w:color w:val="auto"/>
          <w:szCs w:val="22"/>
        </w:rPr>
      </w:pPr>
      <w:r>
        <w:rPr>
          <w:rFonts w:hint="eastAsia" w:ascii="Times New Roman" w:hAnsi="Times New Roman" w:cs="Times New Roman"/>
          <w:color w:val="auto"/>
          <w:szCs w:val="22"/>
        </w:rPr>
        <w:t>1.3 项目概况：</w:t>
      </w:r>
    </w:p>
    <w:p w14:paraId="17C11808">
      <w:pPr>
        <w:snapToGrid w:val="0"/>
        <w:spacing w:line="440" w:lineRule="exact"/>
        <w:ind w:firstLine="420" w:firstLineChars="200"/>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因公司生产项目开展需要，拟采购两家车辆租赁服务商提供车辆租赁服务，协助完成公司项目生产工作，租赁服务按租赁时间划分为日租和月租</w:t>
      </w:r>
      <w:r>
        <w:rPr>
          <w:rFonts w:hint="eastAsia" w:ascii="Times New Roman" w:hAnsi="Times New Roman" w:eastAsia="宋体" w:cs="Times New Roman"/>
          <w:color w:val="auto"/>
          <w:sz w:val="21"/>
          <w:szCs w:val="21"/>
          <w:lang w:val="en-US" w:eastAsia="zh-CN"/>
        </w:rPr>
        <w:t>。</w:t>
      </w:r>
    </w:p>
    <w:p w14:paraId="01A52E56">
      <w:pPr>
        <w:pStyle w:val="5"/>
        <w:snapToGrid w:val="0"/>
        <w:spacing w:before="120" w:after="120" w:line="240" w:lineRule="auto"/>
        <w:ind w:firstLine="403"/>
        <w:rPr>
          <w:rFonts w:hint="eastAsia" w:ascii="Times New Roman" w:hAnsi="Times New Roman" w:eastAsia="黑体" w:cs="Times New Roman"/>
          <w:b w:val="0"/>
          <w:color w:val="auto"/>
          <w:sz w:val="22"/>
          <w:szCs w:val="15"/>
        </w:rPr>
      </w:pPr>
      <w:bookmarkStart w:id="9" w:name="_Toc18453"/>
      <w:bookmarkStart w:id="10" w:name="_Toc23266_WPSOffice_Level2"/>
      <w:bookmarkStart w:id="11" w:name="_Toc18367_WPSOffice_Level2"/>
      <w:bookmarkStart w:id="12" w:name="_Toc10274"/>
      <w:bookmarkStart w:id="13" w:name="_Toc17858_WPSOffice_Level2"/>
      <w:bookmarkStart w:id="14" w:name="_Toc525632586"/>
      <w:bookmarkStart w:id="15" w:name="_Toc8128_WPSOffice_Level2"/>
      <w:r>
        <w:rPr>
          <w:rFonts w:hint="eastAsia" w:ascii="Times New Roman" w:hAnsi="Times New Roman" w:eastAsia="黑体" w:cs="Times New Roman"/>
          <w:b w:val="0"/>
          <w:color w:val="auto"/>
          <w:sz w:val="22"/>
          <w:szCs w:val="15"/>
        </w:rPr>
        <w:t>采购说明</w:t>
      </w:r>
      <w:bookmarkEnd w:id="9"/>
      <w:bookmarkEnd w:id="10"/>
      <w:bookmarkEnd w:id="11"/>
      <w:bookmarkEnd w:id="12"/>
      <w:bookmarkEnd w:id="13"/>
      <w:bookmarkEnd w:id="14"/>
      <w:bookmarkEnd w:id="15"/>
    </w:p>
    <w:p w14:paraId="66896DBE">
      <w:pPr>
        <w:snapToGrid w:val="0"/>
        <w:spacing w:line="440" w:lineRule="exact"/>
        <w:ind w:firstLine="420" w:firstLineChars="200"/>
        <w:rPr>
          <w:rFonts w:hint="eastAsia" w:ascii="Times New Roman" w:hAnsi="Times New Roman" w:cs="Times New Roman"/>
          <w:color w:val="auto"/>
          <w:szCs w:val="22"/>
          <w:u w:val="single"/>
        </w:rPr>
      </w:pPr>
      <w:bookmarkStart w:id="16" w:name="_Toc4489_WPSOffice_Level3"/>
      <w:r>
        <w:rPr>
          <w:rFonts w:hint="eastAsia" w:ascii="Times New Roman" w:hAnsi="Times New Roman" w:cs="Times New Roman"/>
          <w:color w:val="auto"/>
          <w:szCs w:val="22"/>
          <w:u w:val="none"/>
        </w:rPr>
        <w:t>2.1 采购方式：</w:t>
      </w:r>
      <w:bookmarkEnd w:id="16"/>
      <w:r>
        <w:rPr>
          <w:rFonts w:hint="eastAsia" w:ascii="Times New Roman" w:hAnsi="Times New Roman" w:cs="Times New Roman"/>
          <w:color w:val="auto"/>
          <w:szCs w:val="22"/>
          <w:u w:val="single"/>
        </w:rPr>
        <w:t>公开询比采购</w:t>
      </w:r>
    </w:p>
    <w:p w14:paraId="6CBC3A2D">
      <w:pPr>
        <w:snapToGrid w:val="0"/>
        <w:spacing w:line="440" w:lineRule="exact"/>
        <w:ind w:firstLine="420" w:firstLineChars="200"/>
        <w:rPr>
          <w:rFonts w:hint="eastAsia" w:ascii="Times New Roman" w:hAnsi="Times New Roman" w:cs="Times New Roman"/>
          <w:color w:val="auto"/>
          <w:szCs w:val="22"/>
          <w:u w:val="single"/>
        </w:rPr>
      </w:pPr>
      <w:bookmarkStart w:id="17" w:name="_Toc23266_WPSOffice_Level3"/>
      <w:r>
        <w:rPr>
          <w:rFonts w:hint="eastAsia" w:ascii="Times New Roman" w:hAnsi="Times New Roman" w:cs="Times New Roman"/>
          <w:color w:val="auto"/>
          <w:szCs w:val="22"/>
          <w:u w:val="none"/>
        </w:rPr>
        <w:t>2.2 资金来源及比例：</w:t>
      </w:r>
      <w:bookmarkEnd w:id="17"/>
      <w:bookmarkStart w:id="18" w:name="_Toc22379_WPSOffice_Level3"/>
      <w:r>
        <w:rPr>
          <w:rFonts w:hint="eastAsia" w:ascii="Times New Roman" w:hAnsi="Times New Roman" w:cs="Times New Roman"/>
          <w:color w:val="auto"/>
          <w:szCs w:val="22"/>
          <w:u w:val="single"/>
        </w:rPr>
        <w:t>企业自筹</w:t>
      </w:r>
    </w:p>
    <w:p w14:paraId="5AFEB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宋体" w:cs="Times New Roman"/>
          <w:color w:val="auto"/>
          <w:szCs w:val="22"/>
          <w:u w:val="single"/>
          <w:lang w:val="en-US" w:eastAsia="zh-CN"/>
        </w:rPr>
      </w:pPr>
      <w:r>
        <w:rPr>
          <w:rFonts w:hint="eastAsia" w:ascii="Times New Roman" w:hAnsi="Times New Roman" w:cs="Times New Roman"/>
          <w:color w:val="auto"/>
          <w:szCs w:val="22"/>
          <w:u w:val="none"/>
        </w:rPr>
        <w:t>2.3 采购范围</w:t>
      </w:r>
      <w:r>
        <w:rPr>
          <w:rFonts w:hint="eastAsia" w:ascii="Times New Roman" w:hAnsi="Times New Roman" w:cs="Times New Roman"/>
          <w:color w:val="auto"/>
          <w:szCs w:val="22"/>
          <w:u w:val="none"/>
          <w:lang w:val="en-US" w:eastAsia="zh-CN"/>
        </w:rPr>
        <w:t>及工作内容</w:t>
      </w:r>
      <w:r>
        <w:rPr>
          <w:rFonts w:hint="eastAsia" w:ascii="Times New Roman" w:hAnsi="Times New Roman" w:cs="Times New Roman"/>
          <w:color w:val="auto"/>
          <w:szCs w:val="22"/>
          <w:u w:val="none"/>
        </w:rPr>
        <w:t>：</w:t>
      </w:r>
      <w:r>
        <w:rPr>
          <w:rFonts w:hint="eastAsia" w:ascii="Times New Roman" w:hAnsi="Times New Roman" w:cs="Times New Roman"/>
          <w:color w:val="auto"/>
          <w:szCs w:val="22"/>
          <w:u w:val="none"/>
          <w:lang w:eastAsia="zh-CN"/>
        </w:rPr>
        <w:t>采购车辆租赁服务，</w:t>
      </w:r>
      <w:r>
        <w:rPr>
          <w:rFonts w:hint="eastAsia" w:ascii="Times New Roman" w:hAnsi="Times New Roman" w:eastAsia="宋体" w:cs="Times New Roman"/>
          <w:color w:val="auto"/>
          <w:szCs w:val="22"/>
          <w:u w:val="single"/>
          <w:lang w:val="en-US" w:eastAsia="zh-CN"/>
        </w:rPr>
        <w:t>租赁车辆用于高速检测驻点试验室及外检项目用车，分为日租和月租两种租赁形式。</w:t>
      </w:r>
    </w:p>
    <w:p w14:paraId="4E6B2FB7">
      <w:pPr>
        <w:snapToGrid w:val="0"/>
        <w:spacing w:line="440" w:lineRule="exact"/>
        <w:ind w:firstLine="420" w:firstLineChars="200"/>
        <w:rPr>
          <w:rFonts w:hint="eastAsia" w:ascii="Times New Roman" w:hAnsi="Times New Roman" w:cs="Times New Roman"/>
          <w:color w:val="auto"/>
          <w:szCs w:val="22"/>
          <w:u w:val="single"/>
        </w:rPr>
      </w:pPr>
      <w:r>
        <w:rPr>
          <w:rFonts w:hint="eastAsia" w:ascii="Times New Roman" w:hAnsi="Times New Roman" w:cs="Times New Roman"/>
          <w:color w:val="auto"/>
          <w:szCs w:val="22"/>
          <w:u w:val="none"/>
        </w:rPr>
        <w:t>2.4 合同包划分：</w:t>
      </w:r>
      <w:r>
        <w:rPr>
          <w:rFonts w:hint="eastAsia" w:ascii="Times New Roman" w:hAnsi="Times New Roman" w:cs="Times New Roman"/>
          <w:color w:val="auto"/>
          <w:szCs w:val="22"/>
          <w:u w:val="single"/>
        </w:rPr>
        <w:t xml:space="preserve">无包段划分 </w:t>
      </w:r>
    </w:p>
    <w:p w14:paraId="48B0B729">
      <w:pPr>
        <w:snapToGrid w:val="0"/>
        <w:spacing w:line="440" w:lineRule="exact"/>
        <w:ind w:firstLine="420" w:firstLineChars="200"/>
        <w:rPr>
          <w:rFonts w:hint="default" w:ascii="Times New Roman" w:hAnsi="Times New Roman" w:eastAsia="宋体" w:cs="Times New Roman"/>
          <w:color w:val="auto"/>
          <w:szCs w:val="22"/>
          <w:u w:val="single"/>
          <w:lang w:val="en-US" w:eastAsia="zh-CN"/>
        </w:rPr>
      </w:pPr>
      <w:r>
        <w:rPr>
          <w:rFonts w:ascii="Times New Roman" w:hAnsi="Times New Roman" w:cs="Times New Roman"/>
          <w:color w:val="auto"/>
          <w:szCs w:val="22"/>
        </w:rPr>
        <w:t>2.</w:t>
      </w:r>
      <w:r>
        <w:rPr>
          <w:rFonts w:hint="eastAsia" w:ascii="Times New Roman" w:hAnsi="Times New Roman" w:cs="Times New Roman"/>
          <w:color w:val="auto"/>
          <w:szCs w:val="22"/>
        </w:rPr>
        <w:t>5</w:t>
      </w:r>
      <w:r>
        <w:rPr>
          <w:rFonts w:hint="eastAsia" w:ascii="Times New Roman" w:hAnsi="Times New Roman" w:cs="Times New Roman"/>
          <w:color w:val="auto"/>
          <w:szCs w:val="22"/>
          <w:lang w:val="en-US" w:eastAsia="zh-CN"/>
        </w:rPr>
        <w:t xml:space="preserve"> </w:t>
      </w:r>
      <w:r>
        <w:rPr>
          <w:rFonts w:ascii="Times New Roman" w:hAnsi="Times New Roman" w:cs="Times New Roman"/>
          <w:color w:val="auto"/>
          <w:szCs w:val="22"/>
        </w:rPr>
        <w:t>最高限价：</w:t>
      </w:r>
      <w:bookmarkEnd w:id="18"/>
      <w:r>
        <w:rPr>
          <w:rFonts w:hint="eastAsia" w:ascii="Times New Roman" w:hAnsi="Times New Roman" w:eastAsia="宋体" w:cs="Times New Roman"/>
          <w:color w:val="auto"/>
          <w:szCs w:val="22"/>
          <w:u w:val="single"/>
        </w:rPr>
        <w:t>本项目最高限价为100%，本次报价为费率报价，各</w:t>
      </w:r>
      <w:r>
        <w:rPr>
          <w:rFonts w:hint="eastAsia" w:ascii="Times New Roman" w:hAnsi="Times New Roman" w:eastAsia="宋体" w:cs="Times New Roman"/>
          <w:color w:val="auto"/>
          <w:szCs w:val="22"/>
          <w:u w:val="single"/>
          <w:lang w:val="en-US" w:eastAsia="zh-CN"/>
        </w:rPr>
        <w:t>分</w:t>
      </w:r>
      <w:r>
        <w:rPr>
          <w:rFonts w:hint="eastAsia" w:ascii="Times New Roman" w:hAnsi="Times New Roman" w:eastAsia="宋体" w:cs="Times New Roman"/>
          <w:color w:val="auto"/>
          <w:szCs w:val="22"/>
          <w:u w:val="single"/>
        </w:rPr>
        <w:t>项报价</w:t>
      </w:r>
      <w:r>
        <w:rPr>
          <w:rFonts w:hint="eastAsia" w:ascii="Times New Roman" w:hAnsi="Times New Roman" w:eastAsia="宋体" w:cs="Times New Roman"/>
          <w:color w:val="auto"/>
          <w:szCs w:val="22"/>
          <w:u w:val="single"/>
          <w:lang w:val="en-US" w:eastAsia="zh-CN"/>
        </w:rPr>
        <w:t>统一</w:t>
      </w:r>
      <w:r>
        <w:rPr>
          <w:rFonts w:hint="eastAsia" w:ascii="Times New Roman" w:hAnsi="Times New Roman" w:eastAsia="宋体" w:cs="Times New Roman"/>
          <w:color w:val="auto"/>
          <w:szCs w:val="22"/>
          <w:u w:val="single"/>
        </w:rPr>
        <w:t>费率，保留小数点后一位</w:t>
      </w:r>
      <w:r>
        <w:rPr>
          <w:rFonts w:hint="eastAsia" w:ascii="Times New Roman" w:hAnsi="Times New Roman" w:eastAsia="宋体" w:cs="Times New Roman"/>
          <w:color w:val="auto"/>
          <w:szCs w:val="22"/>
          <w:u w:val="single"/>
          <w:lang w:val="en-US" w:eastAsia="zh-CN"/>
        </w:rPr>
        <w:t>。</w:t>
      </w:r>
    </w:p>
    <w:p w14:paraId="5043F515">
      <w:pPr>
        <w:snapToGrid w:val="0"/>
        <w:spacing w:line="440" w:lineRule="exact"/>
        <w:ind w:firstLine="420" w:firstLineChars="200"/>
        <w:rPr>
          <w:rFonts w:hint="eastAsia" w:ascii="Times New Roman" w:hAnsi="Times New Roman" w:eastAsia="宋体" w:cs="Times New Roman"/>
          <w:color w:val="auto"/>
          <w:szCs w:val="22"/>
          <w:u w:val="single"/>
          <w:lang w:val="en-US" w:eastAsia="zh-CN"/>
        </w:rPr>
      </w:pPr>
      <w:r>
        <w:rPr>
          <w:rFonts w:ascii="Times New Roman" w:hAnsi="Times New Roman" w:cs="Times New Roman"/>
          <w:color w:val="auto"/>
          <w:szCs w:val="22"/>
        </w:rPr>
        <w:t>2.</w:t>
      </w:r>
      <w:r>
        <w:rPr>
          <w:rFonts w:hint="eastAsia" w:ascii="Times New Roman" w:hAnsi="Times New Roman" w:cs="Times New Roman"/>
          <w:color w:val="auto"/>
          <w:szCs w:val="22"/>
        </w:rPr>
        <w:t>6</w:t>
      </w:r>
      <w:r>
        <w:rPr>
          <w:rFonts w:ascii="Times New Roman" w:hAnsi="Times New Roman" w:cs="Times New Roman"/>
          <w:color w:val="auto"/>
          <w:szCs w:val="22"/>
        </w:rPr>
        <w:t xml:space="preserve"> </w:t>
      </w:r>
      <w:r>
        <w:rPr>
          <w:rFonts w:hint="eastAsia" w:ascii="Times New Roman" w:hAnsi="Times New Roman" w:cs="Times New Roman"/>
          <w:color w:val="auto"/>
          <w:szCs w:val="22"/>
          <w:lang w:val="en-US" w:eastAsia="zh-CN"/>
        </w:rPr>
        <w:t>服务期</w:t>
      </w:r>
      <w:r>
        <w:rPr>
          <w:rFonts w:ascii="Times New Roman" w:hAnsi="Times New Roman" w:cs="Times New Roman"/>
          <w:color w:val="auto"/>
          <w:szCs w:val="22"/>
        </w:rPr>
        <w:t>：</w:t>
      </w:r>
      <w:r>
        <w:rPr>
          <w:rFonts w:hint="eastAsia" w:ascii="Times New Roman" w:hAnsi="Times New Roman" w:eastAsia="宋体" w:cs="Times New Roman"/>
          <w:color w:val="auto"/>
          <w:szCs w:val="22"/>
          <w:u w:val="single"/>
          <w:lang w:val="en-US" w:eastAsia="zh-CN"/>
        </w:rPr>
        <w:t>自合同签订之日起两年。</w:t>
      </w:r>
    </w:p>
    <w:p w14:paraId="1EC371E5">
      <w:pPr>
        <w:pStyle w:val="5"/>
        <w:snapToGrid w:val="0"/>
        <w:spacing w:before="120" w:after="120" w:line="240" w:lineRule="auto"/>
        <w:ind w:firstLine="403"/>
        <w:rPr>
          <w:rFonts w:ascii="Times New Roman" w:hAnsi="Times New Roman" w:eastAsia="黑体" w:cs="Times New Roman"/>
          <w:b w:val="0"/>
          <w:color w:val="auto"/>
          <w:sz w:val="22"/>
          <w:szCs w:val="15"/>
        </w:rPr>
      </w:pPr>
      <w:bookmarkStart w:id="19" w:name="_Toc29516_WPSOffice_Level2"/>
      <w:bookmarkStart w:id="20" w:name="_Toc31673_WPSOffice_Level2"/>
      <w:bookmarkStart w:id="21" w:name="_Toc1622_WPSOffice_Level2"/>
      <w:bookmarkStart w:id="22" w:name="_Toc525632587"/>
      <w:bookmarkStart w:id="23" w:name="_Toc6388"/>
      <w:bookmarkStart w:id="24" w:name="_Toc22379_WPSOffice_Level2"/>
      <w:bookmarkStart w:id="25" w:name="_Toc3714"/>
      <w:r>
        <w:rPr>
          <w:rFonts w:ascii="Times New Roman" w:hAnsi="Times New Roman" w:eastAsia="黑体" w:cs="Times New Roman"/>
          <w:b w:val="0"/>
          <w:color w:val="auto"/>
          <w:sz w:val="22"/>
          <w:szCs w:val="15"/>
        </w:rPr>
        <w:t>供应商资格条件</w:t>
      </w:r>
      <w:bookmarkEnd w:id="19"/>
      <w:bookmarkEnd w:id="20"/>
      <w:bookmarkEnd w:id="21"/>
      <w:bookmarkEnd w:id="22"/>
      <w:bookmarkEnd w:id="23"/>
      <w:bookmarkEnd w:id="24"/>
      <w:bookmarkEnd w:id="25"/>
    </w:p>
    <w:p w14:paraId="3C659636">
      <w:pPr>
        <w:numPr>
          <w:ilvl w:val="0"/>
          <w:numId w:val="0"/>
        </w:num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3.1 本次采购要求供应商须</w:t>
      </w:r>
      <w:r>
        <w:rPr>
          <w:rFonts w:hint="eastAsia" w:ascii="Times New Roman" w:hAnsi="Times New Roman" w:cs="Times New Roman"/>
          <w:color w:val="auto"/>
          <w:szCs w:val="22"/>
        </w:rPr>
        <w:t>同时</w:t>
      </w:r>
      <w:r>
        <w:rPr>
          <w:rFonts w:ascii="Times New Roman" w:hAnsi="Times New Roman" w:cs="Times New Roman"/>
          <w:color w:val="auto"/>
          <w:szCs w:val="22"/>
        </w:rPr>
        <w:t>具备：</w:t>
      </w:r>
    </w:p>
    <w:p w14:paraId="5611BFC8">
      <w:pPr>
        <w:pStyle w:val="5"/>
        <w:numPr>
          <w:ilvl w:val="0"/>
          <w:numId w:val="0"/>
        </w:numPr>
        <w:snapToGrid w:val="0"/>
        <w:spacing w:before="120" w:after="120" w:line="240" w:lineRule="auto"/>
        <w:ind w:left="420" w:leftChars="0"/>
        <w:rPr>
          <w:rFonts w:ascii="Times New Roman" w:hAnsi="Times New Roman" w:eastAsia="黑体" w:cs="Times New Roman"/>
          <w:b w:val="0"/>
          <w:color w:val="auto"/>
          <w:sz w:val="22"/>
          <w:szCs w:val="15"/>
        </w:rPr>
      </w:pPr>
      <w:r>
        <w:rPr>
          <w:rFonts w:ascii="Times New Roman" w:hAnsi="Times New Roman" w:eastAsia="黑体" w:cs="Times New Roman"/>
          <w:b w:val="0"/>
          <w:color w:val="auto"/>
          <w:sz w:val="22"/>
          <w:szCs w:val="15"/>
        </w:rPr>
        <w:t>（1）资质最低要求</w:t>
      </w:r>
    </w:p>
    <w:p w14:paraId="3F37BFEC">
      <w:pPr>
        <w:numPr>
          <w:ilvl w:val="0"/>
          <w:numId w:val="0"/>
        </w:numPr>
        <w:snapToGrid w:val="0"/>
        <w:spacing w:line="440" w:lineRule="exact"/>
        <w:ind w:firstLine="420" w:firstLineChars="200"/>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具备工商行政管理部门核发的营业执照和法人资格，经营范围须包含车辆租赁。</w:t>
      </w:r>
    </w:p>
    <w:p w14:paraId="09CA7140">
      <w:pPr>
        <w:pStyle w:val="5"/>
        <w:numPr>
          <w:ilvl w:val="0"/>
          <w:numId w:val="0"/>
        </w:numPr>
        <w:snapToGrid w:val="0"/>
        <w:spacing w:before="120"/>
        <w:ind w:left="420"/>
        <w:rPr>
          <w:rFonts w:hint="default" w:ascii="Times New Roman" w:hAnsi="Times New Roman" w:eastAsia="黑体" w:cs="Times New Roman"/>
          <w:b w:val="0"/>
          <w:color w:val="auto"/>
          <w:sz w:val="22"/>
          <w:szCs w:val="15"/>
          <w:lang w:val="en-US" w:eastAsia="zh-CN"/>
        </w:rPr>
      </w:pPr>
      <w:r>
        <w:rPr>
          <w:rFonts w:hint="default" w:ascii="Times New Roman" w:hAnsi="Times New Roman" w:eastAsia="黑体" w:cs="Times New Roman"/>
          <w:b w:val="0"/>
          <w:color w:val="auto"/>
          <w:sz w:val="22"/>
          <w:szCs w:val="15"/>
          <w:lang w:val="en-US" w:eastAsia="zh-CN"/>
        </w:rPr>
        <w:t>（2）业绩最低要求：</w:t>
      </w:r>
    </w:p>
    <w:p w14:paraId="2F1E2E03">
      <w:pPr>
        <w:numPr>
          <w:ilvl w:val="0"/>
          <w:numId w:val="0"/>
        </w:numPr>
        <w:snapToGrid w:val="0"/>
        <w:spacing w:line="440" w:lineRule="exact"/>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近三年（指 2022 年 01 月 01 日至响应文件递交截止日期，以合同签订时间为准），投标人</w:t>
      </w:r>
      <w:r>
        <w:rPr>
          <w:rFonts w:hint="eastAsia" w:ascii="Times New Roman" w:hAnsi="Times New Roman" w:eastAsia="宋体" w:cs="Times New Roman"/>
          <w:color w:val="auto"/>
          <w:szCs w:val="22"/>
        </w:rPr>
        <w:t>至少具备一个企事业单位车辆租赁服务业绩，且服务期限</w:t>
      </w:r>
      <w:r>
        <w:rPr>
          <w:rFonts w:hint="eastAsia" w:ascii="Times New Roman" w:hAnsi="Times New Roman" w:eastAsia="宋体" w:cs="Times New Roman"/>
          <w:color w:val="auto"/>
          <w:szCs w:val="22"/>
          <w:lang w:eastAsia="zh-CN"/>
        </w:rPr>
        <w:t>不少于</w:t>
      </w:r>
      <w:r>
        <w:rPr>
          <w:rFonts w:hint="eastAsia" w:ascii="Times New Roman" w:hAnsi="Times New Roman" w:eastAsia="宋体" w:cs="Times New Roman"/>
          <w:color w:val="auto"/>
          <w:szCs w:val="22"/>
        </w:rPr>
        <w:t>一年</w:t>
      </w:r>
      <w:r>
        <w:rPr>
          <w:rFonts w:hint="eastAsia" w:ascii="Times New Roman" w:hAnsi="Times New Roman" w:eastAsia="宋体" w:cs="Times New Roman"/>
          <w:color w:val="auto"/>
          <w:szCs w:val="22"/>
          <w:lang w:val="en-US" w:eastAsia="zh-CN"/>
        </w:rPr>
        <w:t>。（需附业绩合同彩色扫描件）</w:t>
      </w:r>
    </w:p>
    <w:p w14:paraId="471E806F">
      <w:pPr>
        <w:numPr>
          <w:ilvl w:val="0"/>
          <w:numId w:val="0"/>
        </w:numPr>
        <w:snapToGrid w:val="0"/>
        <w:spacing w:line="440" w:lineRule="exact"/>
        <w:ind w:firstLine="440" w:firstLineChars="200"/>
        <w:rPr>
          <w:rFonts w:ascii="Times New Roman" w:hAnsi="Times New Roman" w:eastAsia="黑体" w:cs="Times New Roman"/>
          <w:b w:val="0"/>
          <w:bCs/>
          <w:color w:val="auto"/>
          <w:kern w:val="2"/>
          <w:sz w:val="22"/>
          <w:szCs w:val="15"/>
          <w:lang w:val="en-US" w:eastAsia="zh-CN" w:bidi="ar-SA"/>
        </w:rPr>
      </w:pPr>
      <w:r>
        <w:rPr>
          <w:rFonts w:hint="default" w:ascii="Times New Roman" w:hAnsi="Times New Roman" w:eastAsia="黑体" w:cs="Times New Roman"/>
          <w:bCs/>
          <w:color w:val="auto"/>
          <w:sz w:val="22"/>
          <w:szCs w:val="15"/>
          <w:lang w:val="en-US" w:eastAsia="zh-CN"/>
        </w:rPr>
        <w:t>（</w:t>
      </w:r>
      <w:r>
        <w:rPr>
          <w:rFonts w:hint="eastAsia" w:ascii="Times New Roman" w:hAnsi="Times New Roman" w:eastAsia="黑体" w:cs="Times New Roman"/>
          <w:bCs/>
          <w:color w:val="auto"/>
          <w:sz w:val="22"/>
          <w:szCs w:val="15"/>
          <w:lang w:val="en-US" w:eastAsia="zh-CN"/>
        </w:rPr>
        <w:t>3</w:t>
      </w:r>
      <w:r>
        <w:rPr>
          <w:rFonts w:hint="default" w:ascii="Times New Roman" w:hAnsi="Times New Roman" w:eastAsia="黑体" w:cs="Times New Roman"/>
          <w:bCs/>
          <w:color w:val="auto"/>
          <w:sz w:val="22"/>
          <w:szCs w:val="15"/>
          <w:lang w:val="en-US" w:eastAsia="zh-CN"/>
        </w:rPr>
        <w:t>）</w:t>
      </w:r>
      <w:r>
        <w:rPr>
          <w:rFonts w:ascii="Times New Roman" w:hAnsi="Times New Roman" w:eastAsia="黑体" w:cs="Times New Roman"/>
          <w:bCs/>
          <w:color w:val="auto"/>
          <w:sz w:val="22"/>
          <w:szCs w:val="15"/>
          <w:lang w:val="en-US" w:eastAsia="zh-CN"/>
        </w:rPr>
        <w:t>信誉</w:t>
      </w:r>
      <w:r>
        <w:rPr>
          <w:rFonts w:ascii="Times New Roman" w:hAnsi="Times New Roman" w:eastAsia="黑体" w:cs="Times New Roman"/>
          <w:b w:val="0"/>
          <w:bCs/>
          <w:color w:val="auto"/>
          <w:kern w:val="2"/>
          <w:sz w:val="22"/>
          <w:szCs w:val="15"/>
          <w:lang w:val="en-US" w:eastAsia="zh-CN" w:bidi="ar-SA"/>
        </w:rPr>
        <w:t>最低要求：</w:t>
      </w:r>
    </w:p>
    <w:p w14:paraId="47D2A967">
      <w:pPr>
        <w:snapToGrid w:val="0"/>
        <w:spacing w:line="440" w:lineRule="atLeast"/>
        <w:ind w:firstLine="420" w:firstLineChars="200"/>
        <w:rPr>
          <w:rFonts w:hint="eastAsia" w:ascii="Times New Roman" w:hAnsi="Times New Roman" w:cs="Times New Roman"/>
          <w:color w:val="auto"/>
          <w:szCs w:val="22"/>
          <w:lang w:eastAsia="zh-CN"/>
        </w:rPr>
      </w:pPr>
      <w:r>
        <w:rPr>
          <w:rFonts w:hint="eastAsia" w:ascii="Times New Roman" w:hAnsi="Times New Roman" w:cs="Times New Roman"/>
          <w:color w:val="auto"/>
          <w:szCs w:val="22"/>
        </w:rPr>
        <w:t>在“中国执行信息公开网”网站（https://zxgk.court.gov.cn/）中未被列入失信被执行人名单</w:t>
      </w:r>
      <w:r>
        <w:rPr>
          <w:rFonts w:hint="eastAsia" w:ascii="Times New Roman" w:hAnsi="Times New Roman" w:cs="Times New Roman"/>
          <w:color w:val="auto"/>
          <w:szCs w:val="22"/>
          <w:lang w:eastAsia="zh-CN"/>
        </w:rPr>
        <w:t>。</w:t>
      </w:r>
    </w:p>
    <w:p w14:paraId="4B4FE6D0">
      <w:pPr>
        <w:numPr>
          <w:ilvl w:val="0"/>
          <w:numId w:val="0"/>
        </w:numPr>
        <w:snapToGrid w:val="0"/>
        <w:spacing w:line="440" w:lineRule="exact"/>
        <w:ind w:firstLine="440"/>
        <w:rPr>
          <w:rFonts w:hint="default" w:ascii="Times New Roman" w:hAnsi="Times New Roman" w:eastAsia="黑体" w:cs="Times New Roman"/>
          <w:bCs/>
          <w:color w:val="auto"/>
          <w:sz w:val="22"/>
          <w:szCs w:val="15"/>
          <w:lang w:eastAsia="zh-CN"/>
        </w:rPr>
      </w:pPr>
      <w:r>
        <w:rPr>
          <w:rFonts w:hint="eastAsia" w:ascii="Times New Roman" w:hAnsi="Times New Roman" w:eastAsia="黑体" w:cs="Times New Roman"/>
          <w:bCs/>
          <w:color w:val="auto"/>
          <w:sz w:val="22"/>
          <w:szCs w:val="15"/>
          <w:lang w:eastAsia="zh-CN"/>
        </w:rPr>
        <w:t>（</w:t>
      </w:r>
      <w:r>
        <w:rPr>
          <w:rFonts w:hint="eastAsia" w:ascii="Times New Roman" w:hAnsi="Times New Roman" w:eastAsia="黑体" w:cs="Times New Roman"/>
          <w:bCs/>
          <w:color w:val="auto"/>
          <w:sz w:val="22"/>
          <w:szCs w:val="15"/>
          <w:lang w:val="en-US" w:eastAsia="zh-CN"/>
        </w:rPr>
        <w:t>4</w:t>
      </w:r>
      <w:r>
        <w:rPr>
          <w:rFonts w:hint="eastAsia" w:ascii="Times New Roman" w:hAnsi="Times New Roman" w:eastAsia="黑体" w:cs="Times New Roman"/>
          <w:bCs/>
          <w:color w:val="auto"/>
          <w:sz w:val="22"/>
          <w:szCs w:val="15"/>
          <w:lang w:eastAsia="zh-CN"/>
        </w:rPr>
        <w:t>）</w:t>
      </w:r>
      <w:r>
        <w:rPr>
          <w:rFonts w:hint="default" w:ascii="Times New Roman" w:hAnsi="Times New Roman" w:eastAsia="黑体" w:cs="Times New Roman"/>
          <w:bCs/>
          <w:color w:val="auto"/>
          <w:sz w:val="22"/>
          <w:szCs w:val="15"/>
          <w:lang w:eastAsia="zh-CN"/>
        </w:rPr>
        <w:t>车辆最低要求：</w:t>
      </w:r>
    </w:p>
    <w:p w14:paraId="04E2AA24">
      <w:pPr>
        <w:numPr>
          <w:ilvl w:val="0"/>
          <w:numId w:val="0"/>
        </w:numPr>
        <w:snapToGrid w:val="0"/>
        <w:spacing w:line="440" w:lineRule="atLeast"/>
        <w:ind w:firstLine="420" w:firstLineChars="2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投标人具有可出租车辆不少于20台，且轿车、越野车、商务车等</w:t>
      </w:r>
      <w:r>
        <w:rPr>
          <w:rFonts w:hint="eastAsia" w:ascii="Times New Roman" w:hAnsi="Times New Roman" w:eastAsia="宋体" w:cs="Times New Roman"/>
          <w:color w:val="auto"/>
          <w:szCs w:val="22"/>
          <w:lang w:eastAsia="zh-CN"/>
        </w:rPr>
        <w:t>常用</w:t>
      </w:r>
      <w:r>
        <w:rPr>
          <w:rFonts w:hint="eastAsia" w:ascii="Times New Roman" w:hAnsi="Times New Roman" w:eastAsia="宋体" w:cs="Times New Roman"/>
          <w:color w:val="auto"/>
          <w:szCs w:val="22"/>
        </w:rPr>
        <w:t>车型</w:t>
      </w:r>
      <w:r>
        <w:rPr>
          <w:rFonts w:hint="eastAsia" w:ascii="Times New Roman" w:hAnsi="Times New Roman" w:eastAsia="宋体" w:cs="Times New Roman"/>
          <w:color w:val="auto"/>
          <w:szCs w:val="22"/>
          <w:lang w:eastAsia="zh-CN"/>
        </w:rPr>
        <w:t>不少于</w:t>
      </w:r>
      <w:r>
        <w:rPr>
          <w:rFonts w:hint="eastAsia" w:ascii="Times New Roman" w:hAnsi="Times New Roman" w:eastAsia="宋体" w:cs="Times New Roman"/>
          <w:color w:val="auto"/>
          <w:szCs w:val="22"/>
          <w:lang w:val="en-US" w:eastAsia="zh-CN"/>
        </w:rPr>
        <w:t>80%</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eastAsia="zh-CN"/>
        </w:rPr>
        <w:t>（需附出租车辆清单，此项资格后审）</w:t>
      </w:r>
    </w:p>
    <w:p w14:paraId="05E3E2C9">
      <w:pPr>
        <w:snapToGrid w:val="0"/>
        <w:spacing w:line="440" w:lineRule="atLeast"/>
        <w:ind w:firstLine="422" w:firstLineChars="200"/>
        <w:rPr>
          <w:rFonts w:hint="default" w:ascii="Times New Roman" w:hAnsi="Times New Roman" w:eastAsia="宋体" w:cs="Times New Roman"/>
          <w:b/>
          <w:bCs/>
          <w:color w:val="auto"/>
          <w:szCs w:val="22"/>
        </w:rPr>
      </w:pPr>
      <w:r>
        <w:rPr>
          <w:rFonts w:hint="default" w:ascii="Times New Roman" w:hAnsi="Times New Roman" w:eastAsia="宋体" w:cs="Times New Roman"/>
          <w:b/>
          <w:bCs/>
          <w:color w:val="auto"/>
          <w:szCs w:val="22"/>
        </w:rPr>
        <w:t>※以上资格条件需提供证明文件，否则均按废标处理。</w:t>
      </w:r>
    </w:p>
    <w:p w14:paraId="49284931">
      <w:pPr>
        <w:snapToGrid w:val="0"/>
        <w:spacing w:line="440" w:lineRule="atLeast"/>
        <w:ind w:left="420" w:leftChars="200" w:firstLine="0" w:firstLineChars="0"/>
        <w:rPr>
          <w:rFonts w:ascii="Times New Roman" w:hAnsi="Times New Roman" w:cs="Times New Roman"/>
          <w:color w:val="auto"/>
          <w:sz w:val="18"/>
          <w:szCs w:val="21"/>
        </w:rPr>
      </w:pPr>
      <w:r>
        <w:rPr>
          <w:rFonts w:ascii="Times New Roman" w:hAnsi="Times New Roman" w:cs="Times New Roman"/>
          <w:color w:val="auto"/>
          <w:szCs w:val="22"/>
        </w:rPr>
        <w:t>3.2联合体：</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32868959">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3.3 单位负责人为同一人或者存在控股、管理关系的不同单位，不得同时参加同一合同包报价，否则相关响应文件均无效。</w:t>
      </w:r>
    </w:p>
    <w:p w14:paraId="76EDABA6">
      <w:pPr>
        <w:pStyle w:val="5"/>
        <w:snapToGrid w:val="0"/>
        <w:spacing w:before="120" w:after="120" w:line="240" w:lineRule="auto"/>
        <w:ind w:firstLine="403"/>
        <w:rPr>
          <w:rFonts w:ascii="Times New Roman" w:hAnsi="Times New Roman" w:eastAsia="黑体" w:cs="Times New Roman"/>
          <w:b w:val="0"/>
          <w:color w:val="auto"/>
          <w:sz w:val="22"/>
          <w:szCs w:val="15"/>
        </w:rPr>
      </w:pPr>
      <w:bookmarkStart w:id="26" w:name="_Toc25666_WPSOffice_Level2"/>
      <w:bookmarkStart w:id="27" w:name="_Toc4751"/>
      <w:bookmarkStart w:id="28" w:name="_Toc4109_WPSOffice_Level2"/>
      <w:bookmarkStart w:id="29" w:name="_Toc1994"/>
      <w:bookmarkStart w:id="30" w:name="_Toc29452_WPSOffice_Level2"/>
      <w:bookmarkStart w:id="31" w:name="_Toc2996_WPSOffice_Level2"/>
      <w:bookmarkStart w:id="32" w:name="_Toc525632588"/>
      <w:r>
        <w:rPr>
          <w:rFonts w:hint="eastAsia" w:ascii="Times New Roman" w:hAnsi="Times New Roman" w:eastAsia="黑体" w:cs="Times New Roman"/>
          <w:b w:val="0"/>
          <w:color w:val="auto"/>
          <w:sz w:val="22"/>
          <w:szCs w:val="15"/>
        </w:rPr>
        <w:t>询比文件</w:t>
      </w:r>
      <w:r>
        <w:rPr>
          <w:rFonts w:ascii="Times New Roman" w:hAnsi="Times New Roman" w:eastAsia="黑体" w:cs="Times New Roman"/>
          <w:b w:val="0"/>
          <w:color w:val="auto"/>
          <w:sz w:val="22"/>
          <w:szCs w:val="15"/>
        </w:rPr>
        <w:t>的获取</w:t>
      </w:r>
      <w:bookmarkEnd w:id="26"/>
      <w:bookmarkEnd w:id="27"/>
      <w:bookmarkEnd w:id="28"/>
      <w:bookmarkEnd w:id="29"/>
      <w:bookmarkEnd w:id="30"/>
      <w:bookmarkEnd w:id="31"/>
      <w:bookmarkEnd w:id="32"/>
    </w:p>
    <w:p w14:paraId="3A8D9849">
      <w:pPr>
        <w:snapToGrid w:val="0"/>
        <w:spacing w:line="440" w:lineRule="exact"/>
        <w:ind w:firstLine="367" w:firstLineChars="175"/>
        <w:rPr>
          <w:rFonts w:ascii="Times New Roman" w:hAnsi="Times New Roman" w:cs="Times New Roman"/>
          <w:color w:val="auto"/>
          <w:szCs w:val="22"/>
        </w:rPr>
      </w:pPr>
      <w:r>
        <w:rPr>
          <w:rFonts w:ascii="Times New Roman" w:hAnsi="Times New Roman" w:cs="Times New Roman"/>
          <w:color w:val="auto"/>
          <w:szCs w:val="22"/>
        </w:rPr>
        <w:t>供应商应在递交响应文件的截止</w:t>
      </w:r>
      <w:r>
        <w:rPr>
          <w:rFonts w:ascii="Times New Roman" w:hAnsi="Times New Roman" w:cs="Times New Roman"/>
          <w:color w:val="auto"/>
          <w:szCs w:val="21"/>
        </w:rPr>
        <w:t>时间前登录</w:t>
      </w:r>
      <w:r>
        <w:rPr>
          <w:rFonts w:hint="eastAsia" w:ascii="Times New Roman" w:hAnsi="Times New Roman" w:cs="Times New Roman"/>
          <w:color w:val="auto"/>
          <w:szCs w:val="21"/>
        </w:rPr>
        <w:t>高速检测官网（http://www.ahgsjc.com/）公司公告栏</w:t>
      </w:r>
      <w:r>
        <w:rPr>
          <w:rFonts w:ascii="Times New Roman" w:hAnsi="Times New Roman" w:cs="Times New Roman"/>
          <w:color w:val="auto"/>
          <w:szCs w:val="22"/>
        </w:rPr>
        <w:t>，自行下载</w:t>
      </w:r>
      <w:r>
        <w:rPr>
          <w:rFonts w:hint="eastAsia" w:ascii="Times New Roman" w:hAnsi="Times New Roman" w:cs="Times New Roman"/>
          <w:color w:val="auto"/>
          <w:szCs w:val="22"/>
        </w:rPr>
        <w:t>询比文件</w:t>
      </w:r>
      <w:r>
        <w:rPr>
          <w:rFonts w:ascii="Times New Roman" w:hAnsi="Times New Roman" w:cs="Times New Roman"/>
          <w:color w:val="auto"/>
          <w:szCs w:val="22"/>
        </w:rPr>
        <w:t>及相关资料</w:t>
      </w:r>
      <w:r>
        <w:rPr>
          <w:rFonts w:ascii="Times New Roman" w:hAnsi="Times New Roman" w:cs="Times New Roman"/>
          <w:color w:val="auto"/>
          <w:szCs w:val="21"/>
        </w:rPr>
        <w:t>。</w:t>
      </w:r>
    </w:p>
    <w:p w14:paraId="1D136D0F">
      <w:pPr>
        <w:pStyle w:val="5"/>
        <w:snapToGrid w:val="0"/>
        <w:spacing w:before="120" w:after="120" w:line="240" w:lineRule="auto"/>
        <w:ind w:firstLine="403"/>
        <w:rPr>
          <w:rFonts w:ascii="Times New Roman" w:hAnsi="Times New Roman" w:eastAsia="黑体" w:cs="Times New Roman"/>
          <w:b w:val="0"/>
          <w:color w:val="auto"/>
          <w:sz w:val="22"/>
          <w:szCs w:val="15"/>
        </w:rPr>
      </w:pPr>
      <w:bookmarkStart w:id="33" w:name="_Toc726"/>
      <w:bookmarkStart w:id="34" w:name="_Toc525632589"/>
      <w:r>
        <w:rPr>
          <w:rFonts w:ascii="Times New Roman" w:hAnsi="Times New Roman" w:eastAsia="黑体" w:cs="Times New Roman"/>
          <w:b w:val="0"/>
          <w:color w:val="auto"/>
          <w:sz w:val="22"/>
          <w:szCs w:val="15"/>
        </w:rPr>
        <w:t>响应文件的递交</w:t>
      </w:r>
      <w:bookmarkEnd w:id="33"/>
      <w:bookmarkEnd w:id="34"/>
    </w:p>
    <w:p w14:paraId="3DF9F6DA">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响应文件递交的截止时间为</w:t>
      </w:r>
      <w:r>
        <w:rPr>
          <w:rFonts w:hint="eastAsia" w:ascii="Times New Roman" w:hAnsi="Times New Roman" w:cs="Times New Roman"/>
          <w:color w:val="auto"/>
          <w:szCs w:val="22"/>
          <w:u w:val="single"/>
        </w:rPr>
        <w:t>202</w:t>
      </w:r>
      <w:r>
        <w:rPr>
          <w:rFonts w:hint="eastAsia" w:ascii="Times New Roman" w:hAnsi="Times New Roman" w:cs="Times New Roman"/>
          <w:color w:val="auto"/>
          <w:szCs w:val="22"/>
          <w:u w:val="single"/>
          <w:lang w:val="en-US" w:eastAsia="zh-CN"/>
        </w:rPr>
        <w:t>5</w:t>
      </w:r>
      <w:r>
        <w:rPr>
          <w:rFonts w:ascii="Times New Roman" w:hAnsi="Times New Roman" w:cs="Times New Roman"/>
          <w:color w:val="auto"/>
          <w:szCs w:val="22"/>
          <w:highlight w:val="none"/>
          <w:u w:val="single"/>
        </w:rPr>
        <w:t>年</w:t>
      </w:r>
      <w:r>
        <w:rPr>
          <w:rFonts w:hint="eastAsia" w:ascii="Times New Roman" w:hAnsi="Times New Roman" w:cs="Times New Roman"/>
          <w:color w:val="auto"/>
          <w:szCs w:val="22"/>
          <w:highlight w:val="none"/>
          <w:u w:val="single"/>
          <w:lang w:val="en-US" w:eastAsia="zh-CN"/>
        </w:rPr>
        <w:t>03</w:t>
      </w:r>
      <w:r>
        <w:rPr>
          <w:rFonts w:ascii="Times New Roman" w:hAnsi="Times New Roman" w:cs="Times New Roman"/>
          <w:color w:val="auto"/>
          <w:szCs w:val="22"/>
          <w:highlight w:val="none"/>
          <w:u w:val="single"/>
        </w:rPr>
        <w:t>月</w:t>
      </w:r>
      <w:r>
        <w:rPr>
          <w:rFonts w:hint="eastAsia" w:ascii="Times New Roman" w:hAnsi="Times New Roman" w:cs="Times New Roman"/>
          <w:color w:val="auto"/>
          <w:szCs w:val="22"/>
          <w:highlight w:val="none"/>
          <w:u w:val="single"/>
          <w:lang w:val="en-US" w:eastAsia="zh-CN"/>
        </w:rPr>
        <w:t>24</w:t>
      </w:r>
      <w:r>
        <w:rPr>
          <w:rFonts w:ascii="Times New Roman" w:hAnsi="Times New Roman" w:cs="Times New Roman"/>
          <w:color w:val="auto"/>
          <w:szCs w:val="22"/>
          <w:highlight w:val="none"/>
          <w:u w:val="single"/>
        </w:rPr>
        <w:t>日</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u w:val="single"/>
          <w:lang w:val="en-US" w:eastAsia="zh-CN"/>
        </w:rPr>
        <w:t xml:space="preserve">9 </w:t>
      </w:r>
      <w:r>
        <w:rPr>
          <w:rFonts w:ascii="Times New Roman" w:hAnsi="Times New Roman" w:cs="Times New Roman"/>
          <w:color w:val="auto"/>
          <w:szCs w:val="22"/>
          <w:u w:val="single"/>
        </w:rPr>
        <w:t>时</w:t>
      </w:r>
      <w:r>
        <w:rPr>
          <w:rFonts w:hint="eastAsia" w:ascii="Times New Roman" w:hAnsi="Times New Roman" w:cs="Times New Roman"/>
          <w:color w:val="auto"/>
          <w:szCs w:val="22"/>
          <w:u w:val="single"/>
          <w:lang w:val="en-US" w:eastAsia="zh-CN"/>
        </w:rPr>
        <w:t>30</w:t>
      </w:r>
      <w:r>
        <w:rPr>
          <w:rFonts w:ascii="Times New Roman" w:hAnsi="Times New Roman" w:cs="Times New Roman"/>
          <w:color w:val="auto"/>
          <w:szCs w:val="22"/>
          <w:u w:val="single"/>
        </w:rPr>
        <w:t>分</w:t>
      </w:r>
      <w:r>
        <w:rPr>
          <w:rFonts w:ascii="Times New Roman" w:hAnsi="Times New Roman" w:cs="Times New Roman"/>
          <w:color w:val="auto"/>
          <w:szCs w:val="22"/>
        </w:rPr>
        <w:t>，供应商的法定代表人或其授权代理人应于递交的截止时间前将响应文件递交至</w:t>
      </w:r>
      <w:r>
        <w:rPr>
          <w:rFonts w:hint="eastAsia" w:ascii="Times New Roman" w:hAnsi="Times New Roman" w:cs="Times New Roman"/>
          <w:color w:val="auto"/>
          <w:szCs w:val="22"/>
          <w:u w:val="single"/>
        </w:rPr>
        <w:t>安徽省高速公路试验检测科研中心有限公司</w:t>
      </w:r>
      <w:r>
        <w:rPr>
          <w:rFonts w:hint="eastAsia" w:ascii="Times New Roman" w:hAnsi="Times New Roman" w:cs="Times New Roman"/>
          <w:color w:val="auto"/>
          <w:szCs w:val="22"/>
          <w:u w:val="single"/>
          <w:lang w:val="en-US" w:eastAsia="zh-CN"/>
        </w:rPr>
        <w:t>七</w:t>
      </w:r>
      <w:r>
        <w:rPr>
          <w:rFonts w:hint="eastAsia" w:ascii="Times New Roman" w:hAnsi="Times New Roman" w:cs="Times New Roman"/>
          <w:color w:val="auto"/>
          <w:szCs w:val="22"/>
          <w:u w:val="single"/>
        </w:rPr>
        <w:t>楼</w:t>
      </w:r>
      <w:r>
        <w:rPr>
          <w:rFonts w:hint="eastAsia" w:ascii="Times New Roman" w:hAnsi="Times New Roman" w:cs="Times New Roman"/>
          <w:color w:val="auto"/>
          <w:szCs w:val="22"/>
          <w:u w:val="single"/>
          <w:lang w:eastAsia="zh-CN"/>
        </w:rPr>
        <w:t>检测事业部</w:t>
      </w:r>
      <w:r>
        <w:rPr>
          <w:rFonts w:hint="eastAsia" w:ascii="Times New Roman" w:hAnsi="Times New Roman" w:cs="Times New Roman"/>
          <w:color w:val="auto"/>
          <w:szCs w:val="22"/>
          <w:u w:val="single"/>
          <w:lang w:val="en-US" w:eastAsia="zh-CN"/>
        </w:rPr>
        <w:t>713</w:t>
      </w:r>
      <w:r>
        <w:rPr>
          <w:rFonts w:hint="eastAsia" w:ascii="Times New Roman" w:hAnsi="Times New Roman" w:cs="Times New Roman"/>
          <w:color w:val="auto"/>
          <w:szCs w:val="22"/>
          <w:u w:val="single"/>
        </w:rPr>
        <w:t>会议室（地点：安徽省合肥市蜀山区方兴大道与彩虹路交口东北角设计总院 交通慧谷2号楼）</w:t>
      </w:r>
      <w:r>
        <w:rPr>
          <w:rFonts w:ascii="Times New Roman" w:hAnsi="Times New Roman" w:cs="Times New Roman"/>
          <w:color w:val="auto"/>
          <w:szCs w:val="22"/>
        </w:rPr>
        <w:t>。</w:t>
      </w:r>
    </w:p>
    <w:p w14:paraId="40AAC840">
      <w:pPr>
        <w:pStyle w:val="5"/>
        <w:snapToGrid w:val="0"/>
        <w:spacing w:before="120" w:after="120" w:line="240" w:lineRule="auto"/>
        <w:ind w:firstLine="403"/>
        <w:rPr>
          <w:rFonts w:ascii="Times New Roman" w:hAnsi="Times New Roman" w:eastAsia="黑体" w:cs="Times New Roman"/>
          <w:b w:val="0"/>
          <w:color w:val="auto"/>
          <w:sz w:val="22"/>
          <w:szCs w:val="15"/>
        </w:rPr>
      </w:pPr>
      <w:bookmarkStart w:id="35" w:name="_Toc22719"/>
      <w:bookmarkStart w:id="36" w:name="_Toc525632591"/>
      <w:r>
        <w:rPr>
          <w:rFonts w:ascii="Times New Roman" w:hAnsi="Times New Roman" w:eastAsia="黑体" w:cs="Times New Roman"/>
          <w:b w:val="0"/>
          <w:color w:val="auto"/>
          <w:sz w:val="22"/>
          <w:szCs w:val="15"/>
        </w:rPr>
        <w:t>响应文件启封</w:t>
      </w:r>
    </w:p>
    <w:p w14:paraId="0608DC67">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响应文件的递交截止时间到后，采购人将于</w:t>
      </w:r>
      <w:r>
        <w:rPr>
          <w:rFonts w:hint="eastAsia" w:ascii="Times New Roman" w:hAnsi="Times New Roman" w:cs="Times New Roman"/>
          <w:color w:val="auto"/>
          <w:szCs w:val="22"/>
          <w:u w:val="single"/>
        </w:rPr>
        <w:t>安徽省高速公路试验检测科研中心有限公司</w:t>
      </w:r>
      <w:r>
        <w:rPr>
          <w:rFonts w:hint="eastAsia" w:ascii="Times New Roman" w:hAnsi="Times New Roman" w:cs="Times New Roman"/>
          <w:color w:val="auto"/>
          <w:szCs w:val="22"/>
          <w:u w:val="single"/>
          <w:lang w:val="en-US" w:eastAsia="zh-CN"/>
        </w:rPr>
        <w:t>七</w:t>
      </w:r>
      <w:r>
        <w:rPr>
          <w:rFonts w:hint="eastAsia" w:ascii="Times New Roman" w:hAnsi="Times New Roman" w:cs="Times New Roman"/>
          <w:color w:val="auto"/>
          <w:szCs w:val="22"/>
          <w:u w:val="single"/>
        </w:rPr>
        <w:t>楼</w:t>
      </w:r>
      <w:r>
        <w:rPr>
          <w:rFonts w:hint="eastAsia" w:ascii="Times New Roman" w:hAnsi="Times New Roman" w:cs="Times New Roman"/>
          <w:color w:val="auto"/>
          <w:szCs w:val="22"/>
          <w:u w:val="single"/>
          <w:lang w:eastAsia="zh-CN"/>
        </w:rPr>
        <w:t>检测事业部</w:t>
      </w:r>
      <w:r>
        <w:rPr>
          <w:rFonts w:hint="eastAsia" w:ascii="Times New Roman" w:hAnsi="Times New Roman" w:cs="Times New Roman"/>
          <w:color w:val="auto"/>
          <w:szCs w:val="22"/>
          <w:u w:val="single"/>
          <w:lang w:val="en-US" w:eastAsia="zh-CN"/>
        </w:rPr>
        <w:t>713</w:t>
      </w:r>
      <w:r>
        <w:rPr>
          <w:rFonts w:hint="eastAsia" w:ascii="Times New Roman" w:hAnsi="Times New Roman" w:cs="Times New Roman"/>
          <w:color w:val="auto"/>
          <w:szCs w:val="22"/>
          <w:u w:val="single"/>
        </w:rPr>
        <w:t>会议室（地点：安徽省合肥市蜀山区方兴大道与彩虹路交口东北角设计总院 交通慧谷2号楼）</w:t>
      </w:r>
      <w:r>
        <w:rPr>
          <w:rFonts w:ascii="Times New Roman" w:hAnsi="Times New Roman" w:cs="Times New Roman"/>
          <w:color w:val="auto"/>
          <w:szCs w:val="22"/>
        </w:rPr>
        <w:t>组织进行响应文件的启封。供应商的法定代表人或授权代理人应携带本人身份证</w:t>
      </w:r>
      <w:r>
        <w:rPr>
          <w:rFonts w:hint="eastAsia" w:ascii="Times New Roman" w:hAnsi="Times New Roman" w:cs="Times New Roman"/>
          <w:color w:val="auto"/>
          <w:szCs w:val="22"/>
        </w:rPr>
        <w:t>、授权代理人应携带授权委托书</w:t>
      </w:r>
      <w:r>
        <w:rPr>
          <w:rFonts w:ascii="Times New Roman" w:hAnsi="Times New Roman" w:cs="Times New Roman"/>
          <w:color w:val="auto"/>
          <w:szCs w:val="22"/>
        </w:rPr>
        <w:t>准时参加启封会议。</w:t>
      </w:r>
    </w:p>
    <w:p w14:paraId="028573D5">
      <w:pPr>
        <w:pStyle w:val="5"/>
        <w:snapToGrid w:val="0"/>
        <w:spacing w:before="120" w:after="120" w:line="240" w:lineRule="auto"/>
        <w:ind w:firstLine="403"/>
        <w:rPr>
          <w:rFonts w:ascii="Times New Roman" w:hAnsi="Times New Roman" w:eastAsia="黑体" w:cs="Times New Roman"/>
          <w:b w:val="0"/>
          <w:color w:val="auto"/>
          <w:sz w:val="22"/>
          <w:szCs w:val="15"/>
        </w:rPr>
      </w:pPr>
      <w:r>
        <w:rPr>
          <w:rFonts w:hint="eastAsia" w:ascii="Times New Roman" w:hAnsi="Times New Roman" w:eastAsia="黑体" w:cs="Times New Roman"/>
          <w:b w:val="0"/>
          <w:color w:val="auto"/>
          <w:sz w:val="22"/>
          <w:szCs w:val="15"/>
        </w:rPr>
        <w:t>响应保证金</w:t>
      </w:r>
      <w:r>
        <w:rPr>
          <w:rFonts w:hint="eastAsia" w:ascii="Times New Roman" w:hAnsi="Times New Roman" w:eastAsia="黑体" w:cs="Times New Roman"/>
          <w:b w:val="0"/>
          <w:color w:val="auto"/>
          <w:sz w:val="22"/>
          <w:szCs w:val="15"/>
          <w:lang w:val="en-US" w:eastAsia="zh-CN"/>
        </w:rPr>
        <w:t>及履约保证金</w:t>
      </w:r>
    </w:p>
    <w:p w14:paraId="3765496A">
      <w:pPr>
        <w:widowControl/>
        <w:snapToGrid w:val="0"/>
        <w:spacing w:line="440" w:lineRule="exact"/>
        <w:ind w:firstLine="420" w:firstLineChars="200"/>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7.1响应保证金</w:t>
      </w:r>
    </w:p>
    <w:p w14:paraId="5DE02B40">
      <w:pPr>
        <w:widowControl/>
        <w:snapToGrid w:val="0"/>
        <w:spacing w:line="440" w:lineRule="exact"/>
        <w:ind w:firstLine="420" w:firstLineChars="200"/>
        <w:rPr>
          <w:rFonts w:hint="eastAsia" w:ascii="Times New Roman" w:hAnsi="Times New Roman"/>
          <w:color w:val="000000"/>
          <w:highlight w:val="none"/>
        </w:rPr>
      </w:pPr>
      <w:r>
        <w:rPr>
          <w:rFonts w:hint="eastAsia" w:ascii="宋体" w:hAnsi="宋体" w:eastAsia="宋体" w:cs="宋体"/>
          <w:color w:val="auto"/>
          <w:szCs w:val="22"/>
          <w:highlight w:val="none"/>
        </w:rPr>
        <w:t>本项目免收</w:t>
      </w:r>
      <w:r>
        <w:rPr>
          <w:rFonts w:hint="eastAsia" w:ascii="Times New Roman" w:hAnsi="Times New Roman"/>
          <w:color w:val="000000"/>
          <w:highlight w:val="none"/>
        </w:rPr>
        <w:t>。</w:t>
      </w:r>
    </w:p>
    <w:p w14:paraId="6B3CCE83">
      <w:pPr>
        <w:widowControl/>
        <w:snapToGrid w:val="0"/>
        <w:spacing w:line="440" w:lineRule="exact"/>
        <w:ind w:firstLine="420" w:firstLineChars="200"/>
        <w:rPr>
          <w:rFonts w:hint="eastAsia" w:ascii="宋体" w:hAnsi="宋体" w:cs="宋体"/>
          <w:color w:val="auto"/>
          <w:szCs w:val="22"/>
          <w:highlight w:val="none"/>
          <w:lang w:val="en-US" w:eastAsia="zh-CN"/>
        </w:rPr>
      </w:pPr>
      <w:r>
        <w:rPr>
          <w:rFonts w:hint="eastAsia" w:ascii="Times New Roman" w:hAnsi="Times New Roman"/>
          <w:color w:val="000000"/>
          <w:highlight w:val="none"/>
          <w:lang w:val="en-US" w:eastAsia="zh-CN"/>
        </w:rPr>
        <w:t>7.2履约</w:t>
      </w:r>
      <w:r>
        <w:rPr>
          <w:rFonts w:hint="eastAsia" w:ascii="宋体" w:hAnsi="宋体" w:cs="宋体"/>
          <w:color w:val="auto"/>
          <w:szCs w:val="22"/>
          <w:highlight w:val="none"/>
          <w:lang w:val="en-US" w:eastAsia="zh-CN"/>
        </w:rPr>
        <w:t>保证金</w:t>
      </w:r>
    </w:p>
    <w:p w14:paraId="7F41E177">
      <w:pPr>
        <w:widowControl/>
        <w:numPr>
          <w:ilvl w:val="0"/>
          <w:numId w:val="0"/>
        </w:numPr>
        <w:snapToGrid w:val="0"/>
        <w:spacing w:line="440" w:lineRule="exact"/>
        <w:ind w:firstLine="420" w:firstLineChars="200"/>
        <w:rPr>
          <w:rFonts w:hint="eastAsia" w:ascii="Times New Roman" w:hAnsi="Times New Roman" w:eastAsia="宋体"/>
          <w:color w:val="auto"/>
          <w:u w:val="single"/>
          <w:lang w:eastAsia="zh-CN"/>
        </w:rPr>
      </w:pPr>
      <w:r>
        <w:rPr>
          <w:rFonts w:hint="default"/>
          <w:highlight w:val="none"/>
          <w:lang w:val="en-US" w:eastAsia="zh-CN"/>
        </w:rPr>
        <w:t>在签订合同前，成交人应向采购人提交履约保证金。履约保证金的金额为</w:t>
      </w:r>
      <w:r>
        <w:rPr>
          <w:rFonts w:hint="eastAsia"/>
          <w:highlight w:val="none"/>
          <w:u w:val="single"/>
          <w:lang w:val="en-US" w:eastAsia="zh-CN"/>
        </w:rPr>
        <w:t>20000</w:t>
      </w:r>
      <w:r>
        <w:rPr>
          <w:rFonts w:hint="default"/>
          <w:highlight w:val="none"/>
          <w:u w:val="single"/>
          <w:lang w:val="en-US" w:eastAsia="zh-CN"/>
        </w:rPr>
        <w:t>.0</w:t>
      </w:r>
      <w:r>
        <w:rPr>
          <w:rFonts w:hint="default"/>
          <w:highlight w:val="none"/>
          <w:lang w:val="en-US" w:eastAsia="zh-CN"/>
        </w:rPr>
        <w:t>元，</w:t>
      </w:r>
      <w:r>
        <w:rPr>
          <w:rFonts w:hint="default"/>
          <w:lang w:val="en-US" w:eastAsia="zh-CN"/>
        </w:rPr>
        <w:t>履约保证金的形式为银行转账或者履约保函；若采用银行转账的形式，备注为</w:t>
      </w:r>
      <w:r>
        <w:rPr>
          <w:rFonts w:hint="default"/>
          <w:u w:val="single"/>
          <w:lang w:val="en-US" w:eastAsia="zh-CN"/>
        </w:rPr>
        <w:t>高速检测2025-2027年生产车辆租赁服务集中采购履约保证金（可简写）</w:t>
      </w:r>
      <w:r>
        <w:rPr>
          <w:rFonts w:hint="default"/>
          <w:lang w:val="en-US" w:eastAsia="zh-CN"/>
        </w:rPr>
        <w:t>。</w:t>
      </w:r>
    </w:p>
    <w:p w14:paraId="66894EEB">
      <w:pPr>
        <w:pStyle w:val="5"/>
        <w:snapToGrid w:val="0"/>
        <w:spacing w:before="120" w:after="120" w:line="240" w:lineRule="auto"/>
        <w:ind w:firstLine="403"/>
        <w:rPr>
          <w:rFonts w:ascii="Times New Roman" w:hAnsi="Times New Roman" w:eastAsia="黑体" w:cs="Times New Roman"/>
          <w:b w:val="0"/>
          <w:color w:val="auto"/>
          <w:sz w:val="22"/>
          <w:szCs w:val="15"/>
        </w:rPr>
      </w:pPr>
      <w:r>
        <w:rPr>
          <w:rFonts w:ascii="Times New Roman" w:hAnsi="Times New Roman" w:eastAsia="黑体" w:cs="Times New Roman"/>
          <w:b w:val="0"/>
          <w:color w:val="auto"/>
          <w:sz w:val="22"/>
          <w:szCs w:val="15"/>
        </w:rPr>
        <w:t>发布公告的媒介</w:t>
      </w:r>
      <w:bookmarkEnd w:id="35"/>
      <w:bookmarkEnd w:id="36"/>
    </w:p>
    <w:p w14:paraId="2D584910">
      <w:pPr>
        <w:snapToGrid w:val="0"/>
        <w:spacing w:line="440" w:lineRule="exact"/>
        <w:ind w:firstLine="420" w:firstLineChars="200"/>
        <w:rPr>
          <w:rFonts w:ascii="Times New Roman" w:hAnsi="Times New Roman" w:eastAsia="黑体" w:cs="Times New Roman"/>
          <w:color w:val="auto"/>
          <w:sz w:val="22"/>
          <w:szCs w:val="15"/>
        </w:rPr>
      </w:pPr>
      <w:r>
        <w:rPr>
          <w:rFonts w:ascii="Times New Roman" w:hAnsi="Times New Roman" w:cs="Times New Roman"/>
          <w:color w:val="auto"/>
          <w:szCs w:val="22"/>
        </w:rPr>
        <w:t>本次采购公告在</w:t>
      </w:r>
      <w:r>
        <w:rPr>
          <w:rFonts w:hint="eastAsia" w:ascii="Times New Roman" w:hAnsi="Times New Roman" w:cs="Times New Roman"/>
          <w:color w:val="auto"/>
          <w:szCs w:val="21"/>
          <w:u w:val="single"/>
        </w:rPr>
        <w:t>高速检测官网（http://www.ahgsjc.com/）</w:t>
      </w:r>
      <w:r>
        <w:rPr>
          <w:rFonts w:hint="eastAsia" w:ascii="Times New Roman" w:hAnsi="Times New Roman" w:cs="Times New Roman"/>
          <w:color w:val="auto"/>
          <w:szCs w:val="21"/>
        </w:rPr>
        <w:t>公司公告栏</w:t>
      </w:r>
      <w:r>
        <w:rPr>
          <w:rFonts w:ascii="Times New Roman" w:hAnsi="Times New Roman" w:cs="Times New Roman"/>
          <w:color w:val="auto"/>
          <w:szCs w:val="22"/>
        </w:rPr>
        <w:t>上发布。</w:t>
      </w:r>
    </w:p>
    <w:p w14:paraId="4E310648">
      <w:pPr>
        <w:pStyle w:val="5"/>
        <w:snapToGrid w:val="0"/>
        <w:spacing w:before="120" w:after="120" w:line="240" w:lineRule="auto"/>
        <w:ind w:firstLine="403"/>
        <w:rPr>
          <w:rFonts w:ascii="Times New Roman" w:hAnsi="Times New Roman" w:eastAsia="黑体" w:cs="Times New Roman"/>
          <w:b w:val="0"/>
          <w:color w:val="auto"/>
          <w:sz w:val="22"/>
          <w:szCs w:val="15"/>
        </w:rPr>
      </w:pPr>
      <w:bookmarkStart w:id="37" w:name="_Toc8501"/>
      <w:bookmarkStart w:id="38" w:name="_Toc26829"/>
      <w:bookmarkStart w:id="39" w:name="_Toc28571_WPSOffice_Level2"/>
      <w:bookmarkStart w:id="40" w:name="_Toc14943_WPSOffice_Level2"/>
      <w:bookmarkStart w:id="41" w:name="_Toc525632592"/>
      <w:bookmarkStart w:id="42" w:name="_Toc20572_WPSOffice_Level2"/>
      <w:bookmarkStart w:id="43" w:name="_Toc321_WPSOffice_Level2"/>
      <w:r>
        <w:rPr>
          <w:rFonts w:ascii="Times New Roman" w:hAnsi="Times New Roman" w:eastAsia="黑体" w:cs="Times New Roman"/>
          <w:b w:val="0"/>
          <w:color w:val="auto"/>
          <w:sz w:val="22"/>
          <w:szCs w:val="15"/>
        </w:rPr>
        <w:t>采购人联系方式</w:t>
      </w:r>
      <w:bookmarkEnd w:id="37"/>
      <w:bookmarkEnd w:id="38"/>
      <w:bookmarkEnd w:id="39"/>
      <w:bookmarkEnd w:id="40"/>
      <w:bookmarkEnd w:id="41"/>
      <w:bookmarkEnd w:id="42"/>
      <w:bookmarkEnd w:id="43"/>
    </w:p>
    <w:p w14:paraId="716AB816">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采 购 人：</w:t>
      </w:r>
      <w:r>
        <w:rPr>
          <w:rFonts w:ascii="Times New Roman" w:hAnsi="Times New Roman" w:cs="Times New Roman"/>
          <w:color w:val="auto"/>
          <w:szCs w:val="22"/>
          <w:u w:val="single"/>
        </w:rPr>
        <w:t>安徽省高速公路试验检测科研中心有限公司</w:t>
      </w:r>
    </w:p>
    <w:p w14:paraId="2B86A0FE">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地    址：</w:t>
      </w:r>
      <w:r>
        <w:rPr>
          <w:rFonts w:hint="eastAsia" w:ascii="Times New Roman" w:hAnsi="Times New Roman" w:cs="Times New Roman"/>
          <w:color w:val="auto"/>
          <w:szCs w:val="22"/>
          <w:u w:val="single"/>
        </w:rPr>
        <w:t>安徽省合肥市蜀山区方兴大道与彩虹路交口东北角设计总院 交通慧谷2号楼</w:t>
      </w:r>
    </w:p>
    <w:p w14:paraId="61253864">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联 系 人：</w:t>
      </w:r>
      <w:r>
        <w:rPr>
          <w:rFonts w:hint="eastAsia" w:ascii="Times New Roman" w:hAnsi="Times New Roman" w:cs="Times New Roman"/>
          <w:color w:val="auto"/>
          <w:szCs w:val="22"/>
          <w:u w:val="single"/>
          <w:lang w:val="en-US" w:eastAsia="zh-CN"/>
        </w:rPr>
        <w:t>包女士</w:t>
      </w:r>
      <w:r>
        <w:rPr>
          <w:rFonts w:ascii="Times New Roman" w:hAnsi="Times New Roman" w:cs="Times New Roman"/>
          <w:color w:val="auto"/>
          <w:szCs w:val="22"/>
          <w:u w:val="single"/>
        </w:rPr>
        <w:t xml:space="preserve"> </w:t>
      </w:r>
    </w:p>
    <w:p w14:paraId="6915D50C">
      <w:pPr>
        <w:spacing w:line="440" w:lineRule="exact"/>
        <w:ind w:firstLine="420" w:firstLineChars="200"/>
        <w:rPr>
          <w:rFonts w:hint="default" w:ascii="Times New Roman" w:hAnsi="Times New Roman" w:eastAsia="宋体" w:cs="Times New Roman"/>
          <w:color w:val="auto"/>
          <w:szCs w:val="22"/>
          <w:lang w:val="en-US" w:eastAsia="zh-CN"/>
        </w:rPr>
      </w:pPr>
      <w:r>
        <w:rPr>
          <w:rFonts w:ascii="Times New Roman" w:hAnsi="Times New Roman" w:cs="Times New Roman"/>
          <w:color w:val="auto"/>
          <w:szCs w:val="22"/>
        </w:rPr>
        <w:t>电    话：</w:t>
      </w:r>
      <w:r>
        <w:rPr>
          <w:rFonts w:hint="eastAsia" w:ascii="Times New Roman" w:hAnsi="Times New Roman" w:cs="Times New Roman"/>
          <w:color w:val="auto"/>
          <w:szCs w:val="22"/>
          <w:u w:val="single"/>
          <w:lang w:val="en-US" w:eastAsia="zh-CN"/>
        </w:rPr>
        <w:t>13855197320</w:t>
      </w:r>
    </w:p>
    <w:p w14:paraId="0606904C">
      <w:pPr>
        <w:pStyle w:val="31"/>
        <w:jc w:val="right"/>
        <w:rPr>
          <w:rFonts w:hint="default" w:ascii="Times New Roman" w:hAnsi="Times New Roman"/>
          <w:color w:val="auto"/>
          <w:szCs w:val="28"/>
        </w:rPr>
      </w:pPr>
      <w:r>
        <w:rPr>
          <w:rFonts w:ascii="Times New Roman" w:hAnsi="Times New Roman" w:eastAsia="宋体" w:cs="Times New Roman"/>
          <w:color w:val="auto"/>
          <w:kern w:val="2"/>
          <w:sz w:val="21"/>
          <w:szCs w:val="24"/>
        </w:rPr>
        <w:t>202</w:t>
      </w:r>
      <w:r>
        <w:rPr>
          <w:rFonts w:hint="eastAsia" w:ascii="Times New Roman" w:hAnsi="Times New Roman" w:eastAsia="宋体" w:cs="Times New Roman"/>
          <w:color w:val="auto"/>
          <w:kern w:val="2"/>
          <w:sz w:val="21"/>
          <w:szCs w:val="24"/>
          <w:lang w:val="en-US" w:eastAsia="zh-CN"/>
        </w:rPr>
        <w:t>5</w:t>
      </w:r>
      <w:r>
        <w:rPr>
          <w:rFonts w:hint="default" w:ascii="Times New Roman" w:hAnsi="Times New Roman" w:eastAsia="宋体" w:cs="Times New Roman"/>
          <w:color w:val="auto"/>
          <w:kern w:val="2"/>
          <w:sz w:val="21"/>
          <w:szCs w:val="24"/>
        </w:rPr>
        <w:t>年</w:t>
      </w:r>
      <w:r>
        <w:rPr>
          <w:rFonts w:hint="eastAsia" w:ascii="Times New Roman" w:hAnsi="Times New Roman" w:eastAsia="宋体" w:cs="Times New Roman"/>
          <w:color w:val="auto"/>
          <w:kern w:val="2"/>
          <w:sz w:val="21"/>
          <w:szCs w:val="24"/>
          <w:lang w:val="en-US" w:eastAsia="zh-CN"/>
        </w:rPr>
        <w:t>03</w:t>
      </w:r>
      <w:r>
        <w:rPr>
          <w:rFonts w:hint="default" w:ascii="Times New Roman" w:hAnsi="Times New Roman" w:eastAsia="宋体" w:cs="Times New Roman"/>
          <w:color w:val="auto"/>
          <w:kern w:val="2"/>
          <w:sz w:val="21"/>
          <w:szCs w:val="24"/>
        </w:rPr>
        <w:t>月</w:t>
      </w:r>
      <w:r>
        <w:rPr>
          <w:rFonts w:hint="eastAsia" w:ascii="Times New Roman" w:hAnsi="Times New Roman" w:eastAsia="宋体" w:cs="Times New Roman"/>
          <w:color w:val="auto"/>
          <w:kern w:val="2"/>
          <w:sz w:val="21"/>
          <w:szCs w:val="24"/>
          <w:lang w:val="en-US" w:eastAsia="zh-CN"/>
        </w:rPr>
        <w:t>18</w:t>
      </w:r>
      <w:r>
        <w:rPr>
          <w:rFonts w:hint="default" w:ascii="Times New Roman" w:hAnsi="Times New Roman" w:eastAsia="宋体" w:cs="Times New Roman"/>
          <w:color w:val="auto"/>
          <w:kern w:val="2"/>
          <w:sz w:val="21"/>
          <w:szCs w:val="24"/>
        </w:rPr>
        <w:t>日</w:t>
      </w:r>
    </w:p>
    <w:p w14:paraId="53DEB87A">
      <w:pPr>
        <w:pStyle w:val="31"/>
        <w:jc w:val="both"/>
        <w:rPr>
          <w:rFonts w:hint="default" w:ascii="Times New Roman" w:hAnsi="Times New Roman"/>
          <w:color w:val="auto"/>
          <w:szCs w:val="28"/>
        </w:rPr>
      </w:pPr>
    </w:p>
    <w:p w14:paraId="65DA57A8">
      <w:pPr>
        <w:pStyle w:val="31"/>
        <w:jc w:val="both"/>
        <w:rPr>
          <w:rFonts w:hint="default" w:ascii="Times New Roman" w:hAnsi="Times New Roman"/>
          <w:color w:val="auto"/>
          <w:szCs w:val="28"/>
        </w:rPr>
      </w:pPr>
    </w:p>
    <w:p w14:paraId="36E95C9C">
      <w:pPr>
        <w:pStyle w:val="31"/>
        <w:jc w:val="both"/>
        <w:rPr>
          <w:rFonts w:hint="default" w:ascii="Times New Roman" w:hAnsi="Times New Roman"/>
          <w:color w:val="auto"/>
          <w:szCs w:val="28"/>
        </w:rPr>
      </w:pPr>
    </w:p>
    <w:p w14:paraId="4A141E9D">
      <w:pPr>
        <w:pStyle w:val="31"/>
        <w:jc w:val="both"/>
        <w:rPr>
          <w:rFonts w:hint="default" w:ascii="Times New Roman" w:hAnsi="Times New Roman"/>
          <w:color w:val="auto"/>
          <w:szCs w:val="28"/>
        </w:rPr>
      </w:pPr>
    </w:p>
    <w:p w14:paraId="4285EDE8">
      <w:pPr>
        <w:pStyle w:val="31"/>
        <w:jc w:val="both"/>
        <w:rPr>
          <w:rFonts w:hint="default" w:ascii="Times New Roman" w:hAnsi="Times New Roman"/>
          <w:color w:val="auto"/>
          <w:szCs w:val="28"/>
        </w:rPr>
      </w:pPr>
    </w:p>
    <w:p w14:paraId="7691D904">
      <w:pPr>
        <w:pStyle w:val="31"/>
        <w:jc w:val="both"/>
        <w:rPr>
          <w:rFonts w:hint="default" w:ascii="Times New Roman" w:hAnsi="Times New Roman"/>
          <w:color w:val="auto"/>
          <w:szCs w:val="28"/>
        </w:rPr>
      </w:pPr>
    </w:p>
    <w:p w14:paraId="6F49A7F3">
      <w:pPr>
        <w:pStyle w:val="31"/>
        <w:jc w:val="both"/>
        <w:rPr>
          <w:rFonts w:hint="default" w:ascii="Times New Roman" w:hAnsi="Times New Roman"/>
          <w:color w:val="auto"/>
          <w:szCs w:val="28"/>
        </w:rPr>
      </w:pPr>
    </w:p>
    <w:p w14:paraId="22A45A8F">
      <w:pPr>
        <w:pStyle w:val="31"/>
        <w:jc w:val="both"/>
        <w:rPr>
          <w:rFonts w:hint="default" w:ascii="Times New Roman" w:hAnsi="Times New Roman"/>
          <w:color w:val="auto"/>
          <w:szCs w:val="28"/>
        </w:rPr>
      </w:pPr>
    </w:p>
    <w:p w14:paraId="70F96CF7">
      <w:pPr>
        <w:pStyle w:val="31"/>
        <w:jc w:val="both"/>
        <w:rPr>
          <w:rFonts w:hint="default" w:ascii="Times New Roman" w:hAnsi="Times New Roman"/>
          <w:color w:val="auto"/>
          <w:szCs w:val="28"/>
        </w:rPr>
      </w:pPr>
    </w:p>
    <w:p w14:paraId="51B988BA">
      <w:pPr>
        <w:pStyle w:val="31"/>
        <w:jc w:val="both"/>
        <w:rPr>
          <w:rFonts w:hint="default" w:ascii="Times New Roman" w:hAnsi="Times New Roman"/>
          <w:color w:val="auto"/>
          <w:szCs w:val="28"/>
        </w:rPr>
      </w:pPr>
    </w:p>
    <w:p w14:paraId="531CE396">
      <w:pPr>
        <w:pStyle w:val="31"/>
        <w:jc w:val="both"/>
        <w:rPr>
          <w:rFonts w:hint="default" w:ascii="Times New Roman" w:hAnsi="Times New Roman"/>
          <w:color w:val="auto"/>
          <w:szCs w:val="28"/>
        </w:rPr>
      </w:pPr>
    </w:p>
    <w:p w14:paraId="3072B6AB">
      <w:pPr>
        <w:pStyle w:val="31"/>
        <w:jc w:val="both"/>
        <w:rPr>
          <w:rFonts w:hint="default" w:ascii="Times New Roman" w:hAnsi="Times New Roman"/>
          <w:color w:val="auto"/>
          <w:szCs w:val="28"/>
        </w:rPr>
      </w:pPr>
    </w:p>
    <w:p w14:paraId="20734369">
      <w:pPr>
        <w:pStyle w:val="31"/>
        <w:jc w:val="both"/>
        <w:rPr>
          <w:rFonts w:hint="default" w:ascii="Times New Roman" w:hAnsi="Times New Roman"/>
          <w:color w:val="auto"/>
          <w:szCs w:val="28"/>
        </w:rPr>
      </w:pPr>
    </w:p>
    <w:p w14:paraId="34DB78D8">
      <w:pPr>
        <w:pStyle w:val="31"/>
        <w:jc w:val="both"/>
        <w:rPr>
          <w:rFonts w:hint="default" w:ascii="Times New Roman" w:hAnsi="Times New Roman"/>
          <w:color w:val="auto"/>
          <w:szCs w:val="28"/>
        </w:rPr>
      </w:pPr>
    </w:p>
    <w:p w14:paraId="365E38C9">
      <w:pPr>
        <w:pStyle w:val="31"/>
        <w:jc w:val="both"/>
        <w:rPr>
          <w:rFonts w:hint="default" w:ascii="Times New Roman" w:hAnsi="Times New Roman"/>
          <w:color w:val="auto"/>
          <w:szCs w:val="28"/>
        </w:rPr>
      </w:pPr>
    </w:p>
    <w:p w14:paraId="0923661A">
      <w:pPr>
        <w:pStyle w:val="31"/>
        <w:jc w:val="both"/>
        <w:rPr>
          <w:rFonts w:hint="default" w:ascii="Times New Roman" w:hAnsi="Times New Roman"/>
          <w:color w:val="auto"/>
          <w:szCs w:val="28"/>
        </w:rPr>
      </w:pPr>
    </w:p>
    <w:p w14:paraId="16DC98CE">
      <w:pPr>
        <w:pStyle w:val="31"/>
        <w:jc w:val="both"/>
        <w:rPr>
          <w:rFonts w:hint="default" w:ascii="Times New Roman" w:hAnsi="Times New Roman"/>
          <w:color w:val="auto"/>
          <w:szCs w:val="28"/>
        </w:rPr>
      </w:pPr>
    </w:p>
    <w:p w14:paraId="26E49FDC">
      <w:pPr>
        <w:pStyle w:val="31"/>
        <w:jc w:val="both"/>
        <w:rPr>
          <w:rFonts w:hint="default" w:ascii="Times New Roman" w:hAnsi="Times New Roman"/>
          <w:color w:val="auto"/>
          <w:szCs w:val="28"/>
        </w:rPr>
      </w:pPr>
    </w:p>
    <w:p w14:paraId="107B45F3">
      <w:pPr>
        <w:pStyle w:val="31"/>
        <w:jc w:val="both"/>
        <w:rPr>
          <w:rFonts w:hint="default" w:ascii="Times New Roman" w:hAnsi="Times New Roman"/>
          <w:color w:val="auto"/>
          <w:szCs w:val="28"/>
        </w:rPr>
      </w:pPr>
    </w:p>
    <w:p w14:paraId="1064FE44">
      <w:pPr>
        <w:pStyle w:val="31"/>
        <w:jc w:val="both"/>
        <w:rPr>
          <w:rFonts w:hint="default" w:ascii="Times New Roman" w:hAnsi="Times New Roman"/>
          <w:color w:val="auto"/>
          <w:szCs w:val="28"/>
        </w:rPr>
      </w:pPr>
    </w:p>
    <w:p w14:paraId="0A1BCF61">
      <w:pPr>
        <w:pStyle w:val="31"/>
        <w:jc w:val="both"/>
        <w:rPr>
          <w:rFonts w:hint="default" w:ascii="Times New Roman" w:hAnsi="Times New Roman"/>
          <w:color w:val="auto"/>
          <w:szCs w:val="28"/>
        </w:rPr>
      </w:pPr>
    </w:p>
    <w:p w14:paraId="537B10BA">
      <w:pPr>
        <w:pStyle w:val="31"/>
        <w:jc w:val="both"/>
        <w:rPr>
          <w:rFonts w:hint="default" w:ascii="Times New Roman" w:hAnsi="Times New Roman"/>
          <w:color w:val="auto"/>
          <w:szCs w:val="28"/>
        </w:rPr>
      </w:pPr>
    </w:p>
    <w:p w14:paraId="2388D7BD">
      <w:pPr>
        <w:pStyle w:val="31"/>
        <w:jc w:val="both"/>
        <w:rPr>
          <w:rFonts w:hint="default" w:ascii="Times New Roman" w:hAnsi="Times New Roman"/>
          <w:color w:val="auto"/>
          <w:szCs w:val="28"/>
        </w:rPr>
      </w:pPr>
    </w:p>
    <w:p w14:paraId="57E5F1F2">
      <w:pPr>
        <w:rPr>
          <w:rFonts w:ascii="Times New Roman" w:hAnsi="Times New Roman" w:cs="Times New Roman"/>
          <w:color w:val="auto"/>
          <w:sz w:val="24"/>
          <w:szCs w:val="28"/>
        </w:rPr>
      </w:pPr>
    </w:p>
    <w:p w14:paraId="0C771B2E">
      <w:pPr>
        <w:pStyle w:val="4"/>
        <w:numPr>
          <w:ilvl w:val="0"/>
          <w:numId w:val="0"/>
        </w:numPr>
        <w:spacing w:before="240" w:after="240"/>
        <w:rPr>
          <w:rFonts w:ascii="Times New Roman" w:hAnsi="Times New Roman" w:eastAsia="宋体" w:cs="Times New Roman"/>
          <w:color w:val="auto"/>
        </w:rPr>
      </w:pPr>
      <w:bookmarkStart w:id="44" w:name="_Toc12694_WPSOffice_Level1"/>
      <w:r>
        <w:rPr>
          <w:rFonts w:hint="eastAsia" w:ascii="Times New Roman" w:hAnsi="Times New Roman" w:eastAsia="宋体" w:cs="Times New Roman"/>
          <w:color w:val="auto"/>
        </w:rPr>
        <w:t xml:space="preserve">第二章 </w:t>
      </w:r>
      <w:r>
        <w:rPr>
          <w:rFonts w:ascii="Times New Roman" w:hAnsi="Times New Roman" w:eastAsia="宋体" w:cs="Times New Roman"/>
          <w:color w:val="auto"/>
        </w:rPr>
        <w:t>供应商须知</w:t>
      </w:r>
      <w:bookmarkEnd w:id="44"/>
    </w:p>
    <w:p w14:paraId="5627A945">
      <w:pPr>
        <w:keepNext/>
        <w:keepLines/>
        <w:spacing w:beforeLines="50" w:afterLines="50" w:line="360" w:lineRule="auto"/>
        <w:outlineLvl w:val="1"/>
        <w:rPr>
          <w:rFonts w:ascii="Times New Roman" w:hAnsi="Times New Roman" w:eastAsia="黑体" w:cs="Times New Roman"/>
          <w:bCs/>
          <w:color w:val="auto"/>
          <w:sz w:val="24"/>
          <w:szCs w:val="32"/>
        </w:rPr>
      </w:pPr>
      <w:bookmarkStart w:id="45" w:name="_Toc14201207"/>
      <w:bookmarkStart w:id="46" w:name="_Toc26656938"/>
      <w:bookmarkStart w:id="47" w:name="_Toc9067720"/>
      <w:r>
        <w:rPr>
          <w:rFonts w:ascii="Times New Roman" w:hAnsi="Times New Roman" w:eastAsia="黑体" w:cs="Times New Roman"/>
          <w:bCs/>
          <w:color w:val="auto"/>
          <w:sz w:val="24"/>
          <w:szCs w:val="32"/>
        </w:rPr>
        <w:br w:type="page"/>
      </w:r>
      <w:r>
        <w:rPr>
          <w:rFonts w:ascii="Times New Roman" w:hAnsi="Times New Roman" w:eastAsia="黑体" w:cs="Times New Roman"/>
          <w:bCs/>
          <w:color w:val="auto"/>
          <w:sz w:val="24"/>
          <w:szCs w:val="32"/>
        </w:rPr>
        <w:t>1. 总则</w:t>
      </w:r>
      <w:bookmarkEnd w:id="45"/>
      <w:bookmarkEnd w:id="46"/>
      <w:bookmarkEnd w:id="47"/>
    </w:p>
    <w:p w14:paraId="5D03758C">
      <w:pPr>
        <w:keepNext/>
        <w:keepLines/>
        <w:spacing w:before="120" w:after="120"/>
        <w:outlineLvl w:val="2"/>
        <w:rPr>
          <w:rFonts w:hint="default" w:ascii="Times New Roman" w:hAnsi="Times New Roman" w:eastAsia="黑体" w:cs="Times New Roman"/>
          <w:bCs/>
          <w:color w:val="auto"/>
          <w:sz w:val="24"/>
          <w:szCs w:val="32"/>
          <w:lang w:val="en-US" w:eastAsia="zh-CN"/>
        </w:rPr>
      </w:pPr>
      <w:bookmarkStart w:id="48" w:name="_Toc14201208"/>
      <w:bookmarkStart w:id="49" w:name="_Toc26656939"/>
      <w:r>
        <w:rPr>
          <w:rFonts w:ascii="Times New Roman" w:hAnsi="Times New Roman" w:eastAsia="黑体" w:cs="Times New Roman"/>
          <w:bCs/>
          <w:color w:val="auto"/>
          <w:sz w:val="24"/>
          <w:szCs w:val="32"/>
        </w:rPr>
        <w:t xml:space="preserve">1.1 </w:t>
      </w:r>
      <w:bookmarkEnd w:id="48"/>
      <w:bookmarkEnd w:id="49"/>
      <w:bookmarkStart w:id="50" w:name="_Toc14201210"/>
      <w:bookmarkStart w:id="51" w:name="_Toc26656941"/>
      <w:r>
        <w:rPr>
          <w:rFonts w:hint="eastAsia" w:ascii="Times New Roman" w:hAnsi="Times New Roman" w:eastAsia="黑体" w:cs="Times New Roman"/>
          <w:bCs/>
          <w:color w:val="auto"/>
          <w:sz w:val="24"/>
          <w:szCs w:val="32"/>
          <w:lang w:val="en-US" w:eastAsia="zh-CN"/>
        </w:rPr>
        <w:t>采购</w:t>
      </w:r>
      <w:r>
        <w:rPr>
          <w:rFonts w:ascii="Times New Roman" w:hAnsi="Times New Roman" w:eastAsia="黑体" w:cs="Times New Roman"/>
          <w:bCs/>
          <w:color w:val="auto"/>
          <w:sz w:val="24"/>
          <w:szCs w:val="32"/>
        </w:rPr>
        <w:t>要求和</w:t>
      </w:r>
      <w:bookmarkEnd w:id="50"/>
      <w:bookmarkEnd w:id="51"/>
      <w:r>
        <w:rPr>
          <w:rFonts w:hint="eastAsia" w:ascii="Times New Roman" w:hAnsi="Times New Roman" w:eastAsia="黑体" w:cs="Times New Roman"/>
          <w:bCs/>
          <w:color w:val="auto"/>
          <w:sz w:val="24"/>
          <w:szCs w:val="32"/>
          <w:lang w:val="en-US" w:eastAsia="zh-CN"/>
        </w:rPr>
        <w:t>安全要求</w:t>
      </w:r>
    </w:p>
    <w:p w14:paraId="7A24C6BE">
      <w:pPr>
        <w:spacing w:line="440" w:lineRule="exact"/>
        <w:ind w:firstLine="420"/>
        <w:rPr>
          <w:rFonts w:hint="eastAsia" w:ascii="Times New Roman" w:hAnsi="Times New Roman" w:eastAsia="宋体" w:cs="Times New Roman"/>
          <w:color w:val="auto"/>
          <w:szCs w:val="21"/>
          <w:lang w:eastAsia="zh-CN"/>
        </w:rPr>
      </w:pPr>
      <w:r>
        <w:rPr>
          <w:rFonts w:ascii="Times New Roman" w:hAnsi="Times New Roman" w:cs="Times New Roman"/>
          <w:color w:val="auto"/>
          <w:szCs w:val="21"/>
        </w:rPr>
        <w:t>1.1.1 本合同包的</w:t>
      </w:r>
      <w:r>
        <w:rPr>
          <w:rFonts w:hint="eastAsia" w:ascii="Times New Roman" w:hAnsi="Times New Roman" w:cs="Times New Roman"/>
          <w:color w:val="auto"/>
          <w:szCs w:val="21"/>
          <w:lang w:val="en-US" w:eastAsia="zh-CN"/>
        </w:rPr>
        <w:t>采购</w:t>
      </w:r>
      <w:r>
        <w:rPr>
          <w:rFonts w:ascii="Times New Roman" w:hAnsi="Times New Roman" w:cs="Times New Roman"/>
          <w:color w:val="auto"/>
          <w:szCs w:val="21"/>
        </w:rPr>
        <w:t>要求：</w:t>
      </w:r>
      <w:r>
        <w:rPr>
          <w:rFonts w:ascii="Times New Roman" w:hAnsi="Times New Roman" w:cs="Times New Roman"/>
          <w:color w:val="auto"/>
          <w:szCs w:val="21"/>
          <w:u w:val="single"/>
        </w:rPr>
        <w:t>满足</w:t>
      </w:r>
      <w:r>
        <w:rPr>
          <w:rFonts w:hint="eastAsia" w:ascii="Times New Roman" w:hAnsi="Times New Roman" w:cs="Times New Roman"/>
          <w:color w:val="auto"/>
          <w:szCs w:val="21"/>
          <w:u w:val="single"/>
          <w:lang w:val="en-US" w:eastAsia="zh-CN"/>
        </w:rPr>
        <w:t>本次询比文件中第五章“采购需求”的相关要求</w:t>
      </w:r>
      <w:r>
        <w:rPr>
          <w:rFonts w:hint="eastAsia" w:ascii="Times New Roman" w:hAnsi="Times New Roman" w:cs="Times New Roman"/>
          <w:color w:val="auto"/>
          <w:szCs w:val="21"/>
          <w:u w:val="single"/>
          <w:lang w:eastAsia="zh-CN"/>
        </w:rPr>
        <w:t>。</w:t>
      </w:r>
    </w:p>
    <w:p w14:paraId="0E4E263D">
      <w:pPr>
        <w:spacing w:line="440" w:lineRule="exact"/>
        <w:ind w:firstLine="420"/>
        <w:rPr>
          <w:rFonts w:hint="default" w:ascii="Times New Roman" w:hAnsi="Times New Roman" w:eastAsia="宋体" w:cs="Times New Roman"/>
          <w:color w:val="auto"/>
          <w:szCs w:val="21"/>
          <w:lang w:val="en-US"/>
        </w:rPr>
      </w:pPr>
      <w:bookmarkStart w:id="52" w:name="_Toc26656942"/>
      <w:bookmarkStart w:id="53" w:name="_Toc14201211"/>
      <w:r>
        <w:rPr>
          <w:rFonts w:hint="eastAsia" w:ascii="Times New Roman" w:hAnsi="Times New Roman" w:eastAsia="宋体" w:cs="Times New Roman"/>
          <w:color w:val="auto"/>
          <w:szCs w:val="21"/>
          <w:lang w:val="en-US" w:eastAsia="zh-CN"/>
        </w:rPr>
        <w:t>1.1.2 本合同包的安全要求：</w:t>
      </w:r>
      <w:r>
        <w:rPr>
          <w:rFonts w:hint="eastAsia" w:ascii="Times New Roman" w:hAnsi="Times New Roman" w:eastAsia="宋体" w:cs="Times New Roman"/>
          <w:color w:val="auto"/>
          <w:szCs w:val="21"/>
          <w:u w:val="single"/>
          <w:lang w:val="en-US" w:eastAsia="zh-CN"/>
        </w:rPr>
        <w:t>安全无事故。</w:t>
      </w:r>
    </w:p>
    <w:p w14:paraId="6B1F362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供应商资格要求</w:t>
      </w:r>
      <w:bookmarkEnd w:id="52"/>
      <w:bookmarkEnd w:id="53"/>
    </w:p>
    <w:p w14:paraId="2C783A76">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供应商应具备承担本合同包</w:t>
      </w:r>
      <w:r>
        <w:rPr>
          <w:rFonts w:hint="eastAsia" w:ascii="Times New Roman" w:hAnsi="Times New Roman" w:cs="Times New Roman"/>
          <w:color w:val="auto"/>
          <w:szCs w:val="21"/>
        </w:rPr>
        <w:t>服务</w:t>
      </w:r>
      <w:r>
        <w:rPr>
          <w:rFonts w:ascii="Times New Roman" w:hAnsi="Times New Roman" w:cs="Times New Roman"/>
          <w:color w:val="auto"/>
          <w:szCs w:val="21"/>
        </w:rPr>
        <w:t>的资质条件、</w:t>
      </w:r>
      <w:r>
        <w:rPr>
          <w:rFonts w:hint="eastAsia" w:ascii="Times New Roman" w:hAnsi="Times New Roman" w:cs="Times New Roman"/>
          <w:color w:val="auto"/>
          <w:szCs w:val="21"/>
          <w:lang w:val="en-US" w:eastAsia="zh-CN"/>
        </w:rPr>
        <w:t>业绩</w:t>
      </w:r>
      <w:r>
        <w:rPr>
          <w:rFonts w:ascii="Times New Roman" w:hAnsi="Times New Roman" w:cs="Times New Roman"/>
          <w:color w:val="auto"/>
          <w:szCs w:val="21"/>
        </w:rPr>
        <w:t>和信誉：见第一章</w:t>
      </w:r>
      <w:r>
        <w:rPr>
          <w:rFonts w:hint="eastAsia" w:ascii="Times New Roman" w:hAnsi="Times New Roman" w:cs="Times New Roman"/>
          <w:color w:val="auto"/>
          <w:szCs w:val="21"/>
        </w:rPr>
        <w:t>采购公告第3.1款要求</w:t>
      </w:r>
      <w:r>
        <w:rPr>
          <w:rFonts w:ascii="Times New Roman" w:hAnsi="Times New Roman" w:cs="Times New Roman"/>
          <w:color w:val="auto"/>
          <w:szCs w:val="21"/>
        </w:rPr>
        <w:t>。</w:t>
      </w:r>
    </w:p>
    <w:p w14:paraId="60720761">
      <w:pPr>
        <w:keepNext/>
        <w:keepLines/>
        <w:spacing w:before="120" w:after="120"/>
        <w:outlineLvl w:val="2"/>
        <w:rPr>
          <w:rFonts w:ascii="Times New Roman" w:hAnsi="Times New Roman" w:eastAsia="黑体" w:cs="Times New Roman"/>
          <w:bCs/>
          <w:color w:val="auto"/>
          <w:sz w:val="24"/>
          <w:szCs w:val="32"/>
        </w:rPr>
      </w:pPr>
      <w:bookmarkStart w:id="54" w:name="_Toc14201212"/>
      <w:bookmarkStart w:id="55" w:name="_Toc26656943"/>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bookmarkEnd w:id="54"/>
      <w:bookmarkEnd w:id="55"/>
    </w:p>
    <w:p w14:paraId="1135B4DA">
      <w:pPr>
        <w:spacing w:line="440" w:lineRule="exact"/>
        <w:ind w:firstLine="420"/>
        <w:rPr>
          <w:rFonts w:ascii="Times New Roman" w:hAnsi="Times New Roman" w:cs="Times New Roman"/>
          <w:color w:val="auto"/>
        </w:rPr>
      </w:pPr>
      <w:r>
        <w:rPr>
          <w:rFonts w:ascii="Times New Roman" w:hAnsi="Times New Roman" w:cs="Times New Roman"/>
          <w:color w:val="auto"/>
          <w:szCs w:val="21"/>
        </w:rPr>
        <w:t>供应商</w:t>
      </w:r>
      <w:r>
        <w:rPr>
          <w:rFonts w:ascii="Times New Roman" w:hAnsi="Times New Roman" w:cs="Times New Roman"/>
          <w:color w:val="auto"/>
        </w:rPr>
        <w:t>准备和参加询比活动发生的费用自理。</w:t>
      </w:r>
    </w:p>
    <w:p w14:paraId="6985720C">
      <w:pPr>
        <w:keepNext/>
        <w:keepLines/>
        <w:spacing w:before="120" w:after="120"/>
        <w:outlineLvl w:val="2"/>
        <w:rPr>
          <w:rFonts w:ascii="Times New Roman" w:hAnsi="Times New Roman" w:eastAsia="黑体" w:cs="Times New Roman"/>
          <w:bCs/>
          <w:color w:val="auto"/>
          <w:sz w:val="24"/>
          <w:szCs w:val="32"/>
        </w:rPr>
      </w:pPr>
      <w:bookmarkStart w:id="56" w:name="_Toc14201213"/>
      <w:bookmarkStart w:id="57" w:name="_Toc26656944"/>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bookmarkEnd w:id="56"/>
      <w:bookmarkEnd w:id="57"/>
    </w:p>
    <w:p w14:paraId="7DC3D13B">
      <w:pPr>
        <w:spacing w:line="440" w:lineRule="exact"/>
        <w:ind w:firstLine="42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379DF563">
      <w:pPr>
        <w:keepNext/>
        <w:keepLines/>
        <w:spacing w:before="120" w:after="120"/>
        <w:outlineLvl w:val="2"/>
        <w:rPr>
          <w:rFonts w:ascii="Times New Roman" w:hAnsi="Times New Roman" w:eastAsia="黑体" w:cs="Times New Roman"/>
          <w:bCs/>
          <w:color w:val="auto"/>
          <w:sz w:val="24"/>
          <w:szCs w:val="32"/>
        </w:rPr>
      </w:pPr>
      <w:bookmarkStart w:id="58" w:name="_Toc14201215"/>
      <w:bookmarkStart w:id="59" w:name="_Toc26656946"/>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bookmarkEnd w:id="58"/>
      <w:bookmarkEnd w:id="59"/>
    </w:p>
    <w:p w14:paraId="29D0A0C4">
      <w:pPr>
        <w:spacing w:line="440" w:lineRule="exact"/>
        <w:ind w:firstLine="420"/>
        <w:rPr>
          <w:rFonts w:ascii="Times New Roman" w:hAnsi="Times New Roman" w:cs="Times New Roman"/>
          <w:color w:val="auto"/>
        </w:rPr>
      </w:pPr>
      <w:r>
        <w:rPr>
          <w:rFonts w:ascii="Times New Roman" w:hAnsi="Times New Roman" w:cs="Times New Roman"/>
          <w:color w:val="auto"/>
        </w:rPr>
        <w:t>均采用中华人民共和国法定计量单位。</w:t>
      </w:r>
    </w:p>
    <w:p w14:paraId="01F78225">
      <w:pPr>
        <w:keepNext/>
        <w:keepLines/>
        <w:spacing w:before="120" w:after="120"/>
        <w:outlineLvl w:val="2"/>
        <w:rPr>
          <w:rFonts w:ascii="Times New Roman" w:hAnsi="Times New Roman" w:eastAsia="黑体" w:cs="Times New Roman"/>
          <w:bCs/>
          <w:color w:val="auto"/>
          <w:sz w:val="24"/>
          <w:szCs w:val="32"/>
        </w:rPr>
      </w:pPr>
      <w:bookmarkStart w:id="60" w:name="_Toc14201216"/>
      <w:bookmarkStart w:id="61" w:name="_Toc26656947"/>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bookmarkEnd w:id="60"/>
      <w:bookmarkEnd w:id="61"/>
    </w:p>
    <w:p w14:paraId="2F2ED53B">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0E1AAB00">
      <w:pPr>
        <w:keepNext/>
        <w:keepLines/>
        <w:spacing w:before="120" w:after="120"/>
        <w:outlineLvl w:val="2"/>
        <w:rPr>
          <w:rFonts w:ascii="Times New Roman" w:hAnsi="Times New Roman" w:eastAsia="黑体" w:cs="Times New Roman"/>
          <w:bCs/>
          <w:color w:val="auto"/>
          <w:sz w:val="24"/>
          <w:szCs w:val="32"/>
        </w:rPr>
      </w:pPr>
      <w:bookmarkStart w:id="62" w:name="_Toc14201218"/>
      <w:bookmarkStart w:id="63" w:name="_Toc26656949"/>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bookmarkEnd w:id="62"/>
      <w:bookmarkEnd w:id="63"/>
    </w:p>
    <w:p w14:paraId="6D569C8F">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不允许分包。        </w:t>
      </w:r>
    </w:p>
    <w:p w14:paraId="454BD4C4">
      <w:pPr>
        <w:keepNext/>
        <w:keepLines/>
        <w:spacing w:before="120" w:after="120"/>
        <w:outlineLvl w:val="2"/>
        <w:rPr>
          <w:rFonts w:ascii="Times New Roman" w:hAnsi="Times New Roman" w:eastAsia="黑体" w:cs="Times New Roman"/>
          <w:bCs/>
          <w:color w:val="auto"/>
          <w:sz w:val="24"/>
          <w:szCs w:val="32"/>
        </w:rPr>
      </w:pPr>
      <w:bookmarkStart w:id="64" w:name="_Toc14201219"/>
      <w:bookmarkStart w:id="65" w:name="_Toc26656950"/>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bookmarkEnd w:id="64"/>
      <w:bookmarkEnd w:id="65"/>
      <w:r>
        <w:rPr>
          <w:rFonts w:hint="eastAsia" w:ascii="Times New Roman" w:hAnsi="Times New Roman" w:eastAsia="黑体" w:cs="Times New Roman"/>
          <w:bCs/>
          <w:color w:val="auto"/>
          <w:sz w:val="24"/>
          <w:szCs w:val="32"/>
        </w:rPr>
        <w:t>差</w:t>
      </w:r>
    </w:p>
    <w:p w14:paraId="24685E88">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.1偏差包括重大偏差和细微偏差。</w:t>
      </w:r>
    </w:p>
    <w:p w14:paraId="0D46BAC4">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响应文件存在第三章“评审办法”中所列任一否决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4EEA88EB">
      <w:pPr>
        <w:keepNext/>
        <w:keepLines/>
        <w:spacing w:beforeLines="50" w:afterLines="50"/>
        <w:outlineLvl w:val="1"/>
        <w:rPr>
          <w:rFonts w:ascii="Times New Roman" w:hAnsi="Times New Roman" w:eastAsia="黑体" w:cs="Times New Roman"/>
          <w:bCs/>
          <w:color w:val="auto"/>
          <w:sz w:val="24"/>
          <w:szCs w:val="32"/>
        </w:rPr>
      </w:pPr>
      <w:bookmarkStart w:id="66" w:name="_Toc26656951"/>
      <w:bookmarkStart w:id="67" w:name="_Toc14201220"/>
      <w:bookmarkStart w:id="68" w:name="_Toc9067721"/>
      <w:r>
        <w:rPr>
          <w:rFonts w:ascii="Times New Roman" w:hAnsi="Times New Roman" w:eastAsia="黑体" w:cs="Times New Roman"/>
          <w:bCs/>
          <w:color w:val="auto"/>
          <w:sz w:val="24"/>
          <w:szCs w:val="32"/>
        </w:rPr>
        <w:t xml:space="preserve">2. </w:t>
      </w:r>
      <w:bookmarkEnd w:id="66"/>
      <w:bookmarkEnd w:id="67"/>
      <w:bookmarkEnd w:id="68"/>
      <w:r>
        <w:rPr>
          <w:rFonts w:ascii="Times New Roman" w:hAnsi="Times New Roman" w:eastAsia="黑体" w:cs="Times New Roman"/>
          <w:bCs/>
          <w:color w:val="auto"/>
          <w:sz w:val="24"/>
          <w:szCs w:val="32"/>
        </w:rPr>
        <w:t>询比文件</w:t>
      </w:r>
    </w:p>
    <w:p w14:paraId="7741CA09">
      <w:pPr>
        <w:keepNext/>
        <w:keepLines/>
        <w:spacing w:before="120" w:after="120"/>
        <w:outlineLvl w:val="2"/>
        <w:rPr>
          <w:rFonts w:ascii="Times New Roman" w:hAnsi="Times New Roman" w:eastAsia="黑体" w:cs="Times New Roman"/>
          <w:bCs/>
          <w:color w:val="auto"/>
          <w:sz w:val="24"/>
          <w:szCs w:val="32"/>
        </w:rPr>
      </w:pPr>
      <w:bookmarkStart w:id="69" w:name="_Toc14201221"/>
      <w:bookmarkStart w:id="70" w:name="_Toc26656952"/>
      <w:r>
        <w:rPr>
          <w:rFonts w:ascii="Times New Roman" w:hAnsi="Times New Roman" w:eastAsia="黑体" w:cs="Times New Roman"/>
          <w:bCs/>
          <w:color w:val="auto"/>
          <w:sz w:val="24"/>
          <w:szCs w:val="32"/>
        </w:rPr>
        <w:t>2.1 询比文件的组成</w:t>
      </w:r>
      <w:bookmarkEnd w:id="69"/>
      <w:bookmarkEnd w:id="70"/>
    </w:p>
    <w:p w14:paraId="16E3867E">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5B931B4F">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采购公告</w:t>
      </w:r>
      <w:r>
        <w:rPr>
          <w:rFonts w:ascii="Times New Roman" w:hAnsi="Times New Roman" w:cs="Times New Roman"/>
          <w:color w:val="auto"/>
        </w:rPr>
        <w:t>；</w:t>
      </w:r>
    </w:p>
    <w:p w14:paraId="73E36053">
      <w:pPr>
        <w:spacing w:line="440" w:lineRule="exact"/>
        <w:ind w:firstLine="420"/>
        <w:rPr>
          <w:rFonts w:ascii="Times New Roman" w:hAnsi="Times New Roman" w:cs="Times New Roman"/>
          <w:color w:val="auto"/>
        </w:rPr>
      </w:pPr>
      <w:r>
        <w:rPr>
          <w:rFonts w:ascii="Times New Roman" w:hAnsi="Times New Roman" w:cs="Times New Roman"/>
          <w:color w:val="auto"/>
        </w:rPr>
        <w:t>（2）供应商须知；</w:t>
      </w:r>
    </w:p>
    <w:p w14:paraId="260917BA">
      <w:pPr>
        <w:spacing w:line="440" w:lineRule="exact"/>
        <w:ind w:firstLine="420"/>
        <w:rPr>
          <w:rFonts w:ascii="Times New Roman" w:hAnsi="Times New Roman" w:cs="Times New Roman"/>
          <w:color w:val="auto"/>
        </w:rPr>
      </w:pPr>
      <w:r>
        <w:rPr>
          <w:rFonts w:ascii="Times New Roman" w:hAnsi="Times New Roman" w:cs="Times New Roman"/>
          <w:color w:val="auto"/>
        </w:rPr>
        <w:t>（3）评审办法；</w:t>
      </w:r>
    </w:p>
    <w:p w14:paraId="42404ADC">
      <w:pPr>
        <w:spacing w:line="440" w:lineRule="exact"/>
        <w:ind w:firstLine="420"/>
        <w:rPr>
          <w:rFonts w:ascii="Times New Roman" w:hAnsi="Times New Roman" w:cs="Times New Roman"/>
          <w:color w:val="auto"/>
        </w:rPr>
      </w:pPr>
      <w:r>
        <w:rPr>
          <w:rFonts w:ascii="Times New Roman" w:hAnsi="Times New Roman" w:cs="Times New Roman"/>
          <w:color w:val="auto"/>
        </w:rPr>
        <w:t>（4）合同条款及格式；</w:t>
      </w:r>
    </w:p>
    <w:p w14:paraId="6AAB692C">
      <w:pPr>
        <w:spacing w:line="440" w:lineRule="exact"/>
        <w:ind w:firstLine="420"/>
        <w:rPr>
          <w:rFonts w:ascii="Times New Roman" w:hAnsi="Times New Roman" w:cs="Times New Roman"/>
          <w:color w:val="auto"/>
        </w:rPr>
      </w:pPr>
      <w:r>
        <w:rPr>
          <w:rFonts w:ascii="Times New Roman" w:hAnsi="Times New Roman" w:cs="Times New Roman"/>
          <w:color w:val="auto"/>
        </w:rPr>
        <w:t>（5）采购需求及清单；</w:t>
      </w:r>
    </w:p>
    <w:p w14:paraId="33986C3D">
      <w:pPr>
        <w:spacing w:line="440" w:lineRule="exact"/>
        <w:ind w:firstLine="420"/>
        <w:rPr>
          <w:rFonts w:ascii="Times New Roman" w:hAnsi="Times New Roman" w:cs="Times New Roman"/>
          <w:color w:val="auto"/>
        </w:rPr>
      </w:pPr>
      <w:r>
        <w:rPr>
          <w:rFonts w:ascii="Times New Roman" w:hAnsi="Times New Roman" w:cs="Times New Roman"/>
          <w:color w:val="auto"/>
        </w:rPr>
        <w:t>（6）响应文件格式</w:t>
      </w:r>
      <w:r>
        <w:rPr>
          <w:rFonts w:hint="eastAsia" w:ascii="Times New Roman" w:hAnsi="Times New Roman" w:cs="Times New Roman"/>
          <w:color w:val="auto"/>
        </w:rPr>
        <w:t>。</w:t>
      </w:r>
    </w:p>
    <w:p w14:paraId="28301FFE">
      <w:pPr>
        <w:spacing w:line="440" w:lineRule="exact"/>
        <w:ind w:firstLine="420"/>
        <w:rPr>
          <w:rFonts w:ascii="Times New Roman" w:hAnsi="Times New Roman" w:cs="Times New Roman"/>
          <w:color w:val="auto"/>
        </w:rPr>
      </w:pPr>
      <w:r>
        <w:rPr>
          <w:rFonts w:ascii="Times New Roman" w:hAnsi="Times New Roman" w:cs="Times New Roman"/>
          <w:color w:val="auto"/>
        </w:rPr>
        <w:t>根据本章第2.2款对询比文件所作的澄清、修改，构成询比文件的组成部分。</w:t>
      </w:r>
    </w:p>
    <w:p w14:paraId="24E10D10">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4065F17B">
      <w:pPr>
        <w:keepNext/>
        <w:keepLines/>
        <w:spacing w:before="120" w:after="120"/>
        <w:outlineLvl w:val="2"/>
        <w:rPr>
          <w:rFonts w:ascii="Times New Roman" w:hAnsi="Times New Roman" w:eastAsia="黑体" w:cs="Times New Roman"/>
          <w:bCs/>
          <w:color w:val="auto"/>
          <w:sz w:val="24"/>
          <w:szCs w:val="32"/>
        </w:rPr>
      </w:pPr>
      <w:bookmarkStart w:id="71" w:name="_Toc26656953"/>
      <w:bookmarkStart w:id="72" w:name="_Toc14201222"/>
      <w:r>
        <w:rPr>
          <w:rFonts w:ascii="Times New Roman" w:hAnsi="Times New Roman" w:eastAsia="黑体" w:cs="Times New Roman"/>
          <w:bCs/>
          <w:color w:val="auto"/>
          <w:sz w:val="24"/>
          <w:szCs w:val="32"/>
        </w:rPr>
        <w:t>2.2 询比文件的澄清</w:t>
      </w:r>
      <w:bookmarkEnd w:id="71"/>
      <w:bookmarkEnd w:id="72"/>
      <w:r>
        <w:rPr>
          <w:rFonts w:hint="eastAsia" w:ascii="Times New Roman" w:hAnsi="Times New Roman" w:eastAsia="黑体" w:cs="Times New Roman"/>
          <w:bCs/>
          <w:color w:val="auto"/>
          <w:sz w:val="24"/>
          <w:szCs w:val="32"/>
        </w:rPr>
        <w:t>与修改</w:t>
      </w:r>
    </w:p>
    <w:p w14:paraId="10C7D6C7">
      <w:pPr>
        <w:spacing w:line="440" w:lineRule="exact"/>
        <w:ind w:firstLine="420"/>
        <w:rPr>
          <w:rFonts w:ascii="Times New Roman" w:hAnsi="Times New Roman" w:cs="Times New Roman"/>
          <w:color w:val="auto"/>
        </w:rPr>
      </w:pPr>
      <w:r>
        <w:rPr>
          <w:rFonts w:ascii="Times New Roman" w:hAnsi="Times New Roman" w:cs="Times New Roman"/>
          <w:color w:val="auto"/>
        </w:rPr>
        <w:t>2.2.1供应商如有疑问，应在递交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通过书面形式</w:t>
      </w:r>
      <w:r>
        <w:rPr>
          <w:rFonts w:ascii="Times New Roman" w:hAnsi="Times New Roman" w:cs="Times New Roman"/>
          <w:color w:val="auto"/>
        </w:rPr>
        <w:t>要求采购人对询比文件予以澄清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309E44A6">
      <w:pPr>
        <w:spacing w:line="440" w:lineRule="exact"/>
        <w:ind w:firstLine="420"/>
        <w:rPr>
          <w:rFonts w:ascii="Times New Roman" w:hAnsi="Times New Roman" w:cs="Times New Roman"/>
          <w:color w:val="auto"/>
        </w:rPr>
      </w:pPr>
      <w:r>
        <w:rPr>
          <w:rFonts w:ascii="Times New Roman" w:hAnsi="Times New Roman" w:cs="Times New Roman"/>
          <w:color w:val="auto"/>
        </w:rPr>
        <w:t>2.2.</w:t>
      </w:r>
      <w:r>
        <w:rPr>
          <w:rFonts w:hint="eastAsia" w:ascii="Times New Roman" w:hAnsi="Times New Roman" w:cs="Times New Roman"/>
          <w:color w:val="auto"/>
        </w:rPr>
        <w:t>2</w:t>
      </w:r>
      <w:r>
        <w:rPr>
          <w:rFonts w:ascii="Times New Roman" w:hAnsi="Times New Roman" w:cs="Times New Roman"/>
          <w:color w:val="auto"/>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rPr>
        <w:t>或修改</w:t>
      </w:r>
      <w:r>
        <w:rPr>
          <w:rFonts w:ascii="Times New Roman" w:hAnsi="Times New Roman" w:cs="Times New Roman"/>
          <w:color w:val="auto"/>
        </w:rPr>
        <w:t>要求。</w:t>
      </w:r>
    </w:p>
    <w:p w14:paraId="340F4576">
      <w:pPr>
        <w:keepNext/>
        <w:keepLines/>
        <w:spacing w:beforeLines="50" w:afterLines="50"/>
        <w:outlineLvl w:val="1"/>
        <w:rPr>
          <w:rFonts w:ascii="Times New Roman" w:hAnsi="Times New Roman" w:eastAsia="黑体" w:cs="Times New Roman"/>
          <w:bCs/>
          <w:color w:val="auto"/>
          <w:sz w:val="24"/>
          <w:szCs w:val="32"/>
        </w:rPr>
      </w:pPr>
      <w:bookmarkStart w:id="73" w:name="_Toc14201225"/>
      <w:bookmarkStart w:id="74" w:name="_Toc9067722"/>
      <w:bookmarkStart w:id="75" w:name="_Toc26656956"/>
      <w:r>
        <w:rPr>
          <w:rFonts w:ascii="Times New Roman" w:hAnsi="Times New Roman" w:eastAsia="黑体" w:cs="Times New Roman"/>
          <w:bCs/>
          <w:color w:val="auto"/>
          <w:sz w:val="24"/>
          <w:szCs w:val="32"/>
        </w:rPr>
        <w:t xml:space="preserve">3. </w:t>
      </w:r>
      <w:bookmarkEnd w:id="73"/>
      <w:bookmarkEnd w:id="74"/>
      <w:bookmarkEnd w:id="75"/>
      <w:r>
        <w:rPr>
          <w:rFonts w:ascii="Times New Roman" w:hAnsi="Times New Roman" w:eastAsia="黑体" w:cs="Times New Roman"/>
          <w:bCs/>
          <w:color w:val="auto"/>
          <w:sz w:val="24"/>
          <w:szCs w:val="32"/>
        </w:rPr>
        <w:t>响应文件</w:t>
      </w:r>
    </w:p>
    <w:p w14:paraId="6B21C281">
      <w:pPr>
        <w:keepNext/>
        <w:keepLines/>
        <w:spacing w:before="120" w:after="120"/>
        <w:outlineLvl w:val="2"/>
        <w:rPr>
          <w:rFonts w:ascii="Times New Roman" w:hAnsi="Times New Roman" w:eastAsia="黑体" w:cs="Times New Roman"/>
          <w:bCs/>
          <w:color w:val="auto"/>
          <w:sz w:val="24"/>
          <w:szCs w:val="32"/>
        </w:rPr>
      </w:pPr>
      <w:bookmarkStart w:id="76" w:name="_Toc14201226"/>
      <w:bookmarkStart w:id="77" w:name="_Toc26656957"/>
      <w:r>
        <w:rPr>
          <w:rFonts w:ascii="Times New Roman" w:hAnsi="Times New Roman" w:eastAsia="黑体" w:cs="Times New Roman"/>
          <w:bCs/>
          <w:color w:val="auto"/>
          <w:sz w:val="24"/>
          <w:szCs w:val="32"/>
        </w:rPr>
        <w:t>3.1响应文件的组成</w:t>
      </w:r>
      <w:bookmarkEnd w:id="76"/>
      <w:bookmarkEnd w:id="77"/>
    </w:p>
    <w:p w14:paraId="1D5219DC">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15850ADE">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（1）报价函；</w:t>
      </w:r>
    </w:p>
    <w:p w14:paraId="1608DCA9">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（2）法定代表人身份证明及授权委托书；</w:t>
      </w:r>
    </w:p>
    <w:p w14:paraId="2856D682">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（3）报价清单；</w:t>
      </w:r>
    </w:p>
    <w:p w14:paraId="5CFDD362">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（4）供应商基本情况；</w:t>
      </w:r>
    </w:p>
    <w:p w14:paraId="1076DF6F">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eastAsia="zh-CN"/>
        </w:rPr>
        <w:t>5</w:t>
      </w:r>
      <w:r>
        <w:rPr>
          <w:rFonts w:hint="eastAsia" w:ascii="Times New Roman" w:hAnsi="Times New Roman" w:cs="Times New Roman"/>
          <w:color w:val="auto"/>
        </w:rPr>
        <w:t>）信誉情况；</w:t>
      </w:r>
    </w:p>
    <w:p w14:paraId="06E3E6DD">
      <w:pPr>
        <w:spacing w:line="440" w:lineRule="exact"/>
        <w:ind w:firstLine="420"/>
        <w:rPr>
          <w:rFonts w:hint="eastAsia"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eastAsia="zh-CN"/>
        </w:rPr>
        <w:t>6</w:t>
      </w:r>
      <w:r>
        <w:rPr>
          <w:rFonts w:hint="eastAsia" w:ascii="Times New Roman" w:hAnsi="Times New Roman" w:cs="Times New Roman"/>
          <w:color w:val="auto"/>
        </w:rPr>
        <w:t>）其他材料。</w:t>
      </w:r>
    </w:p>
    <w:p w14:paraId="50757F0D">
      <w:pPr>
        <w:keepNext/>
        <w:keepLines/>
        <w:spacing w:before="120" w:after="120"/>
        <w:outlineLvl w:val="2"/>
        <w:rPr>
          <w:rFonts w:ascii="Times New Roman" w:hAnsi="Times New Roman" w:eastAsia="黑体" w:cs="Times New Roman"/>
          <w:bCs/>
          <w:color w:val="auto"/>
          <w:sz w:val="24"/>
          <w:szCs w:val="32"/>
        </w:rPr>
      </w:pPr>
      <w:bookmarkStart w:id="78" w:name="_Toc14201227"/>
      <w:bookmarkStart w:id="79" w:name="_Toc26656958"/>
      <w:r>
        <w:rPr>
          <w:rFonts w:ascii="Times New Roman" w:hAnsi="Times New Roman" w:eastAsia="黑体" w:cs="Times New Roman"/>
          <w:bCs/>
          <w:color w:val="auto"/>
          <w:sz w:val="24"/>
          <w:szCs w:val="32"/>
        </w:rPr>
        <w:t>3.2 报价</w:t>
      </w:r>
      <w:bookmarkEnd w:id="78"/>
      <w:bookmarkEnd w:id="79"/>
      <w:r>
        <w:rPr>
          <w:rFonts w:ascii="Times New Roman" w:hAnsi="Times New Roman" w:eastAsia="黑体" w:cs="Times New Roman"/>
          <w:bCs/>
          <w:color w:val="auto"/>
          <w:sz w:val="24"/>
          <w:szCs w:val="32"/>
        </w:rPr>
        <w:t>要求</w:t>
      </w:r>
    </w:p>
    <w:p w14:paraId="2C4849CB">
      <w:pPr>
        <w:spacing w:line="440" w:lineRule="exact"/>
        <w:ind w:firstLine="420"/>
        <w:rPr>
          <w:rFonts w:ascii="Times New Roman" w:hAnsi="Times New Roman" w:cs="Times New Roman"/>
          <w:color w:val="auto"/>
        </w:rPr>
      </w:pPr>
      <w:r>
        <w:rPr>
          <w:rFonts w:hint="eastAsia" w:ascii="Times New Roman" w:hAnsi="Times New Roman" w:cs="Times New Roman"/>
          <w:color w:val="auto"/>
        </w:rPr>
        <w:t>3.2.1 报价应包括国家规定的增值税税金，供应商应提供符合采购人财务要求的增值税专用发票。</w:t>
      </w:r>
    </w:p>
    <w:p w14:paraId="1DD8C150">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w:t>
      </w:r>
      <w:r>
        <w:rPr>
          <w:rFonts w:hint="eastAsia" w:ascii="Times New Roman" w:hAnsi="Times New Roman" w:cs="Times New Roman"/>
          <w:color w:val="auto"/>
        </w:rPr>
        <w:t>报价清单</w:t>
      </w:r>
      <w:r>
        <w:rPr>
          <w:rFonts w:ascii="Times New Roman" w:hAnsi="Times New Roman" w:cs="Times New Roman"/>
          <w:color w:val="auto"/>
        </w:rPr>
        <w:t>相应表格。</w:t>
      </w:r>
    </w:p>
    <w:p w14:paraId="0088182F">
      <w:pPr>
        <w:spacing w:line="440" w:lineRule="exact"/>
        <w:ind w:firstLine="420"/>
        <w:rPr>
          <w:rFonts w:ascii="Times New Roman" w:hAnsi="Times New Roman" w:cs="Times New Roman"/>
          <w:color w:val="auto"/>
        </w:rPr>
      </w:pPr>
      <w:r>
        <w:rPr>
          <w:rFonts w:hint="eastAsia" w:ascii="Times New Roman" w:hAnsi="Times New Roman" w:cs="Times New Roman"/>
          <w:color w:val="auto"/>
        </w:rPr>
        <w:t>3.2.</w:t>
      </w:r>
      <w:r>
        <w:rPr>
          <w:rFonts w:hint="eastAsia" w:ascii="Times New Roman" w:hAnsi="Times New Roman" w:cs="Times New Roman"/>
          <w:color w:val="auto"/>
          <w:lang w:val="en-US" w:eastAsia="zh-CN"/>
        </w:rPr>
        <w:t>3</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lang w:val="en-US" w:eastAsia="zh-CN"/>
        </w:rPr>
        <w:t>统一费率报价</w:t>
      </w:r>
      <w:r>
        <w:rPr>
          <w:rFonts w:hint="eastAsia" w:ascii="Times New Roman" w:hAnsi="Times New Roman" w:cs="Times New Roman"/>
          <w:color w:val="auto"/>
          <w:u w:val="single"/>
        </w:rPr>
        <w:t xml:space="preserve"> </w:t>
      </w:r>
      <w:r>
        <w:rPr>
          <w:rFonts w:ascii="Times New Roman" w:hAnsi="Times New Roman" w:cs="Times New Roman"/>
          <w:color w:val="auto"/>
        </w:rPr>
        <w:t>。</w:t>
      </w:r>
    </w:p>
    <w:p w14:paraId="057FB2AD">
      <w:pPr>
        <w:keepNext/>
        <w:keepLines/>
        <w:spacing w:before="120" w:after="120"/>
        <w:outlineLvl w:val="2"/>
        <w:rPr>
          <w:rFonts w:ascii="Times New Roman" w:hAnsi="Times New Roman" w:eastAsia="黑体" w:cs="Times New Roman"/>
          <w:bCs/>
          <w:color w:val="auto"/>
          <w:sz w:val="24"/>
          <w:szCs w:val="32"/>
        </w:rPr>
      </w:pPr>
      <w:bookmarkStart w:id="80" w:name="_Toc26656959"/>
      <w:bookmarkStart w:id="81" w:name="_Toc14201228"/>
      <w:r>
        <w:rPr>
          <w:rFonts w:ascii="Times New Roman" w:hAnsi="Times New Roman" w:eastAsia="黑体" w:cs="Times New Roman"/>
          <w:bCs/>
          <w:color w:val="auto"/>
          <w:sz w:val="24"/>
          <w:szCs w:val="32"/>
        </w:rPr>
        <w:t>3.3</w:t>
      </w:r>
      <w:bookmarkEnd w:id="80"/>
      <w:bookmarkEnd w:id="81"/>
      <w:r>
        <w:rPr>
          <w:rFonts w:ascii="Times New Roman" w:hAnsi="Times New Roman" w:eastAsia="黑体" w:cs="Times New Roman"/>
          <w:bCs/>
          <w:color w:val="auto"/>
          <w:sz w:val="24"/>
          <w:szCs w:val="32"/>
        </w:rPr>
        <w:t>响应有效期</w:t>
      </w:r>
    </w:p>
    <w:p w14:paraId="54D1F973">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0日。</w:t>
      </w:r>
    </w:p>
    <w:p w14:paraId="53AE12CC">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54B7FADF">
      <w:pPr>
        <w:keepNext/>
        <w:keepLines/>
        <w:spacing w:before="120" w:after="120"/>
        <w:outlineLvl w:val="2"/>
        <w:rPr>
          <w:rFonts w:ascii="Times New Roman" w:hAnsi="Times New Roman" w:eastAsia="黑体" w:cs="Times New Roman"/>
          <w:bCs/>
          <w:color w:val="auto"/>
          <w:sz w:val="24"/>
          <w:szCs w:val="32"/>
        </w:rPr>
      </w:pPr>
      <w:bookmarkStart w:id="82" w:name="_Toc26656960"/>
      <w:bookmarkStart w:id="83" w:name="_Toc14201229"/>
      <w:r>
        <w:rPr>
          <w:rFonts w:ascii="Times New Roman" w:hAnsi="Times New Roman" w:eastAsia="黑体" w:cs="Times New Roman"/>
          <w:bCs/>
          <w:color w:val="auto"/>
          <w:sz w:val="24"/>
          <w:szCs w:val="32"/>
        </w:rPr>
        <w:t>3.4</w:t>
      </w:r>
      <w:bookmarkEnd w:id="82"/>
      <w:bookmarkEnd w:id="83"/>
      <w:r>
        <w:rPr>
          <w:rFonts w:ascii="Times New Roman" w:hAnsi="Times New Roman" w:eastAsia="黑体" w:cs="Times New Roman"/>
          <w:bCs/>
          <w:color w:val="auto"/>
          <w:sz w:val="24"/>
          <w:szCs w:val="32"/>
        </w:rPr>
        <w:t>响应保证金</w:t>
      </w:r>
    </w:p>
    <w:p w14:paraId="49D6F35E">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3.4.1</w:t>
      </w:r>
      <w:r>
        <w:rPr>
          <w:rFonts w:hint="eastAsia" w:ascii="Times New Roman" w:hAnsi="Times New Roman" w:cs="Times New Roman"/>
          <w:color w:val="auto"/>
        </w:rPr>
        <w:t>供应商在递</w:t>
      </w:r>
      <w:r>
        <w:rPr>
          <w:rFonts w:ascii="Times New Roman" w:hAnsi="Times New Roman" w:cs="Times New Roman"/>
          <w:color w:val="auto"/>
        </w:rPr>
        <w:t>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rPr>
        <w:t>采购公告</w:t>
      </w:r>
      <w:r>
        <w:rPr>
          <w:rFonts w:ascii="Times New Roman" w:hAnsi="Times New Roman" w:cs="Times New Roman"/>
          <w:color w:val="auto"/>
        </w:rPr>
        <w:t>”</w:t>
      </w:r>
      <w:r>
        <w:rPr>
          <w:rFonts w:hint="eastAsia" w:ascii="Times New Roman" w:hAnsi="Times New Roman" w:cs="Times New Roman"/>
          <w:color w:val="auto"/>
        </w:rPr>
        <w:t>第7条的要求</w:t>
      </w:r>
      <w:r>
        <w:rPr>
          <w:rFonts w:ascii="Times New Roman" w:hAnsi="Times New Roman" w:cs="Times New Roman"/>
          <w:color w:val="auto"/>
        </w:rPr>
        <w:t>递交响应保证金，并作为其响应文件的组成部分。无论采取何种形式的响应保证金，响应保证金有效期均应与响应有效期一致。</w:t>
      </w:r>
    </w:p>
    <w:p w14:paraId="3AD2D001">
      <w:pPr>
        <w:spacing w:line="440" w:lineRule="exact"/>
        <w:ind w:firstLine="420"/>
        <w:rPr>
          <w:rFonts w:ascii="Times New Roman" w:hAnsi="Times New Roman" w:cs="Times New Roman"/>
          <w:color w:val="auto"/>
        </w:rPr>
      </w:pPr>
      <w:r>
        <w:rPr>
          <w:rFonts w:ascii="Times New Roman" w:hAnsi="Times New Roman" w:cs="Times New Roman"/>
          <w:color w:val="auto"/>
        </w:rPr>
        <w:t>3.4.2 供应商不按本章第3.4.1项要求提交响应保证金的，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61322B68">
      <w:pPr>
        <w:spacing w:line="440" w:lineRule="exact"/>
        <w:ind w:firstLine="420"/>
        <w:rPr>
          <w:rFonts w:ascii="Times New Roman" w:hAnsi="Times New Roman" w:cs="Times New Roman"/>
          <w:color w:val="auto"/>
        </w:rPr>
      </w:pPr>
      <w:r>
        <w:rPr>
          <w:rFonts w:ascii="Times New Roman" w:hAnsi="Times New Roman" w:cs="Times New Roman"/>
          <w:color w:val="auto"/>
        </w:rPr>
        <w:t>3.4.3 采购人在与成交人签订合同后</w:t>
      </w:r>
      <w:r>
        <w:rPr>
          <w:rFonts w:hint="eastAsia" w:ascii="Times New Roman" w:hAnsi="Times New Roman" w:cs="Times New Roman"/>
          <w:color w:val="auto"/>
        </w:rPr>
        <w:t>7</w:t>
      </w:r>
      <w:r>
        <w:rPr>
          <w:rFonts w:ascii="Times New Roman" w:hAnsi="Times New Roman" w:cs="Times New Roman"/>
          <w:color w:val="auto"/>
        </w:rPr>
        <w:t>日内办理退还响应保证金手续。</w:t>
      </w:r>
    </w:p>
    <w:p w14:paraId="1A4EFE8F">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414A12E8">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25AE853E">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r>
        <w:rPr>
          <w:rFonts w:hint="eastAsia" w:ascii="Times New Roman" w:hAnsi="Times New Roman" w:cs="Times New Roman"/>
          <w:color w:val="auto"/>
        </w:rPr>
        <w:t>。</w:t>
      </w:r>
    </w:p>
    <w:p w14:paraId="51984E12">
      <w:pPr>
        <w:keepNext/>
        <w:keepLines/>
        <w:spacing w:before="120" w:after="120"/>
        <w:outlineLvl w:val="2"/>
        <w:rPr>
          <w:rFonts w:ascii="Times New Roman" w:hAnsi="Times New Roman" w:eastAsia="黑体" w:cs="Times New Roman"/>
          <w:bCs/>
          <w:color w:val="auto"/>
          <w:sz w:val="24"/>
          <w:szCs w:val="32"/>
        </w:rPr>
      </w:pPr>
      <w:bookmarkStart w:id="84" w:name="_Toc14201230"/>
      <w:bookmarkStart w:id="85" w:name="_Toc26656961"/>
      <w:r>
        <w:rPr>
          <w:rFonts w:ascii="Times New Roman" w:hAnsi="Times New Roman" w:eastAsia="黑体" w:cs="Times New Roman"/>
          <w:bCs/>
          <w:color w:val="auto"/>
          <w:sz w:val="24"/>
          <w:szCs w:val="32"/>
        </w:rPr>
        <w:t>3.5资格审查资料</w:t>
      </w:r>
      <w:bookmarkEnd w:id="84"/>
      <w:bookmarkEnd w:id="85"/>
    </w:p>
    <w:p w14:paraId="2924E6AB">
      <w:pPr>
        <w:spacing w:line="440" w:lineRule="exact"/>
        <w:ind w:firstLine="420"/>
        <w:rPr>
          <w:rFonts w:ascii="Times New Roman" w:hAnsi="Times New Roman" w:cs="Times New Roman"/>
          <w:color w:val="auto"/>
        </w:rPr>
      </w:pPr>
      <w:r>
        <w:rPr>
          <w:rFonts w:ascii="Times New Roman" w:hAnsi="Times New Roman" w:cs="Times New Roman"/>
          <w:color w:val="auto"/>
        </w:rPr>
        <w:t>供应商应按第六章“响应文件格式”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规定提供资格审查资料，以证明其满足本章第1.</w:t>
      </w:r>
      <w:r>
        <w:rPr>
          <w:rFonts w:hint="eastAsia" w:ascii="Times New Roman" w:hAnsi="Times New Roman" w:cs="Times New Roman"/>
          <w:color w:val="auto"/>
        </w:rPr>
        <w:t>2</w:t>
      </w:r>
      <w:r>
        <w:rPr>
          <w:rFonts w:ascii="Times New Roman" w:hAnsi="Times New Roman" w:cs="Times New Roman"/>
          <w:color w:val="auto"/>
        </w:rPr>
        <w:t>款规定的资质、业绩、信誉等要求。</w:t>
      </w:r>
    </w:p>
    <w:p w14:paraId="2CC36A97">
      <w:pPr>
        <w:keepNext/>
        <w:keepLines/>
        <w:spacing w:before="120" w:after="120"/>
        <w:outlineLvl w:val="2"/>
        <w:rPr>
          <w:rFonts w:ascii="Times New Roman" w:hAnsi="Times New Roman" w:eastAsia="黑体" w:cs="Times New Roman"/>
          <w:bCs/>
          <w:color w:val="auto"/>
          <w:sz w:val="24"/>
          <w:szCs w:val="32"/>
        </w:rPr>
      </w:pPr>
      <w:bookmarkStart w:id="86" w:name="_Toc14201232"/>
      <w:bookmarkStart w:id="87" w:name="_Toc26656963"/>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bookmarkEnd w:id="86"/>
      <w:bookmarkEnd w:id="87"/>
    </w:p>
    <w:p w14:paraId="72722592">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.1响应文件应按第六章“响应文件格式”进行编写，如有必要，可以增加附页，作为响应文件的组成部分。</w:t>
      </w:r>
    </w:p>
    <w:p w14:paraId="086327EE">
      <w:pPr>
        <w:spacing w:line="440" w:lineRule="exact"/>
        <w:ind w:firstLine="420"/>
        <w:rPr>
          <w:rFonts w:ascii="Times New Roman" w:hAnsi="Times New Roman" w:cs="Times New Roman"/>
          <w:color w:val="auto"/>
        </w:rPr>
      </w:pPr>
      <w:r>
        <w:rPr>
          <w:rFonts w:ascii="Times New Roman" w:hAnsi="Times New Roman" w:cs="Times New Roman"/>
          <w:color w:val="auto"/>
        </w:rPr>
        <w:t>3.6.2 响应文件应当对询比文件有关服务期、响应有效期、</w:t>
      </w:r>
      <w:r>
        <w:rPr>
          <w:rFonts w:hint="eastAsia" w:ascii="Times New Roman" w:hAnsi="Times New Roman" w:eastAsia="宋体" w:cs="Times New Roman"/>
          <w:color w:val="auto"/>
          <w:lang w:val="en-US" w:eastAsia="zh-CN"/>
        </w:rPr>
        <w:t>采购需</w:t>
      </w:r>
      <w:r>
        <w:rPr>
          <w:rFonts w:ascii="Times New Roman" w:hAnsi="Times New Roman" w:eastAsia="宋体" w:cs="Times New Roman"/>
          <w:color w:val="auto"/>
        </w:rPr>
        <w:t>求、安全目标</w:t>
      </w:r>
      <w:r>
        <w:rPr>
          <w:rFonts w:ascii="Times New Roman" w:hAnsi="Times New Roman" w:cs="Times New Roman"/>
          <w:color w:val="auto"/>
        </w:rPr>
        <w:t>、技术标准和要求、采购范围等实质性内容作出响应。</w:t>
      </w:r>
    </w:p>
    <w:p w14:paraId="64404A0F">
      <w:pPr>
        <w:spacing w:line="440" w:lineRule="exact"/>
        <w:ind w:firstLine="420"/>
        <w:rPr>
          <w:rFonts w:ascii="Times New Roman" w:hAnsi="Times New Roman" w:cs="Times New Roman"/>
          <w:color w:val="auto"/>
        </w:rPr>
      </w:pPr>
      <w:r>
        <w:rPr>
          <w:rFonts w:ascii="Times New Roman" w:hAnsi="Times New Roman" w:cs="Times New Roman"/>
          <w:color w:val="auto"/>
        </w:rPr>
        <w:t>3.6.3响应文件的制作应满足以下规定：</w:t>
      </w:r>
    </w:p>
    <w:p w14:paraId="5639AA87">
      <w:pPr>
        <w:pStyle w:val="8"/>
        <w:keepNext w:val="0"/>
        <w:keepLines w:val="0"/>
        <w:pageBreakBefore w:val="0"/>
        <w:widowControl w:val="0"/>
        <w:numPr>
          <w:ilvl w:val="0"/>
          <w:numId w:val="3"/>
        </w:numPr>
        <w:tabs>
          <w:tab w:val="left" w:pos="1191"/>
        </w:tabs>
        <w:kinsoku/>
        <w:wordWrap/>
        <w:overflowPunct/>
        <w:topLinePunct w:val="0"/>
        <w:autoSpaceDE/>
        <w:autoSpaceDN/>
        <w:bidi w:val="0"/>
        <w:adjustRightInd/>
        <w:snapToGrid/>
        <w:spacing w:before="0" w:line="440" w:lineRule="exact"/>
        <w:ind w:right="128" w:rightChars="0" w:firstLine="422" w:firstLineChars="200"/>
        <w:textAlignment w:val="auto"/>
        <w:rPr>
          <w:rFonts w:ascii="Times New Roman" w:hAnsi="Times New Roman" w:eastAsia="宋体" w:cs="Times New Roman"/>
          <w:b/>
          <w:bCs/>
          <w:color w:val="auto"/>
          <w:kern w:val="2"/>
          <w:sz w:val="21"/>
          <w:szCs w:val="24"/>
          <w:lang w:val="en-US" w:eastAsia="zh-CN" w:bidi="ar-SA"/>
        </w:rPr>
      </w:pPr>
      <w:bookmarkStart w:id="88" w:name="_Toc9067723"/>
      <w:bookmarkStart w:id="89" w:name="_Toc26656964"/>
      <w:bookmarkStart w:id="90" w:name="_Toc14201233"/>
      <w:r>
        <w:rPr>
          <w:rFonts w:ascii="Times New Roman" w:hAnsi="Times New Roman" w:eastAsia="宋体" w:cs="Times New Roman"/>
          <w:b/>
          <w:bCs/>
          <w:color w:val="auto"/>
          <w:kern w:val="2"/>
          <w:sz w:val="21"/>
          <w:szCs w:val="24"/>
          <w:lang w:val="en-US" w:eastAsia="zh-CN" w:bidi="ar-SA"/>
        </w:rPr>
        <w:t>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5FFD1516">
      <w:pPr>
        <w:pStyle w:val="8"/>
        <w:keepNext w:val="0"/>
        <w:keepLines w:val="0"/>
        <w:pageBreakBefore w:val="0"/>
        <w:widowControl w:val="0"/>
        <w:numPr>
          <w:ilvl w:val="0"/>
          <w:numId w:val="3"/>
        </w:numPr>
        <w:tabs>
          <w:tab w:val="left" w:pos="1191"/>
        </w:tabs>
        <w:kinsoku/>
        <w:wordWrap/>
        <w:overflowPunct/>
        <w:topLinePunct w:val="0"/>
        <w:autoSpaceDE/>
        <w:autoSpaceDN/>
        <w:bidi w:val="0"/>
        <w:adjustRightInd/>
        <w:snapToGrid/>
        <w:spacing w:before="0" w:line="440" w:lineRule="exact"/>
        <w:ind w:right="128" w:rightChars="0" w:firstLine="422" w:firstLineChars="200"/>
        <w:textAlignment w:val="auto"/>
        <w:rPr>
          <w:rFonts w:ascii="Times New Roman" w:hAnsi="Times New Roman" w:eastAsia="宋体" w:cs="Times New Roman"/>
          <w:b/>
          <w:bCs/>
          <w:color w:val="auto"/>
          <w:kern w:val="2"/>
          <w:sz w:val="21"/>
          <w:szCs w:val="24"/>
          <w:lang w:val="en-US" w:eastAsia="zh-CN" w:bidi="ar-SA"/>
        </w:rPr>
      </w:pPr>
      <w:r>
        <w:rPr>
          <w:rFonts w:ascii="Times New Roman" w:hAnsi="Times New Roman" w:eastAsia="宋体" w:cs="Times New Roman"/>
          <w:b/>
          <w:bCs/>
          <w:color w:val="auto"/>
          <w:kern w:val="2"/>
          <w:sz w:val="21"/>
          <w:szCs w:val="24"/>
          <w:lang w:val="en-US" w:eastAsia="zh-CN" w:bidi="ar-SA"/>
        </w:rPr>
        <w:t>响应文件份数及其他要求：响应文件正本一份，副本一份。正本和副本的封面右上角上应清</w:t>
      </w:r>
    </w:p>
    <w:p w14:paraId="43631979">
      <w:pPr>
        <w:pStyle w:val="8"/>
        <w:keepNext w:val="0"/>
        <w:keepLines w:val="0"/>
        <w:pageBreakBefore w:val="0"/>
        <w:widowControl w:val="0"/>
        <w:kinsoku/>
        <w:wordWrap/>
        <w:overflowPunct/>
        <w:topLinePunct w:val="0"/>
        <w:autoSpaceDE/>
        <w:autoSpaceDN/>
        <w:bidi w:val="0"/>
        <w:adjustRightInd/>
        <w:snapToGrid/>
        <w:spacing w:before="0" w:line="440" w:lineRule="exact"/>
        <w:ind w:right="235" w:firstLine="0"/>
        <w:textAlignment w:val="auto"/>
        <w:rPr>
          <w:rFonts w:ascii="Times New Roman" w:hAnsi="Times New Roman" w:eastAsia="宋体" w:cs="Times New Roman"/>
          <w:b/>
          <w:bCs/>
          <w:color w:val="auto"/>
          <w:kern w:val="2"/>
          <w:sz w:val="21"/>
          <w:szCs w:val="24"/>
          <w:lang w:val="en-US" w:eastAsia="zh-CN" w:bidi="ar-SA"/>
        </w:rPr>
      </w:pPr>
      <w:r>
        <w:rPr>
          <w:rFonts w:ascii="Times New Roman" w:hAnsi="Times New Roman" w:eastAsia="宋体" w:cs="Times New Roman"/>
          <w:b/>
          <w:bCs/>
          <w:color w:val="auto"/>
          <w:kern w:val="2"/>
          <w:sz w:val="21"/>
          <w:szCs w:val="24"/>
          <w:lang w:val="en-US" w:eastAsia="zh-CN" w:bidi="ar-SA"/>
        </w:rPr>
        <w:t>楚地标记“正本”或“副本”的字样。当副本和正本不一致时，以正本文件为准。响应文件的正本与副本应分别装订，统一密封在信封封套中。</w:t>
      </w:r>
    </w:p>
    <w:p w14:paraId="207C8346">
      <w:pPr>
        <w:pStyle w:val="8"/>
        <w:keepNext w:val="0"/>
        <w:keepLines w:val="0"/>
        <w:pageBreakBefore w:val="0"/>
        <w:widowControl w:val="0"/>
        <w:kinsoku/>
        <w:wordWrap/>
        <w:overflowPunct/>
        <w:topLinePunct w:val="0"/>
        <w:autoSpaceDE/>
        <w:autoSpaceDN/>
        <w:bidi w:val="0"/>
        <w:adjustRightInd/>
        <w:snapToGrid/>
        <w:spacing w:before="0" w:line="440" w:lineRule="exact"/>
        <w:ind w:right="235" w:firstLine="422" w:firstLineChars="200"/>
        <w:textAlignment w:val="auto"/>
        <w:rPr>
          <w:rFonts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（3）</w:t>
      </w:r>
      <w:r>
        <w:rPr>
          <w:rFonts w:ascii="Times New Roman" w:hAnsi="Times New Roman" w:eastAsia="宋体" w:cs="Times New Roman"/>
          <w:b/>
          <w:bCs/>
          <w:color w:val="auto"/>
          <w:kern w:val="2"/>
          <w:sz w:val="21"/>
          <w:szCs w:val="24"/>
          <w:lang w:val="en-US" w:eastAsia="zh-CN" w:bidi="ar-SA"/>
        </w:rPr>
        <w:t>电子版U盘：U盘内应提供响应文件（盖章扫描件）备查，U盘和响应文件密封在一个封套内；</w:t>
      </w:r>
    </w:p>
    <w:p w14:paraId="41EC066A">
      <w:pPr>
        <w:pStyle w:val="2"/>
        <w:keepNext w:val="0"/>
        <w:keepLines w:val="0"/>
        <w:pageBreakBefore w:val="0"/>
        <w:widowControl w:val="0"/>
        <w:kinsoku/>
        <w:wordWrap/>
        <w:overflowPunct/>
        <w:topLinePunct w:val="0"/>
        <w:autoSpaceDE/>
        <w:autoSpaceDN/>
        <w:bidi w:val="0"/>
        <w:adjustRightInd/>
        <w:snapToGrid/>
        <w:spacing w:after="0" w:line="440" w:lineRule="exact"/>
        <w:ind w:left="640"/>
        <w:textAlignment w:val="auto"/>
        <w:rPr>
          <w:rFonts w:ascii="Times New Roman" w:hAnsi="Times New Roman" w:eastAsia="宋体" w:cs="Times New Roman"/>
          <w:b/>
          <w:bCs/>
          <w:color w:val="auto"/>
          <w:kern w:val="2"/>
          <w:sz w:val="21"/>
          <w:szCs w:val="24"/>
          <w:lang w:val="en-US" w:eastAsia="zh-CN" w:bidi="ar-SA"/>
        </w:rPr>
      </w:pPr>
      <w:r>
        <w:rPr>
          <w:rFonts w:ascii="Times New Roman" w:hAnsi="Times New Roman" w:eastAsia="宋体" w:cs="Times New Roman"/>
          <w:b/>
          <w:bCs/>
          <w:color w:val="auto"/>
          <w:kern w:val="2"/>
          <w:sz w:val="21"/>
          <w:szCs w:val="24"/>
          <w:lang w:val="en-US" w:eastAsia="zh-CN" w:bidi="ar-SA"/>
        </w:rPr>
        <w:t>U 盘上贴注格式如下：</w:t>
      </w:r>
    </w:p>
    <w:p w14:paraId="6F9F6F5C">
      <w:pPr>
        <w:pStyle w:val="2"/>
        <w:keepNext w:val="0"/>
        <w:keepLines w:val="0"/>
        <w:pageBreakBefore w:val="0"/>
        <w:widowControl w:val="0"/>
        <w:kinsoku/>
        <w:wordWrap/>
        <w:overflowPunct/>
        <w:topLinePunct w:val="0"/>
        <w:autoSpaceDE/>
        <w:autoSpaceDN/>
        <w:bidi w:val="0"/>
        <w:adjustRightInd/>
        <w:snapToGrid/>
        <w:spacing w:after="0" w:line="440" w:lineRule="exact"/>
        <w:ind w:left="1760"/>
        <w:textAlignment w:val="auto"/>
        <w:rPr>
          <w:rFonts w:ascii="Times New Roman" w:hAnsi="Times New Roman" w:cs="Times New Roman"/>
          <w:b/>
          <w:bCs/>
          <w:color w:val="auto"/>
          <w:sz w:val="20"/>
        </w:rPr>
      </w:pPr>
    </w:p>
    <w:p w14:paraId="347251BE">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cs="Times New Roman"/>
          <w:b/>
          <w:bCs/>
          <w:color w:val="auto"/>
          <w:sz w:val="15"/>
        </w:rPr>
      </w:pPr>
    </w:p>
    <w:p w14:paraId="383E23F5">
      <w:pPr>
        <w:pStyle w:val="8"/>
        <w:keepNext w:val="0"/>
        <w:keepLines w:val="0"/>
        <w:pageBreakBefore w:val="0"/>
        <w:widowControl w:val="0"/>
        <w:numPr>
          <w:ilvl w:val="0"/>
          <w:numId w:val="0"/>
        </w:numPr>
        <w:tabs>
          <w:tab w:val="left" w:pos="1194"/>
        </w:tabs>
        <w:kinsoku/>
        <w:wordWrap/>
        <w:overflowPunct/>
        <w:topLinePunct w:val="0"/>
        <w:autoSpaceDE/>
        <w:autoSpaceDN/>
        <w:bidi w:val="0"/>
        <w:adjustRightInd/>
        <w:snapToGrid/>
        <w:spacing w:before="0" w:line="440" w:lineRule="exact"/>
        <w:ind w:left="640" w:leftChars="0" w:right="235" w:rightChars="0"/>
        <w:textAlignment w:val="auto"/>
        <w:rPr>
          <w:rFonts w:ascii="Times New Roman" w:hAnsi="Times New Roman" w:cs="Times New Roman"/>
          <w:b/>
          <w:bCs/>
          <w:color w:val="auto"/>
        </w:rPr>
      </w:pPr>
    </w:p>
    <w:p w14:paraId="57316A50">
      <w:pPr>
        <w:pStyle w:val="8"/>
        <w:keepNext w:val="0"/>
        <w:keepLines w:val="0"/>
        <w:pageBreakBefore w:val="0"/>
        <w:widowControl w:val="0"/>
        <w:numPr>
          <w:ilvl w:val="0"/>
          <w:numId w:val="0"/>
        </w:numPr>
        <w:tabs>
          <w:tab w:val="left" w:pos="1194"/>
        </w:tabs>
        <w:kinsoku/>
        <w:wordWrap/>
        <w:overflowPunct/>
        <w:topLinePunct w:val="0"/>
        <w:autoSpaceDE/>
        <w:autoSpaceDN/>
        <w:bidi w:val="0"/>
        <w:adjustRightInd/>
        <w:snapToGrid/>
        <w:spacing w:before="0" w:line="440" w:lineRule="exact"/>
        <w:ind w:right="235" w:rightChars="0" w:firstLine="402" w:firstLineChars="200"/>
        <w:jc w:val="center"/>
        <w:textAlignment w:val="auto"/>
        <w:rPr>
          <w:rFonts w:ascii="Times New Roman" w:hAnsi="Times New Roman" w:cs="Times New Roman"/>
          <w:b/>
          <w:bCs/>
          <w:color w:val="auto"/>
        </w:rPr>
      </w:pPr>
      <w:r>
        <w:rPr>
          <w:rFonts w:ascii="Times New Roman" w:hAnsi="Times New Roman" w:cs="Times New Roman"/>
          <w:b/>
          <w:bCs/>
          <w:color w:val="auto"/>
          <w:sz w:val="20"/>
        </w:rPr>
        <mc:AlternateContent>
          <mc:Choice Requires="wps">
            <w:drawing>
              <wp:inline distT="0" distB="0" distL="114300" distR="114300">
                <wp:extent cx="5403850" cy="817880"/>
                <wp:effectExtent l="4445" t="4445" r="20955" b="15875"/>
                <wp:docPr id="1" name="文本框 2"/>
                <wp:cNvGraphicFramePr/>
                <a:graphic xmlns:a="http://schemas.openxmlformats.org/drawingml/2006/main">
                  <a:graphicData uri="http://schemas.microsoft.com/office/word/2010/wordprocessingShape">
                    <wps:wsp>
                      <wps:cNvSpPr txBox="1"/>
                      <wps:spPr>
                        <a:xfrm>
                          <a:off x="0" y="0"/>
                          <a:ext cx="4227195" cy="817880"/>
                        </a:xfrm>
                        <a:prstGeom prst="rect">
                          <a:avLst/>
                        </a:prstGeom>
                        <a:noFill/>
                        <a:ln w="6096" cap="flat" cmpd="sng">
                          <a:solidFill>
                            <a:srgbClr val="000000"/>
                          </a:solidFill>
                          <a:prstDash val="solid"/>
                          <a:miter/>
                          <a:headEnd type="none" w="med" len="med"/>
                          <a:tailEnd type="none" w="med" len="med"/>
                        </a:ln>
                        <a:effectLst/>
                      </wps:spPr>
                      <wps:txbx>
                        <w:txbxContent>
                          <w:p w14:paraId="3CEEF4C2">
                            <w:pPr>
                              <w:pStyle w:val="2"/>
                              <w:tabs>
                                <w:tab w:val="left" w:pos="4458"/>
                                <w:tab w:val="left" w:pos="6090"/>
                              </w:tabs>
                              <w:spacing w:before="184" w:line="364" w:lineRule="auto"/>
                              <w:ind w:left="103" w:right="150" w:rightChars="0"/>
                              <w:rPr>
                                <w:rFonts w:hint="default" w:eastAsia="宋体"/>
                                <w:w w:val="95"/>
                                <w:u w:val="single"/>
                                <w:lang w:val="en-US" w:eastAsia="zh-CN"/>
                              </w:rPr>
                            </w:pPr>
                            <w:r>
                              <w:rPr>
                                <w:w w:val="95"/>
                              </w:rPr>
                              <w:t>项目名称：</w:t>
                            </w:r>
                            <w:r>
                              <w:rPr>
                                <w:rFonts w:hint="eastAsia"/>
                                <w:w w:val="95"/>
                                <w:u w:val="single"/>
                                <w:lang w:val="en-US"/>
                              </w:rPr>
                              <w:t>安徽省高速公路试验检测科研中心有限公司2025-2027年生产车辆租赁服务集中采购</w:t>
                            </w:r>
                          </w:p>
                          <w:p w14:paraId="5C92C7C2">
                            <w:pPr>
                              <w:pStyle w:val="2"/>
                              <w:spacing w:before="184" w:line="364" w:lineRule="auto"/>
                              <w:ind w:left="103" w:right="1607"/>
                              <w:rPr>
                                <w:w w:val="95"/>
                                <w:u w:val="single"/>
                                <w:lang w:val="en-US"/>
                              </w:rPr>
                            </w:pPr>
                            <w:r>
                              <w:rPr>
                                <w:w w:val="95"/>
                              </w:rPr>
                              <w:t>供应商名称：</w:t>
                            </w:r>
                            <w:r>
                              <w:rPr>
                                <w:rFonts w:hint="eastAsia"/>
                                <w:w w:val="95"/>
                                <w:u w:val="single"/>
                                <w:lang w:val="en-US"/>
                              </w:rPr>
                              <w:t xml:space="preserve">                          </w:t>
                            </w:r>
                            <w:r>
                              <w:rPr>
                                <w:rFonts w:hint="eastAsia"/>
                                <w:w w:val="95"/>
                                <w:u w:val="single"/>
                                <w:lang w:val="en-US" w:eastAsia="zh-CN"/>
                              </w:rPr>
                              <w:t xml:space="preserve">      </w:t>
                            </w:r>
                            <w:r>
                              <w:rPr>
                                <w:rFonts w:hint="eastAsia"/>
                                <w:w w:val="95"/>
                                <w:u w:val="single"/>
                                <w:lang w:val="en-US"/>
                              </w:rPr>
                              <w:t xml:space="preserve">  </w:t>
                            </w:r>
                            <w:r>
                              <w:rPr>
                                <w:rFonts w:hint="eastAsia"/>
                                <w:w w:val="95"/>
                                <w:u w:val="none"/>
                                <w:lang w:val="en-US" w:eastAsia="zh-CN"/>
                              </w:rPr>
                              <w:t xml:space="preserve">    </w:t>
                            </w:r>
                          </w:p>
                          <w:p w14:paraId="549C5A60">
                            <w:pPr>
                              <w:pStyle w:val="2"/>
                              <w:tabs>
                                <w:tab w:val="left" w:pos="4458"/>
                              </w:tabs>
                              <w:spacing w:before="184" w:line="364" w:lineRule="auto"/>
                              <w:ind w:left="103" w:right="2187"/>
                              <w:rPr>
                                <w:rFonts w:ascii="Times New Roman" w:eastAsia="Times New Roman"/>
                              </w:rPr>
                            </w:pPr>
                          </w:p>
                        </w:txbxContent>
                      </wps:txbx>
                      <wps:bodyPr vert="horz" wrap="square" lIns="0" tIns="0" rIns="0" bIns="0" anchor="t" anchorCtr="0" upright="1"/>
                    </wps:wsp>
                  </a:graphicData>
                </a:graphic>
              </wp:inline>
            </w:drawing>
          </mc:Choice>
          <mc:Fallback>
            <w:pict>
              <v:shape id="文本框 2" o:spid="_x0000_s1026" o:spt="202" type="#_x0000_t202" style="height:64.4pt;width:425.5pt;" filled="f" stroked="t" coordsize="21600,21600" o:gfxdata="UEsDBAoAAAAAAIdO4kAAAAAAAAAAAAAAAAAEAAAAZHJzL1BLAwQUAAAACACHTuJAXRb9N9IAAAAF&#10;AQAADwAAAGRycy9kb3ducmV2LnhtbE2PwU7DMBBE70j8g7VI3KiTSkFWiNMDai8ckFL6Adt4SdLG&#10;6yh2m/L3LFzgstJoRrNvqs3Nj+pKcxwCW8hXGSjiNriBOwuHj92TARUTssMxMFn4ogib+v6uwtKF&#10;hRu67lOnpIRjiRb6lKZS69j25DGuwkQs3meYPSaRc6fdjIuU+1Gvs+xZexxYPvQ40WtP7Xl/8Rao&#10;OQ0h7MzSTKk7vMVtUWzfC2sfH/LsBVSiW/oLww++oEMtTMdwYRfVaEGGpN8rnilykUcJrY0BXVf6&#10;P339DVBLAwQUAAAACACHTuJAKOBHqDgCAAByBAAADgAAAGRycy9lMm9Eb2MueG1srVTLjtMwFN0j&#10;8Q+W9zRtBZ1O1XQkpgxCQoA08AGu4ySW/MJ2m5QPgD9gxYY939Xv4NhpyzBsuqCL9Ma+Pveec4+z&#10;vOm1Ijvhg7SmpJPRmBJhuK2kaUr66ePdszklITJTMWWNKOleBHqzevpk2bmFmNrWqkp4AhATFp0r&#10;aRujWxRF4K3QLIysEwabtfWaRbz6pqg864CuVTEdj2dFZ33lvOUiBKyuh016RPSXANq6llysLd9q&#10;YeKA6oViEZRCK12gq9xtXQse39d1EJGokoJpzE8UQbxJz2K1ZIvGM9dKfmyBXdLCI06aSYOiZ6g1&#10;i4xsvfwHSkvubbB1HHGri4FIVgQsJuNH2ty3zInMBVIHdxY9/D9Y/m73wRNZwQmUGKYx8MP3b4cf&#10;vw4/v5JpkqdzYYGse4e82L+0fUo9rgcsJtZ97XX6Bx+CfYi7P4sr+kg4Fp9Pp1eT6xeUcOzNJ1fz&#10;eVa/+HPa+RBfC6tJCkrqMbysKdu9DREVkXpKScWMvZNK5QEqQ7qSzsbXM8AzmLKGGRBqB2LBNBkm&#10;WCWrdCQdDr7Z3CpPdiwZI/8SKZT4Ky3VW7PQDnl5a7CMllH4XLsVrHplKhL3DuIZ3BmamtGiokQJ&#10;XLEU5czIpLokE00ok5oU2cBH8mkOg94piv2mB2gKN7baYza40hCttf4L6sPQIP55yzy6UW8MHJPc&#10;fwr8KdicAmY4jpYUqg3hbRxuydZ52bRAzkMvUkFYMSt1vDbJ6w/fET/8VK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0W/TfSAAAABQEAAA8AAAAAAAAAAQAgAAAAIgAAAGRycy9kb3ducmV2Lnht&#10;bFBLAQIUABQAAAAIAIdO4kAo4EeoOAIAAHIEAAAOAAAAAAAAAAEAIAAAACEBAABkcnMvZTJvRG9j&#10;LnhtbFBLBQYAAAAABgAGAFkBAADLBQAAAAA=&#10;">
                <v:fill on="f" focussize="0,0"/>
                <v:stroke weight="0.48pt" color="#000000" joinstyle="miter"/>
                <v:imagedata o:title=""/>
                <o:lock v:ext="edit" aspectratio="f"/>
                <v:textbox inset="0mm,0mm,0mm,0mm">
                  <w:txbxContent>
                    <w:p w14:paraId="3CEEF4C2">
                      <w:pPr>
                        <w:pStyle w:val="2"/>
                        <w:tabs>
                          <w:tab w:val="left" w:pos="4458"/>
                          <w:tab w:val="left" w:pos="6090"/>
                        </w:tabs>
                        <w:spacing w:before="184" w:line="364" w:lineRule="auto"/>
                        <w:ind w:left="103" w:right="150" w:rightChars="0"/>
                        <w:rPr>
                          <w:rFonts w:hint="default" w:eastAsia="宋体"/>
                          <w:w w:val="95"/>
                          <w:u w:val="single"/>
                          <w:lang w:val="en-US" w:eastAsia="zh-CN"/>
                        </w:rPr>
                      </w:pPr>
                      <w:r>
                        <w:rPr>
                          <w:w w:val="95"/>
                        </w:rPr>
                        <w:t>项目名称：</w:t>
                      </w:r>
                      <w:r>
                        <w:rPr>
                          <w:rFonts w:hint="eastAsia"/>
                          <w:w w:val="95"/>
                          <w:u w:val="single"/>
                          <w:lang w:val="en-US"/>
                        </w:rPr>
                        <w:t>安徽省高速公路试验检测科研中心有限公司2025-2027年生产车辆租赁服务集中采购</w:t>
                      </w:r>
                    </w:p>
                    <w:p w14:paraId="5C92C7C2">
                      <w:pPr>
                        <w:pStyle w:val="2"/>
                        <w:spacing w:before="184" w:line="364" w:lineRule="auto"/>
                        <w:ind w:left="103" w:right="1607"/>
                        <w:rPr>
                          <w:w w:val="95"/>
                          <w:u w:val="single"/>
                          <w:lang w:val="en-US"/>
                        </w:rPr>
                      </w:pPr>
                      <w:r>
                        <w:rPr>
                          <w:w w:val="95"/>
                        </w:rPr>
                        <w:t>供应商名称：</w:t>
                      </w:r>
                      <w:r>
                        <w:rPr>
                          <w:rFonts w:hint="eastAsia"/>
                          <w:w w:val="95"/>
                          <w:u w:val="single"/>
                          <w:lang w:val="en-US"/>
                        </w:rPr>
                        <w:t xml:space="preserve">                          </w:t>
                      </w:r>
                      <w:r>
                        <w:rPr>
                          <w:rFonts w:hint="eastAsia"/>
                          <w:w w:val="95"/>
                          <w:u w:val="single"/>
                          <w:lang w:val="en-US" w:eastAsia="zh-CN"/>
                        </w:rPr>
                        <w:t xml:space="preserve">      </w:t>
                      </w:r>
                      <w:r>
                        <w:rPr>
                          <w:rFonts w:hint="eastAsia"/>
                          <w:w w:val="95"/>
                          <w:u w:val="single"/>
                          <w:lang w:val="en-US"/>
                        </w:rPr>
                        <w:t xml:space="preserve">  </w:t>
                      </w:r>
                      <w:r>
                        <w:rPr>
                          <w:rFonts w:hint="eastAsia"/>
                          <w:w w:val="95"/>
                          <w:u w:val="none"/>
                          <w:lang w:val="en-US" w:eastAsia="zh-CN"/>
                        </w:rPr>
                        <w:t xml:space="preserve">    </w:t>
                      </w:r>
                    </w:p>
                    <w:p w14:paraId="549C5A60">
                      <w:pPr>
                        <w:pStyle w:val="2"/>
                        <w:tabs>
                          <w:tab w:val="left" w:pos="4458"/>
                        </w:tabs>
                        <w:spacing w:before="184" w:line="364" w:lineRule="auto"/>
                        <w:ind w:left="103" w:right="2187"/>
                        <w:rPr>
                          <w:rFonts w:ascii="Times New Roman" w:eastAsia="Times New Roman"/>
                        </w:rPr>
                      </w:pPr>
                    </w:p>
                  </w:txbxContent>
                </v:textbox>
                <w10:wrap type="none"/>
                <w10:anchorlock/>
              </v:shape>
            </w:pict>
          </mc:Fallback>
        </mc:AlternateContent>
      </w:r>
    </w:p>
    <w:p w14:paraId="78F5769B">
      <w:pPr>
        <w:pStyle w:val="8"/>
        <w:keepNext w:val="0"/>
        <w:keepLines w:val="0"/>
        <w:pageBreakBefore w:val="0"/>
        <w:widowControl w:val="0"/>
        <w:numPr>
          <w:ilvl w:val="0"/>
          <w:numId w:val="0"/>
        </w:numPr>
        <w:tabs>
          <w:tab w:val="left" w:pos="1194"/>
        </w:tabs>
        <w:kinsoku/>
        <w:wordWrap/>
        <w:overflowPunct/>
        <w:topLinePunct w:val="0"/>
        <w:autoSpaceDE/>
        <w:autoSpaceDN/>
        <w:bidi w:val="0"/>
        <w:adjustRightInd/>
        <w:snapToGrid/>
        <w:spacing w:before="0" w:line="440" w:lineRule="exact"/>
        <w:ind w:right="235" w:rightChars="0" w:firstLine="422" w:firstLineChars="200"/>
        <w:textAlignment w:val="auto"/>
        <w:rPr>
          <w:rFonts w:ascii="Times New Roman" w:hAnsi="Times New Roman" w:cs="Times New Roman"/>
          <w:b/>
          <w:bCs/>
          <w:color w:val="auto"/>
        </w:rPr>
      </w:pP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4</w:t>
      </w:r>
      <w:r>
        <w:rPr>
          <w:rFonts w:hint="eastAsia" w:ascii="Times New Roman" w:hAnsi="Times New Roman" w:cs="Times New Roman"/>
          <w:b/>
          <w:bCs/>
          <w:color w:val="auto"/>
          <w:lang w:eastAsia="zh-CN"/>
        </w:rPr>
        <w:t>）</w:t>
      </w:r>
      <w:r>
        <w:rPr>
          <w:rFonts w:ascii="Times New Roman" w:hAnsi="Times New Roman" w:cs="Times New Roman"/>
          <w:b/>
          <w:bCs/>
          <w:color w:val="auto"/>
        </w:rPr>
        <w:t>装订要求：响应文件应用</w:t>
      </w:r>
      <w:r>
        <w:rPr>
          <w:rFonts w:ascii="Times New Roman" w:hAnsi="Times New Roman" w:eastAsia="Times New Roman" w:cs="Times New Roman"/>
          <w:b/>
          <w:bCs/>
          <w:color w:val="auto"/>
        </w:rPr>
        <w:t>A4</w:t>
      </w:r>
      <w:r>
        <w:rPr>
          <w:rFonts w:ascii="Times New Roman" w:hAnsi="Times New Roman" w:cs="Times New Roman"/>
          <w:b/>
          <w:bCs/>
          <w:color w:val="auto"/>
        </w:rPr>
        <w:t>纸胶装成册并从目录页标注连续页码，不允许活页装订，并逐页加盖公章，采购人不承担因此造成的任何后果。</w:t>
      </w:r>
    </w:p>
    <w:p w14:paraId="3FDA3EEB">
      <w:pPr>
        <w:pStyle w:val="8"/>
        <w:keepNext w:val="0"/>
        <w:keepLines w:val="0"/>
        <w:pageBreakBefore w:val="0"/>
        <w:widowControl w:val="0"/>
        <w:numPr>
          <w:ilvl w:val="0"/>
          <w:numId w:val="0"/>
        </w:numPr>
        <w:tabs>
          <w:tab w:val="left" w:pos="1191"/>
        </w:tabs>
        <w:kinsoku/>
        <w:wordWrap/>
        <w:overflowPunct/>
        <w:topLinePunct w:val="0"/>
        <w:autoSpaceDE/>
        <w:autoSpaceDN/>
        <w:bidi w:val="0"/>
        <w:adjustRightInd/>
        <w:snapToGrid/>
        <w:spacing w:before="0" w:line="440" w:lineRule="exact"/>
        <w:ind w:right="237" w:rightChars="0" w:firstLine="422" w:firstLineChars="200"/>
        <w:textAlignment w:val="auto"/>
        <w:rPr>
          <w:rFonts w:ascii="Times New Roman" w:hAnsi="Times New Roman" w:cs="Times New Roman"/>
          <w:b/>
          <w:bCs/>
          <w:color w:val="auto"/>
        </w:rPr>
      </w:pP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5</w:t>
      </w:r>
      <w:r>
        <w:rPr>
          <w:rFonts w:hint="eastAsia" w:ascii="Times New Roman" w:hAnsi="Times New Roman" w:cs="Times New Roman"/>
          <w:b/>
          <w:bCs/>
          <w:color w:val="auto"/>
          <w:lang w:eastAsia="zh-CN"/>
        </w:rPr>
        <w:t>）</w:t>
      </w:r>
      <w:r>
        <w:rPr>
          <w:rFonts w:ascii="Times New Roman" w:hAnsi="Times New Roman" w:cs="Times New Roman"/>
          <w:b/>
          <w:bCs/>
          <w:color w:val="auto"/>
        </w:rPr>
        <w:t>封套上应载明的信息：信封封套表面应标明供应商名称。封套的封口处加盖供应商单位公章或由法定代表人（单位负责人）或其授权的代理人签字。</w:t>
      </w:r>
    </w:p>
    <w:p w14:paraId="146E6C61">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 xml:space="preserve">4. </w:t>
      </w:r>
      <w:bookmarkEnd w:id="88"/>
      <w:bookmarkEnd w:id="89"/>
      <w:bookmarkEnd w:id="90"/>
      <w:r>
        <w:rPr>
          <w:rFonts w:ascii="Times New Roman" w:hAnsi="Times New Roman" w:eastAsia="黑体" w:cs="Times New Roman"/>
          <w:bCs/>
          <w:color w:val="auto"/>
          <w:sz w:val="24"/>
          <w:szCs w:val="32"/>
        </w:rPr>
        <w:t>响应文件的递交</w:t>
      </w:r>
    </w:p>
    <w:p w14:paraId="7EF86628">
      <w:pPr>
        <w:keepNext/>
        <w:keepLines/>
        <w:spacing w:before="120" w:after="120"/>
        <w:outlineLvl w:val="2"/>
        <w:rPr>
          <w:rFonts w:ascii="Times New Roman" w:hAnsi="Times New Roman" w:eastAsia="黑体" w:cs="Times New Roman"/>
          <w:bCs/>
          <w:color w:val="auto"/>
          <w:sz w:val="24"/>
          <w:szCs w:val="32"/>
        </w:rPr>
      </w:pPr>
      <w:bookmarkStart w:id="91" w:name="_Toc26656965"/>
      <w:bookmarkStart w:id="92" w:name="_Toc14201234"/>
      <w:r>
        <w:rPr>
          <w:rFonts w:ascii="Times New Roman" w:hAnsi="Times New Roman" w:eastAsia="黑体" w:cs="Times New Roman"/>
          <w:bCs/>
          <w:color w:val="auto"/>
          <w:sz w:val="24"/>
          <w:szCs w:val="32"/>
        </w:rPr>
        <w:t>4.1响应文件的密封和标记</w:t>
      </w:r>
      <w:bookmarkEnd w:id="91"/>
      <w:bookmarkEnd w:id="92"/>
    </w:p>
    <w:p w14:paraId="65E72164">
      <w:pPr>
        <w:spacing w:line="440" w:lineRule="exact"/>
        <w:ind w:firstLine="420"/>
        <w:rPr>
          <w:rFonts w:ascii="Times New Roman" w:hAnsi="Times New Roman" w:cs="Times New Roman"/>
          <w:b/>
          <w:bCs/>
          <w:color w:val="auto"/>
        </w:rPr>
      </w:pPr>
      <w:r>
        <w:rPr>
          <w:rFonts w:hint="eastAsia" w:ascii="Times New Roman" w:hAnsi="Times New Roman" w:cs="Times New Roman"/>
          <w:b/>
          <w:bCs/>
          <w:color w:val="auto"/>
        </w:rPr>
        <w:t>4.1.1响应文件正、副本应密封包装在一个封套内，封套上注明：</w:t>
      </w:r>
    </w:p>
    <w:p w14:paraId="7CAD8FB9">
      <w:pPr>
        <w:spacing w:line="440" w:lineRule="exact"/>
        <w:ind w:firstLine="420"/>
        <w:rPr>
          <w:rFonts w:ascii="Times New Roman" w:hAnsi="Times New Roman" w:cs="Times New Roman"/>
          <w:b/>
          <w:bCs/>
          <w:color w:val="auto"/>
          <w:u w:val="single"/>
        </w:rPr>
      </w:pPr>
      <w:r>
        <w:rPr>
          <w:rFonts w:hint="eastAsia" w:ascii="Times New Roman" w:hAnsi="Times New Roman" w:cs="Times New Roman"/>
          <w:b/>
          <w:bCs/>
          <w:color w:val="auto"/>
        </w:rPr>
        <w:t>供应商名称：</w:t>
      </w:r>
      <w:r>
        <w:rPr>
          <w:rFonts w:hint="eastAsia" w:ascii="Times New Roman" w:hAnsi="Times New Roman" w:eastAsia="黑体" w:cs="黑体"/>
          <w:b/>
          <w:bCs/>
          <w:snapToGrid w:val="0"/>
          <w:color w:val="auto"/>
          <w:kern w:val="0"/>
          <w:szCs w:val="21"/>
          <w:u w:val="single"/>
        </w:rPr>
        <w:t>（供应商单位全称，自行填写）</w:t>
      </w:r>
    </w:p>
    <w:p w14:paraId="02C591D1">
      <w:pPr>
        <w:snapToGrid w:val="0"/>
        <w:spacing w:line="440" w:lineRule="exact"/>
        <w:ind w:firstLine="422" w:firstLineChars="200"/>
        <w:jc w:val="left"/>
        <w:rPr>
          <w:rFonts w:hint="default" w:ascii="Times New Roman" w:hAnsi="Times New Roman" w:eastAsia="宋体" w:cs="Times New Roman"/>
          <w:b/>
          <w:bCs/>
          <w:color w:val="auto"/>
          <w:highlight w:val="none"/>
          <w:u w:val="single"/>
          <w:lang w:val="en-US" w:eastAsia="zh-CN"/>
        </w:rPr>
      </w:pPr>
      <w:r>
        <w:rPr>
          <w:rFonts w:hint="eastAsia" w:ascii="Times New Roman" w:hAnsi="Times New Roman" w:eastAsia="黑体" w:cs="黑体"/>
          <w:b/>
          <w:bCs/>
          <w:snapToGrid w:val="0"/>
          <w:color w:val="auto"/>
          <w:kern w:val="0"/>
          <w:szCs w:val="21"/>
          <w:highlight w:val="none"/>
          <w:u w:val="single"/>
          <w:lang w:val="en-US" w:eastAsia="zh-CN"/>
        </w:rPr>
        <w:t>安徽省高速公路试验检测科研中心有限公司2025-2027年生产车辆租赁服务集中采购</w:t>
      </w:r>
      <w:r>
        <w:rPr>
          <w:rFonts w:hint="eastAsia" w:ascii="Times New Roman" w:hAnsi="Times New Roman" w:eastAsia="黑体" w:cs="黑体"/>
          <w:b/>
          <w:bCs/>
          <w:snapToGrid w:val="0"/>
          <w:color w:val="auto"/>
          <w:kern w:val="0"/>
          <w:szCs w:val="21"/>
          <w:highlight w:val="none"/>
          <w:u w:val="single"/>
          <w:lang w:eastAsia="zh-CN"/>
        </w:rPr>
        <w:t>项目</w:t>
      </w:r>
      <w:r>
        <w:rPr>
          <w:rFonts w:hint="eastAsia" w:ascii="Times New Roman" w:hAnsi="Times New Roman" w:eastAsia="黑体" w:cs="黑体"/>
          <w:b/>
          <w:bCs/>
          <w:snapToGrid w:val="0"/>
          <w:color w:val="auto"/>
          <w:kern w:val="0"/>
          <w:szCs w:val="21"/>
          <w:highlight w:val="none"/>
          <w:u w:val="single"/>
        </w:rPr>
        <w:t>响</w:t>
      </w:r>
      <w:r>
        <w:rPr>
          <w:rFonts w:hint="eastAsia" w:ascii="Times New Roman" w:hAnsi="Times New Roman" w:cs="Times New Roman"/>
          <w:b/>
          <w:bCs/>
          <w:color w:val="auto"/>
          <w:highlight w:val="none"/>
          <w:u w:val="single"/>
        </w:rPr>
        <w:t>应文件</w:t>
      </w:r>
      <w:r>
        <w:rPr>
          <w:rFonts w:hint="eastAsia" w:ascii="Times New Roman" w:hAnsi="Times New Roman" w:cs="Times New Roman"/>
          <w:b/>
          <w:bCs/>
          <w:color w:val="auto"/>
          <w:highlight w:val="none"/>
          <w:u w:val="single"/>
          <w:lang w:val="en-US" w:eastAsia="zh-CN"/>
        </w:rPr>
        <w:t xml:space="preserve">  </w:t>
      </w:r>
    </w:p>
    <w:p w14:paraId="27E4070F">
      <w:pPr>
        <w:spacing w:line="440" w:lineRule="exact"/>
        <w:ind w:firstLine="422" w:firstLineChars="200"/>
        <w:rPr>
          <w:rFonts w:ascii="Times New Roman" w:hAnsi="Times New Roman" w:cs="Times New Roman"/>
          <w:b/>
          <w:bCs/>
          <w:color w:val="auto"/>
          <w:highlight w:val="none"/>
        </w:rPr>
      </w:pPr>
      <w:r>
        <w:rPr>
          <w:rFonts w:hint="eastAsia" w:ascii="Times New Roman" w:hAnsi="Times New Roman" w:cs="Times New Roman"/>
          <w:b/>
          <w:bCs/>
          <w:color w:val="auto"/>
          <w:highlight w:val="none"/>
          <w:u w:val="single"/>
        </w:rPr>
        <w:t>在</w:t>
      </w:r>
      <w:r>
        <w:rPr>
          <w:rFonts w:hint="eastAsia" w:ascii="Times New Roman" w:hAnsi="Times New Roman" w:cs="Times New Roman"/>
          <w:b/>
          <w:bCs/>
          <w:color w:val="auto"/>
          <w:highlight w:val="none"/>
          <w:u w:val="single"/>
          <w:lang w:val="en-US" w:eastAsia="zh-CN"/>
        </w:rPr>
        <w:t xml:space="preserve"> 2025 </w:t>
      </w:r>
      <w:r>
        <w:rPr>
          <w:rFonts w:hint="eastAsia" w:ascii="Times New Roman" w:hAnsi="Times New Roman" w:cs="Times New Roman"/>
          <w:b/>
          <w:bCs/>
          <w:color w:val="auto"/>
          <w:highlight w:val="none"/>
          <w:u w:val="single"/>
        </w:rPr>
        <w:t>年</w:t>
      </w:r>
      <w:r>
        <w:rPr>
          <w:rFonts w:hint="eastAsia" w:ascii="Times New Roman" w:hAnsi="Times New Roman" w:cs="Times New Roman"/>
          <w:b/>
          <w:bCs/>
          <w:color w:val="auto"/>
          <w:highlight w:val="none"/>
          <w:u w:val="single"/>
          <w:lang w:val="en-US" w:eastAsia="zh-CN"/>
        </w:rPr>
        <w:t xml:space="preserve"> 03 </w:t>
      </w:r>
      <w:r>
        <w:rPr>
          <w:rFonts w:hint="eastAsia" w:ascii="Times New Roman" w:hAnsi="Times New Roman" w:cs="Times New Roman"/>
          <w:b/>
          <w:bCs/>
          <w:color w:val="auto"/>
          <w:highlight w:val="none"/>
          <w:u w:val="single"/>
        </w:rPr>
        <w:t>月</w:t>
      </w:r>
      <w:r>
        <w:rPr>
          <w:rFonts w:hint="eastAsia" w:ascii="Times New Roman" w:hAnsi="Times New Roman" w:cs="Times New Roman"/>
          <w:b/>
          <w:bCs/>
          <w:color w:val="auto"/>
          <w:highlight w:val="none"/>
          <w:u w:val="single"/>
          <w:lang w:val="en-US" w:eastAsia="zh-CN"/>
        </w:rPr>
        <w:t>24</w:t>
      </w:r>
      <w:r>
        <w:rPr>
          <w:rFonts w:hint="eastAsia" w:ascii="Times New Roman" w:hAnsi="Times New Roman" w:eastAsia="黑体" w:cs="黑体"/>
          <w:b/>
          <w:bCs/>
          <w:snapToGrid w:val="0"/>
          <w:color w:val="auto"/>
          <w:kern w:val="0"/>
          <w:szCs w:val="21"/>
          <w:highlight w:val="none"/>
          <w:u w:val="single"/>
          <w:lang w:val="en-US" w:eastAsia="zh-CN"/>
        </w:rPr>
        <w:t xml:space="preserve">日 9时 30 </w:t>
      </w:r>
      <w:r>
        <w:rPr>
          <w:rFonts w:hint="eastAsia" w:ascii="Times New Roman" w:hAnsi="Times New Roman" w:cs="Times New Roman"/>
          <w:b/>
          <w:bCs/>
          <w:color w:val="auto"/>
          <w:highlight w:val="none"/>
          <w:u w:val="single"/>
        </w:rPr>
        <w:t>分</w:t>
      </w:r>
      <w:r>
        <w:rPr>
          <w:rFonts w:hint="eastAsia" w:ascii="Times New Roman" w:hAnsi="Times New Roman" w:cs="Times New Roman"/>
          <w:b/>
          <w:bCs/>
          <w:color w:val="auto"/>
          <w:highlight w:val="none"/>
        </w:rPr>
        <w:t>（递交响应文件的截止时间）前不得开启</w:t>
      </w:r>
    </w:p>
    <w:p w14:paraId="29F1A2EA">
      <w:pPr>
        <w:spacing w:line="440" w:lineRule="exact"/>
        <w:ind w:firstLine="420"/>
        <w:rPr>
          <w:rFonts w:ascii="Times New Roman" w:hAnsi="Times New Roman" w:cs="Times New Roman"/>
          <w:color w:val="auto"/>
        </w:rPr>
      </w:pPr>
      <w:r>
        <w:rPr>
          <w:rFonts w:ascii="Times New Roman" w:hAnsi="Times New Roman" w:cs="Times New Roman"/>
          <w:color w:val="auto"/>
        </w:rPr>
        <w:t>4.1.2</w:t>
      </w:r>
      <w:r>
        <w:rPr>
          <w:rFonts w:ascii="Times New Roman" w:hAnsi="Times New Roman"/>
          <w:color w:val="auto"/>
        </w:rPr>
        <w:t>未按本章第4.1.1项</w:t>
      </w:r>
      <w:r>
        <w:rPr>
          <w:rFonts w:ascii="Times New Roman" w:hAnsi="Times New Roman" w:cs="Times New Roman"/>
          <w:color w:val="auto"/>
        </w:rPr>
        <w:t>要求</w:t>
      </w:r>
      <w:r>
        <w:rPr>
          <w:rFonts w:ascii="Times New Roman" w:hAnsi="Times New Roman"/>
          <w:color w:val="auto"/>
        </w:rPr>
        <w:t>密封的</w:t>
      </w:r>
      <w:r>
        <w:rPr>
          <w:rFonts w:hint="eastAsia" w:ascii="Times New Roman" w:hAnsi="Times New Roman"/>
          <w:color w:val="auto"/>
        </w:rPr>
        <w:t>响应文件</w:t>
      </w:r>
      <w:r>
        <w:rPr>
          <w:rFonts w:ascii="Times New Roman" w:hAnsi="Times New Roman"/>
          <w:color w:val="auto"/>
        </w:rPr>
        <w:t>，</w:t>
      </w:r>
      <w:r>
        <w:rPr>
          <w:rFonts w:hint="eastAsia" w:ascii="Times New Roman" w:hAnsi="Times New Roman"/>
          <w:color w:val="auto"/>
        </w:rPr>
        <w:t>采购人</w:t>
      </w:r>
      <w:r>
        <w:rPr>
          <w:rFonts w:ascii="Times New Roman" w:hAnsi="Times New Roman"/>
          <w:color w:val="auto"/>
        </w:rPr>
        <w:t>将予以拒收。</w:t>
      </w:r>
    </w:p>
    <w:p w14:paraId="25CF3D21">
      <w:pPr>
        <w:keepNext/>
        <w:keepLines/>
        <w:spacing w:before="120" w:after="120"/>
        <w:outlineLvl w:val="2"/>
        <w:rPr>
          <w:rFonts w:ascii="Times New Roman" w:hAnsi="Times New Roman" w:eastAsia="黑体" w:cs="Times New Roman"/>
          <w:bCs/>
          <w:color w:val="auto"/>
          <w:sz w:val="24"/>
          <w:szCs w:val="32"/>
        </w:rPr>
      </w:pPr>
      <w:bookmarkStart w:id="93" w:name="_Toc14201235"/>
      <w:bookmarkStart w:id="94" w:name="_Toc26656966"/>
      <w:r>
        <w:rPr>
          <w:rFonts w:ascii="Times New Roman" w:hAnsi="Times New Roman" w:eastAsia="黑体" w:cs="Times New Roman"/>
          <w:bCs/>
          <w:color w:val="auto"/>
          <w:sz w:val="24"/>
          <w:szCs w:val="32"/>
        </w:rPr>
        <w:t>4.2 响应文件的递交</w:t>
      </w:r>
      <w:bookmarkEnd w:id="93"/>
      <w:bookmarkEnd w:id="94"/>
    </w:p>
    <w:p w14:paraId="1BB42A0F">
      <w:pPr>
        <w:spacing w:line="440" w:lineRule="exact"/>
        <w:ind w:firstLine="420"/>
        <w:rPr>
          <w:rFonts w:ascii="Times New Roman" w:hAnsi="Times New Roman" w:cs="Times New Roman"/>
          <w:color w:val="auto"/>
        </w:rPr>
      </w:pPr>
      <w:r>
        <w:rPr>
          <w:rFonts w:ascii="Times New Roman" w:hAnsi="Times New Roman" w:cs="Times New Roman"/>
          <w:color w:val="auto"/>
        </w:rPr>
        <w:t>4.2.1供应商应当</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第5条的规定递交响应文件</w:t>
      </w:r>
      <w:r>
        <w:rPr>
          <w:rFonts w:ascii="Times New Roman" w:hAnsi="Times New Roman" w:cs="Times New Roman"/>
          <w:color w:val="auto"/>
        </w:rPr>
        <w:t>。</w:t>
      </w:r>
    </w:p>
    <w:p w14:paraId="5A366CE2">
      <w:pPr>
        <w:spacing w:line="440" w:lineRule="exact"/>
        <w:ind w:firstLine="420"/>
        <w:rPr>
          <w:rFonts w:ascii="Times New Roman" w:hAnsi="Times New Roman" w:cs="Times New Roman"/>
          <w:color w:val="auto"/>
        </w:rPr>
      </w:pPr>
      <w:r>
        <w:rPr>
          <w:rFonts w:ascii="Times New Roman" w:hAnsi="Times New Roman" w:cs="Times New Roman"/>
          <w:color w:val="auto"/>
        </w:rPr>
        <w:t>4.2.</w:t>
      </w:r>
      <w:r>
        <w:rPr>
          <w:rFonts w:hint="eastAsia" w:ascii="Times New Roman" w:hAnsi="Times New Roman" w:cs="Times New Roman"/>
          <w:color w:val="auto"/>
        </w:rPr>
        <w:t>2递交响应文件的供应商数量不足3家时，采购人将宣布本次采购失败，并退还已递交的响应文件。</w:t>
      </w:r>
    </w:p>
    <w:p w14:paraId="005ADCCC">
      <w:pPr>
        <w:spacing w:line="440" w:lineRule="exact"/>
        <w:ind w:firstLine="420"/>
        <w:rPr>
          <w:rFonts w:ascii="Times New Roman" w:hAnsi="Times New Roman" w:cs="Times New Roman"/>
          <w:color w:val="auto"/>
        </w:rPr>
      </w:pPr>
      <w:bookmarkStart w:id="95" w:name="_Toc14201237"/>
      <w:bookmarkStart w:id="96" w:name="_Toc9067724"/>
      <w:bookmarkStart w:id="97" w:name="_Toc26656968"/>
      <w:r>
        <w:rPr>
          <w:rFonts w:hint="eastAsia" w:ascii="Times New Roman" w:hAnsi="Times New Roman" w:cs="Times New Roman"/>
          <w:color w:val="auto"/>
        </w:rPr>
        <w:t>4.2.3如通过初步评审的有效供应商数量不足3家的，则宣布本次采购无效。</w:t>
      </w:r>
    </w:p>
    <w:p w14:paraId="1AF85022">
      <w:pPr>
        <w:spacing w:line="440" w:lineRule="exact"/>
        <w:ind w:firstLine="420"/>
        <w:rPr>
          <w:rFonts w:ascii="Times New Roman" w:hAnsi="Times New Roman" w:cs="Times New Roman"/>
          <w:color w:val="auto"/>
        </w:rPr>
      </w:pPr>
      <w:r>
        <w:rPr>
          <w:rFonts w:hint="eastAsia" w:ascii="Times New Roman" w:hAnsi="Times New Roman" w:cs="Times New Roman"/>
          <w:color w:val="auto"/>
        </w:rPr>
        <w:t>4.2.4 除第4.2.2项规定外，</w:t>
      </w:r>
      <w:r>
        <w:rPr>
          <w:rFonts w:ascii="Times New Roman" w:hAnsi="Times New Roman" w:cs="Times New Roman"/>
          <w:color w:val="auto"/>
        </w:rPr>
        <w:t>供应商所递交的响应文件不予退还。</w:t>
      </w:r>
    </w:p>
    <w:p w14:paraId="7D4B6D58">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 xml:space="preserve">5. </w:t>
      </w:r>
      <w:bookmarkEnd w:id="95"/>
      <w:bookmarkEnd w:id="96"/>
      <w:bookmarkEnd w:id="97"/>
      <w:r>
        <w:rPr>
          <w:rFonts w:ascii="Times New Roman" w:hAnsi="Times New Roman" w:eastAsia="黑体" w:cs="Times New Roman"/>
          <w:bCs/>
          <w:color w:val="auto"/>
          <w:sz w:val="24"/>
          <w:szCs w:val="32"/>
        </w:rPr>
        <w:t>启封</w:t>
      </w:r>
    </w:p>
    <w:p w14:paraId="18FBCB12">
      <w:pPr>
        <w:keepNext/>
        <w:keepLines/>
        <w:spacing w:before="120" w:after="120"/>
        <w:outlineLvl w:val="2"/>
        <w:rPr>
          <w:rFonts w:ascii="Times New Roman" w:hAnsi="Times New Roman" w:eastAsia="黑体" w:cs="Times New Roman"/>
          <w:bCs/>
          <w:color w:val="auto"/>
          <w:sz w:val="24"/>
          <w:szCs w:val="32"/>
        </w:rPr>
      </w:pPr>
      <w:bookmarkStart w:id="98" w:name="_Toc26656969"/>
      <w:bookmarkStart w:id="99" w:name="_Toc14201238"/>
      <w:r>
        <w:rPr>
          <w:rFonts w:ascii="Times New Roman" w:hAnsi="Times New Roman" w:eastAsia="黑体" w:cs="Times New Roman"/>
          <w:bCs/>
          <w:color w:val="auto"/>
          <w:sz w:val="24"/>
          <w:szCs w:val="32"/>
        </w:rPr>
        <w:t>5.1 启封时间和地点</w:t>
      </w:r>
      <w:bookmarkEnd w:id="98"/>
      <w:bookmarkEnd w:id="99"/>
    </w:p>
    <w:p w14:paraId="7E117D0A">
      <w:pPr>
        <w:spacing w:line="440" w:lineRule="exact"/>
        <w:ind w:firstLine="420"/>
        <w:rPr>
          <w:rFonts w:ascii="Times New Roman" w:hAnsi="Times New Roman" w:cs="Times New Roman"/>
          <w:color w:val="auto"/>
        </w:rPr>
      </w:pPr>
      <w:r>
        <w:rPr>
          <w:rFonts w:ascii="Times New Roman" w:hAnsi="Times New Roman" w:cs="Times New Roman"/>
          <w:color w:val="auto"/>
        </w:rPr>
        <w:t>采购人在本章第4.2.1项规定的响应文件递交截止时间（启封时间），</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第6条的规定进行启封</w:t>
      </w:r>
      <w:r>
        <w:rPr>
          <w:rFonts w:ascii="Times New Roman" w:hAnsi="Times New Roman" w:cs="Times New Roman"/>
          <w:color w:val="auto"/>
        </w:rPr>
        <w:t>。</w:t>
      </w:r>
    </w:p>
    <w:p w14:paraId="7C6BFECB">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24F6C100">
      <w:pPr>
        <w:keepNext/>
        <w:keepLines/>
        <w:spacing w:before="120" w:after="120"/>
        <w:outlineLvl w:val="2"/>
        <w:rPr>
          <w:rFonts w:ascii="Times New Roman" w:hAnsi="Times New Roman" w:eastAsia="黑体" w:cs="Times New Roman"/>
          <w:bCs/>
          <w:color w:val="auto"/>
          <w:sz w:val="24"/>
          <w:szCs w:val="32"/>
        </w:rPr>
      </w:pPr>
      <w:bookmarkStart w:id="100" w:name="_Toc26656970"/>
      <w:bookmarkStart w:id="101" w:name="_Toc14201239"/>
      <w:r>
        <w:rPr>
          <w:rFonts w:ascii="Times New Roman" w:hAnsi="Times New Roman" w:eastAsia="黑体" w:cs="Times New Roman"/>
          <w:bCs/>
          <w:color w:val="auto"/>
          <w:sz w:val="24"/>
          <w:szCs w:val="32"/>
        </w:rPr>
        <w:t>5.2</w:t>
      </w:r>
      <w:r>
        <w:rPr>
          <w:rFonts w:hint="eastAsia" w:ascii="Times New Roman" w:hAnsi="Times New Roman" w:eastAsia="黑体" w:cs="Times New Roman"/>
          <w:bCs/>
          <w:color w:val="auto"/>
          <w:sz w:val="24"/>
          <w:szCs w:val="32"/>
        </w:rPr>
        <w:t>启封</w:t>
      </w:r>
      <w:r>
        <w:rPr>
          <w:rFonts w:ascii="Times New Roman" w:hAnsi="Times New Roman" w:eastAsia="黑体" w:cs="Times New Roman"/>
          <w:bCs/>
          <w:color w:val="auto"/>
          <w:sz w:val="24"/>
          <w:szCs w:val="32"/>
        </w:rPr>
        <w:t>程序</w:t>
      </w:r>
      <w:bookmarkEnd w:id="100"/>
      <w:bookmarkEnd w:id="101"/>
    </w:p>
    <w:p w14:paraId="3B7D6A0B">
      <w:pPr>
        <w:spacing w:line="440" w:lineRule="exact"/>
        <w:ind w:firstLine="42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1325E694">
      <w:pPr>
        <w:spacing w:line="440" w:lineRule="exact"/>
        <w:ind w:firstLine="420"/>
        <w:rPr>
          <w:rFonts w:ascii="Times New Roman" w:hAnsi="Times New Roman" w:cs="Times New Roman"/>
          <w:color w:val="auto"/>
        </w:rPr>
      </w:pPr>
      <w:r>
        <w:rPr>
          <w:rFonts w:ascii="Times New Roman" w:hAnsi="Times New Roman" w:cs="Times New Roman"/>
          <w:color w:val="auto"/>
        </w:rPr>
        <w:t>（1）公布在响应文件递交截止时间</w:t>
      </w:r>
      <w:r>
        <w:rPr>
          <w:rFonts w:hint="eastAsia" w:ascii="Times New Roman" w:hAnsi="Times New Roman" w:cs="Times New Roman"/>
          <w:color w:val="auto"/>
        </w:rPr>
        <w:t>前</w:t>
      </w:r>
      <w:r>
        <w:rPr>
          <w:rFonts w:ascii="Times New Roman" w:hAnsi="Times New Roman" w:cs="Times New Roman"/>
          <w:color w:val="auto"/>
        </w:rPr>
        <w:t>递交响应文件的供应商名称；</w:t>
      </w:r>
    </w:p>
    <w:p w14:paraId="6309014B">
      <w:pPr>
        <w:spacing w:line="440" w:lineRule="exact"/>
        <w:ind w:firstLine="42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4BD58027">
      <w:pPr>
        <w:spacing w:line="440" w:lineRule="exact"/>
        <w:ind w:firstLine="420"/>
        <w:rPr>
          <w:rFonts w:ascii="Times New Roman" w:hAnsi="Times New Roman" w:cs="Times New Roman"/>
          <w:bCs/>
          <w:color w:val="auto"/>
        </w:rPr>
      </w:pPr>
      <w:r>
        <w:rPr>
          <w:rFonts w:ascii="Times New Roman" w:hAnsi="Times New Roman" w:cs="Times New Roman"/>
          <w:color w:val="auto"/>
        </w:rPr>
        <w:t>（3）</w:t>
      </w:r>
      <w:r>
        <w:rPr>
          <w:rFonts w:ascii="Times New Roman" w:hAnsi="Times New Roman" w:cs="Times New Roman"/>
          <w:bCs/>
          <w:color w:val="auto"/>
        </w:rPr>
        <w:t>对响应文件进行启封，公布供应商名称、合同包名称、报价、</w:t>
      </w:r>
      <w:r>
        <w:rPr>
          <w:rFonts w:hint="eastAsia" w:ascii="Times New Roman" w:hAnsi="Times New Roman" w:cs="Times New Roman"/>
          <w:bCs/>
          <w:color w:val="auto"/>
          <w:lang w:val="en-US" w:eastAsia="zh-CN"/>
        </w:rPr>
        <w:t>采购要求</w:t>
      </w:r>
      <w:r>
        <w:rPr>
          <w:rFonts w:ascii="Times New Roman" w:hAnsi="Times New Roman" w:cs="Times New Roman"/>
          <w:bCs/>
          <w:color w:val="auto"/>
        </w:rPr>
        <w:t>、</w:t>
      </w:r>
      <w:r>
        <w:rPr>
          <w:rFonts w:hint="eastAsia" w:ascii="Times New Roman" w:hAnsi="Times New Roman" w:cs="Times New Roman"/>
          <w:bCs/>
          <w:color w:val="auto"/>
        </w:rPr>
        <w:t>服务</w:t>
      </w:r>
      <w:r>
        <w:rPr>
          <w:rFonts w:ascii="Times New Roman" w:hAnsi="Times New Roman" w:cs="Times New Roman"/>
          <w:bCs/>
          <w:color w:val="auto"/>
        </w:rPr>
        <w:t>期、响应保证金递交情况及其他内容；</w:t>
      </w:r>
    </w:p>
    <w:p w14:paraId="55C5894C">
      <w:pPr>
        <w:spacing w:line="440" w:lineRule="exact"/>
        <w:ind w:firstLine="42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rPr>
        <w:t>4</w:t>
      </w:r>
      <w:r>
        <w:rPr>
          <w:rFonts w:ascii="Times New Roman" w:hAnsi="Times New Roman" w:cs="Times New Roman"/>
          <w:bCs/>
          <w:color w:val="auto"/>
        </w:rPr>
        <w:t>）</w:t>
      </w:r>
      <w:r>
        <w:rPr>
          <w:rFonts w:hint="eastAsia" w:ascii="Times New Roman" w:hAnsi="Times New Roman"/>
          <w:color w:val="auto"/>
        </w:rPr>
        <w:t>供应商</w:t>
      </w:r>
      <w:r>
        <w:rPr>
          <w:rFonts w:ascii="Times New Roman" w:hAnsi="Times New Roman"/>
          <w:color w:val="auto"/>
        </w:rPr>
        <w:t>代表、</w:t>
      </w:r>
      <w:r>
        <w:rPr>
          <w:rFonts w:hint="eastAsia" w:ascii="Times New Roman" w:hAnsi="Times New Roman"/>
          <w:color w:val="auto"/>
        </w:rPr>
        <w:t>采购</w:t>
      </w:r>
      <w:r>
        <w:rPr>
          <w:rFonts w:ascii="Times New Roman" w:hAnsi="Times New Roman"/>
          <w:color w:val="auto"/>
        </w:rPr>
        <w:t>人代表、记录人等有关人员在</w:t>
      </w:r>
      <w:r>
        <w:rPr>
          <w:rFonts w:hint="eastAsia" w:ascii="Times New Roman" w:hAnsi="Times New Roman"/>
          <w:color w:val="auto"/>
        </w:rPr>
        <w:t>启封</w:t>
      </w:r>
      <w:r>
        <w:rPr>
          <w:rFonts w:ascii="Times New Roman" w:hAnsi="Times New Roman"/>
          <w:color w:val="auto"/>
        </w:rPr>
        <w:t>记录上</w:t>
      </w:r>
      <w:r>
        <w:rPr>
          <w:rFonts w:hint="eastAsia" w:ascii="Times New Roman" w:hAnsi="Times New Roman"/>
          <w:color w:val="auto"/>
        </w:rPr>
        <w:t>签名</w:t>
      </w:r>
      <w:r>
        <w:rPr>
          <w:rFonts w:ascii="Times New Roman" w:hAnsi="Times New Roman"/>
          <w:color w:val="auto"/>
        </w:rPr>
        <w:t>确认；</w:t>
      </w:r>
    </w:p>
    <w:p w14:paraId="76CE83A3">
      <w:pPr>
        <w:spacing w:line="440" w:lineRule="exact"/>
        <w:ind w:firstLine="42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rPr>
        <w:t>5</w:t>
      </w:r>
      <w:r>
        <w:rPr>
          <w:rFonts w:ascii="Times New Roman" w:hAnsi="Times New Roman" w:cs="Times New Roman"/>
          <w:bCs/>
          <w:color w:val="auto"/>
        </w:rPr>
        <w:t>）</w:t>
      </w:r>
      <w:r>
        <w:rPr>
          <w:rFonts w:hint="eastAsia" w:ascii="Times New Roman" w:hAnsi="Times New Roman" w:cs="Times New Roman"/>
          <w:bCs/>
          <w:color w:val="auto"/>
        </w:rPr>
        <w:t>启封</w:t>
      </w:r>
      <w:r>
        <w:rPr>
          <w:rFonts w:ascii="Times New Roman" w:hAnsi="Times New Roman" w:cs="Times New Roman"/>
          <w:color w:val="auto"/>
        </w:rPr>
        <w:t>结束</w:t>
      </w:r>
      <w:r>
        <w:rPr>
          <w:rFonts w:ascii="Times New Roman" w:hAnsi="Times New Roman" w:cs="Times New Roman"/>
          <w:bCs/>
          <w:color w:val="auto"/>
        </w:rPr>
        <w:t>。</w:t>
      </w:r>
    </w:p>
    <w:p w14:paraId="55EA3E0A">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5.2.2若采购人发现响应文件出现以下任一情况，其报价将不再参加评审：</w:t>
      </w:r>
    </w:p>
    <w:p w14:paraId="5CBBDDE5">
      <w:pPr>
        <w:spacing w:line="440" w:lineRule="exact"/>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（1）报价函及报价清单中未填写报价费率；</w:t>
      </w:r>
    </w:p>
    <w:p w14:paraId="57EF507B">
      <w:pPr>
        <w:spacing w:line="440" w:lineRule="exact"/>
        <w:ind w:firstLine="42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（2）报价清单报价和报价函的</w:t>
      </w:r>
      <w:r>
        <w:rPr>
          <w:rFonts w:hint="eastAsia" w:ascii="Times New Roman" w:hAnsi="Times New Roman" w:eastAsia="宋体" w:cs="Times New Roman"/>
          <w:color w:val="auto"/>
          <w:lang w:val="en-US" w:eastAsia="zh-CN"/>
        </w:rPr>
        <w:t>报价费率不</w:t>
      </w:r>
      <w:r>
        <w:rPr>
          <w:rFonts w:hint="eastAsia" w:ascii="Times New Roman" w:hAnsi="Times New Roman" w:eastAsia="宋体" w:cs="Times New Roman"/>
          <w:color w:val="auto"/>
        </w:rPr>
        <w:t>一致</w:t>
      </w:r>
      <w:r>
        <w:rPr>
          <w:rFonts w:hint="eastAsia" w:ascii="Times New Roman" w:hAnsi="Times New Roman" w:eastAsia="宋体" w:cs="Times New Roman"/>
          <w:color w:val="auto"/>
          <w:lang w:eastAsia="zh-CN"/>
        </w:rPr>
        <w:t>；</w:t>
      </w:r>
    </w:p>
    <w:p w14:paraId="490885CE">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）出现数量级错误</w:t>
      </w:r>
      <w:r>
        <w:rPr>
          <w:rFonts w:hint="eastAsia" w:ascii="Times New Roman" w:hAnsi="Times New Roman" w:eastAsia="宋体" w:cs="Times New Roman"/>
          <w:color w:val="auto"/>
          <w:lang w:val="en-US" w:eastAsia="zh-CN"/>
        </w:rPr>
        <w:t>及</w:t>
      </w:r>
      <w:r>
        <w:rPr>
          <w:rFonts w:ascii="Times New Roman" w:hAnsi="Times New Roman" w:eastAsia="宋体" w:cs="Times New Roman"/>
          <w:color w:val="auto"/>
        </w:rPr>
        <w:t>单位错误。</w:t>
      </w:r>
    </w:p>
    <w:p w14:paraId="6DDCE6DC">
      <w:pPr>
        <w:spacing w:line="440" w:lineRule="exact"/>
        <w:ind w:firstLine="420"/>
        <w:rPr>
          <w:rFonts w:ascii="Times New Roman" w:hAnsi="Times New Roman" w:cs="Times New Roman"/>
          <w:color w:val="auto"/>
        </w:rPr>
      </w:pPr>
      <w:r>
        <w:rPr>
          <w:rFonts w:hint="eastAsia" w:ascii="Times New Roman" w:hAnsi="Times New Roman" w:cs="Times New Roman"/>
          <w:color w:val="auto"/>
        </w:rPr>
        <w:t>5.2.3</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14:paraId="198B1237">
      <w:pPr>
        <w:keepNext/>
        <w:keepLines/>
        <w:spacing w:beforeLines="50" w:afterLines="50"/>
        <w:outlineLvl w:val="1"/>
        <w:rPr>
          <w:rFonts w:ascii="Times New Roman" w:hAnsi="Times New Roman" w:eastAsia="黑体" w:cs="Times New Roman"/>
          <w:bCs/>
          <w:color w:val="auto"/>
          <w:sz w:val="24"/>
          <w:szCs w:val="32"/>
        </w:rPr>
      </w:pPr>
      <w:bookmarkStart w:id="102" w:name="_Toc9067725"/>
      <w:bookmarkStart w:id="103" w:name="_Toc26656972"/>
      <w:bookmarkStart w:id="104" w:name="_Toc14201241"/>
      <w:r>
        <w:rPr>
          <w:rFonts w:ascii="Times New Roman" w:hAnsi="Times New Roman" w:eastAsia="黑体" w:cs="Times New Roman"/>
          <w:bCs/>
          <w:color w:val="auto"/>
          <w:sz w:val="24"/>
          <w:szCs w:val="32"/>
        </w:rPr>
        <w:t>6. 评</w:t>
      </w:r>
      <w:bookmarkEnd w:id="102"/>
      <w:bookmarkEnd w:id="103"/>
      <w:bookmarkEnd w:id="104"/>
      <w:r>
        <w:rPr>
          <w:rFonts w:ascii="Times New Roman" w:hAnsi="Times New Roman" w:eastAsia="黑体" w:cs="Times New Roman"/>
          <w:bCs/>
          <w:color w:val="auto"/>
          <w:sz w:val="24"/>
          <w:szCs w:val="32"/>
        </w:rPr>
        <w:t>审</w:t>
      </w:r>
    </w:p>
    <w:p w14:paraId="705E800B">
      <w:pPr>
        <w:keepNext/>
        <w:keepLines/>
        <w:spacing w:before="120" w:after="120"/>
        <w:outlineLvl w:val="2"/>
        <w:rPr>
          <w:rFonts w:ascii="Times New Roman" w:hAnsi="Times New Roman" w:eastAsia="黑体" w:cs="Times New Roman"/>
          <w:bCs/>
          <w:color w:val="auto"/>
          <w:sz w:val="24"/>
          <w:szCs w:val="32"/>
        </w:rPr>
      </w:pPr>
      <w:bookmarkStart w:id="105" w:name="_Toc26656973"/>
      <w:bookmarkStart w:id="106" w:name="_Toc14201242"/>
      <w:r>
        <w:rPr>
          <w:rFonts w:ascii="Times New Roman" w:hAnsi="Times New Roman" w:eastAsia="黑体" w:cs="Times New Roman"/>
          <w:bCs/>
          <w:color w:val="auto"/>
          <w:sz w:val="24"/>
          <w:szCs w:val="32"/>
        </w:rPr>
        <w:t>6.1</w:t>
      </w:r>
      <w:bookmarkEnd w:id="105"/>
      <w:bookmarkEnd w:id="106"/>
      <w:r>
        <w:rPr>
          <w:rFonts w:hint="eastAsia" w:ascii="Times New Roman" w:hAnsi="Times New Roman" w:eastAsia="黑体" w:cs="Times New Roman"/>
          <w:bCs/>
          <w:color w:val="auto"/>
          <w:sz w:val="24"/>
          <w:szCs w:val="32"/>
        </w:rPr>
        <w:t>评审小组</w:t>
      </w:r>
    </w:p>
    <w:p w14:paraId="2C802A97">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评审小组由设计总院检测板块专家委员会或公司评标委员会的成员组成，人数3人。</w:t>
      </w:r>
    </w:p>
    <w:p w14:paraId="4F6FE07C">
      <w:pPr>
        <w:keepNext/>
        <w:keepLines/>
        <w:spacing w:before="120" w:after="120"/>
        <w:outlineLvl w:val="2"/>
        <w:rPr>
          <w:rFonts w:ascii="Times New Roman" w:hAnsi="Times New Roman" w:eastAsia="黑体" w:cs="Times New Roman"/>
          <w:bCs/>
          <w:color w:val="auto"/>
          <w:sz w:val="24"/>
          <w:szCs w:val="32"/>
        </w:rPr>
      </w:pPr>
      <w:bookmarkStart w:id="107" w:name="_Toc14201244"/>
      <w:bookmarkStart w:id="108" w:name="_Toc26656975"/>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w:t>
      </w:r>
      <w:bookmarkEnd w:id="107"/>
      <w:bookmarkEnd w:id="108"/>
      <w:r>
        <w:rPr>
          <w:rFonts w:ascii="Times New Roman" w:hAnsi="Times New Roman" w:eastAsia="黑体" w:cs="Times New Roman"/>
          <w:bCs/>
          <w:color w:val="auto"/>
          <w:sz w:val="24"/>
          <w:szCs w:val="32"/>
        </w:rPr>
        <w:t>审</w:t>
      </w:r>
    </w:p>
    <w:p w14:paraId="115ADEAF">
      <w:pPr>
        <w:spacing w:line="440" w:lineRule="exact"/>
        <w:ind w:firstLine="42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.1</w:t>
      </w:r>
      <w:r>
        <w:rPr>
          <w:rFonts w:hint="eastAsia" w:ascii="Times New Roman" w:hAnsi="Times New Roman" w:cs="Times New Roman"/>
          <w:color w:val="auto"/>
        </w:rPr>
        <w:t>评审小组</w:t>
      </w:r>
      <w:r>
        <w:rPr>
          <w:rFonts w:ascii="Times New Roman" w:hAnsi="Times New Roman" w:cs="Times New Roman"/>
          <w:color w:val="auto"/>
        </w:rPr>
        <w:t>按照第三章“评审办法”规定的方法、评审因素、标准和程序对响应文件进行评审。</w:t>
      </w:r>
    </w:p>
    <w:p w14:paraId="4F222545">
      <w:pPr>
        <w:spacing w:line="440" w:lineRule="exact"/>
        <w:ind w:firstLine="42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.2评审完成后，</w:t>
      </w: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w:t>
      </w:r>
      <w:r>
        <w:rPr>
          <w:rFonts w:hint="eastAsia" w:ascii="Times New Roman" w:hAnsi="Times New Roman" w:cs="Times New Roman"/>
          <w:color w:val="auto"/>
        </w:rPr>
        <w:t>荐成交候选人的</w:t>
      </w:r>
      <w:r>
        <w:rPr>
          <w:rFonts w:hint="eastAsia" w:ascii="Times New Roman" w:hAnsi="Times New Roman" w:cs="Times New Roman"/>
          <w:color w:val="auto"/>
          <w:lang w:eastAsia="zh-CN"/>
        </w:rPr>
        <w:t>家</w:t>
      </w:r>
      <w:r>
        <w:rPr>
          <w:rFonts w:hint="eastAsia" w:ascii="Times New Roman" w:hAnsi="Times New Roman" w:cs="Times New Roman"/>
          <w:color w:val="auto"/>
        </w:rPr>
        <w:t>数为：</w:t>
      </w:r>
      <w:r>
        <w:rPr>
          <w:rFonts w:hint="eastAsia" w:ascii="Times New Roman" w:hAnsi="Times New Roman" w:cs="Times New Roman"/>
          <w:b/>
          <w:bCs/>
          <w:color w:val="auto"/>
          <w:u w:val="single"/>
          <w:lang w:val="en-US" w:eastAsia="zh-CN"/>
        </w:rPr>
        <w:t>2家</w:t>
      </w:r>
      <w:r>
        <w:rPr>
          <w:rFonts w:hint="eastAsia" w:ascii="Times New Roman" w:hAnsi="Times New Roman" w:cs="Times New Roman"/>
          <w:b/>
          <w:bCs/>
          <w:color w:val="auto"/>
          <w:u w:val="single"/>
        </w:rPr>
        <w:t>。</w:t>
      </w:r>
    </w:p>
    <w:p w14:paraId="6195430E">
      <w:pPr>
        <w:keepNext/>
        <w:keepLines/>
        <w:spacing w:beforeLines="50" w:afterLines="50"/>
        <w:outlineLvl w:val="1"/>
        <w:rPr>
          <w:rFonts w:ascii="Times New Roman" w:hAnsi="Times New Roman" w:eastAsia="黑体" w:cs="Times New Roman"/>
          <w:bCs/>
          <w:color w:val="auto"/>
          <w:sz w:val="24"/>
          <w:szCs w:val="32"/>
        </w:rPr>
      </w:pPr>
      <w:bookmarkStart w:id="109" w:name="_Toc14201245"/>
      <w:bookmarkStart w:id="110" w:name="_Toc26656976"/>
      <w:bookmarkStart w:id="111" w:name="_Toc9067726"/>
      <w:r>
        <w:rPr>
          <w:rFonts w:ascii="Times New Roman" w:hAnsi="Times New Roman" w:eastAsia="黑体" w:cs="Times New Roman"/>
          <w:bCs/>
          <w:color w:val="auto"/>
          <w:sz w:val="24"/>
          <w:szCs w:val="32"/>
        </w:rPr>
        <w:t>7. 合同授予</w:t>
      </w:r>
      <w:bookmarkEnd w:id="109"/>
      <w:bookmarkEnd w:id="110"/>
      <w:bookmarkEnd w:id="111"/>
    </w:p>
    <w:p w14:paraId="4E3688F5">
      <w:pPr>
        <w:keepNext/>
        <w:keepLines/>
        <w:spacing w:before="120" w:after="120"/>
        <w:outlineLvl w:val="2"/>
        <w:rPr>
          <w:rFonts w:ascii="Times New Roman" w:hAnsi="Times New Roman" w:eastAsia="黑体" w:cs="Times New Roman"/>
          <w:bCs/>
          <w:color w:val="auto"/>
          <w:sz w:val="24"/>
          <w:szCs w:val="32"/>
        </w:rPr>
      </w:pPr>
      <w:bookmarkStart w:id="112" w:name="_Toc14201246"/>
      <w:bookmarkStart w:id="113" w:name="_Toc26656977"/>
      <w:r>
        <w:rPr>
          <w:rFonts w:ascii="Times New Roman" w:hAnsi="Times New Roman" w:eastAsia="黑体" w:cs="Times New Roman"/>
          <w:bCs/>
          <w:color w:val="auto"/>
          <w:sz w:val="24"/>
          <w:szCs w:val="32"/>
        </w:rPr>
        <w:t>7.1成交候选人公示</w:t>
      </w:r>
      <w:bookmarkEnd w:id="112"/>
      <w:bookmarkEnd w:id="113"/>
    </w:p>
    <w:p w14:paraId="42093E85">
      <w:pPr>
        <w:spacing w:line="440" w:lineRule="exact"/>
        <w:ind w:firstLine="420"/>
        <w:rPr>
          <w:rFonts w:ascii="Times New Roman" w:hAnsi="Times New Roman" w:cs="Times New Roman"/>
          <w:color w:val="auto"/>
        </w:rPr>
      </w:pPr>
      <w:r>
        <w:rPr>
          <w:rFonts w:ascii="Times New Roman" w:hAnsi="Times New Roman" w:cs="Times New Roman"/>
          <w:color w:val="auto"/>
        </w:rPr>
        <w:t>公示期</w:t>
      </w:r>
      <w:r>
        <w:rPr>
          <w:rFonts w:hint="eastAsia" w:ascii="Times New Roman" w:hAnsi="Times New Roman" w:cs="Times New Roman"/>
          <w:color w:val="auto"/>
          <w:lang w:val="en-US" w:eastAsia="zh-CN"/>
        </w:rPr>
        <w:t>为2</w:t>
      </w:r>
      <w:r>
        <w:rPr>
          <w:rFonts w:ascii="Times New Roman" w:hAnsi="Times New Roman" w:cs="Times New Roman"/>
          <w:color w:val="auto"/>
        </w:rPr>
        <w:t>日。</w:t>
      </w:r>
    </w:p>
    <w:p w14:paraId="460D1D60">
      <w:pPr>
        <w:keepNext/>
        <w:keepLines/>
        <w:spacing w:before="120" w:after="120"/>
        <w:outlineLvl w:val="2"/>
        <w:rPr>
          <w:rFonts w:ascii="Times New Roman" w:hAnsi="Times New Roman" w:eastAsia="黑体" w:cs="Times New Roman"/>
          <w:bCs/>
          <w:color w:val="auto"/>
          <w:sz w:val="24"/>
          <w:szCs w:val="32"/>
        </w:rPr>
      </w:pPr>
      <w:bookmarkStart w:id="114" w:name="_Toc26656978"/>
      <w:bookmarkStart w:id="115" w:name="_Toc14201247"/>
      <w:r>
        <w:rPr>
          <w:rFonts w:ascii="Times New Roman" w:hAnsi="Times New Roman" w:eastAsia="黑体" w:cs="Times New Roman"/>
          <w:bCs/>
          <w:color w:val="auto"/>
          <w:sz w:val="24"/>
          <w:szCs w:val="32"/>
        </w:rPr>
        <w:t>7.2评审结果异议</w:t>
      </w:r>
      <w:bookmarkEnd w:id="114"/>
      <w:bookmarkEnd w:id="115"/>
    </w:p>
    <w:p w14:paraId="024B1BDF">
      <w:pPr>
        <w:spacing w:line="440" w:lineRule="exact"/>
        <w:ind w:firstLine="420"/>
        <w:rPr>
          <w:rFonts w:ascii="Times New Roman" w:hAnsi="Times New Roman" w:cs="Times New Roman"/>
          <w:color w:val="auto"/>
        </w:rPr>
      </w:pPr>
      <w:r>
        <w:rPr>
          <w:rFonts w:ascii="Times New Roman" w:hAnsi="Times New Roman" w:cs="Times New Roman"/>
          <w:color w:val="auto"/>
        </w:rPr>
        <w:t>供应商或其他利害关系人对评审结果有异议的，应在成交候选人公示期间提出。</w:t>
      </w:r>
    </w:p>
    <w:p w14:paraId="241D760B">
      <w:pPr>
        <w:keepNext/>
        <w:keepLines/>
        <w:spacing w:before="120" w:after="120"/>
        <w:outlineLvl w:val="2"/>
        <w:rPr>
          <w:rFonts w:ascii="Times New Roman" w:hAnsi="Times New Roman" w:eastAsia="黑体" w:cs="Times New Roman"/>
          <w:bCs/>
          <w:color w:val="auto"/>
          <w:sz w:val="24"/>
          <w:szCs w:val="32"/>
        </w:rPr>
      </w:pPr>
      <w:bookmarkStart w:id="116" w:name="_Toc14201248"/>
      <w:bookmarkStart w:id="117" w:name="_Toc26656979"/>
      <w:r>
        <w:rPr>
          <w:rFonts w:ascii="Times New Roman" w:hAnsi="Times New Roman" w:eastAsia="黑体" w:cs="Times New Roman"/>
          <w:bCs/>
          <w:color w:val="auto"/>
          <w:sz w:val="24"/>
          <w:szCs w:val="32"/>
        </w:rPr>
        <w:t>7.3成交候选人履约能力审查</w:t>
      </w:r>
      <w:bookmarkEnd w:id="116"/>
      <w:bookmarkEnd w:id="117"/>
    </w:p>
    <w:p w14:paraId="66600E6F">
      <w:pPr>
        <w:spacing w:line="440" w:lineRule="exact"/>
        <w:ind w:firstLine="42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14:paraId="5A142E11">
      <w:pPr>
        <w:keepNext/>
        <w:keepLines/>
        <w:spacing w:before="120" w:after="120"/>
        <w:outlineLvl w:val="2"/>
        <w:rPr>
          <w:rFonts w:ascii="Times New Roman" w:hAnsi="Times New Roman" w:eastAsia="黑体" w:cs="Times New Roman"/>
          <w:bCs/>
          <w:color w:val="auto"/>
          <w:sz w:val="24"/>
          <w:szCs w:val="32"/>
        </w:rPr>
      </w:pPr>
      <w:bookmarkStart w:id="118" w:name="_Toc14201253"/>
      <w:bookmarkStart w:id="119" w:name="_Toc26656984"/>
      <w:r>
        <w:rPr>
          <w:rFonts w:ascii="Times New Roman" w:hAnsi="Times New Roman" w:eastAsia="黑体" w:cs="Times New Roman"/>
          <w:bCs/>
          <w:color w:val="auto"/>
          <w:sz w:val="24"/>
          <w:szCs w:val="32"/>
        </w:rPr>
        <w:t>7.</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签订合同</w:t>
      </w:r>
      <w:bookmarkEnd w:id="118"/>
      <w:bookmarkEnd w:id="119"/>
    </w:p>
    <w:p w14:paraId="6B268482">
      <w:pPr>
        <w:spacing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w:t>
      </w:r>
      <w:r>
        <w:rPr>
          <w:rFonts w:hint="eastAsia" w:ascii="Times New Roman" w:hAnsi="Times New Roman" w:cs="Times New Roman"/>
          <w:color w:val="auto"/>
          <w:lang w:val="en-US" w:eastAsia="zh-CN"/>
        </w:rPr>
        <w:t>30</w:t>
      </w:r>
      <w:r>
        <w:rPr>
          <w:rFonts w:ascii="Times New Roman" w:hAnsi="Times New Roman" w:cs="Times New Roman"/>
          <w:color w:val="auto"/>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8985754">
      <w:pPr>
        <w:keepNext/>
        <w:keepLines/>
        <w:spacing w:beforeLines="50" w:afterLines="50"/>
        <w:outlineLvl w:val="1"/>
        <w:rPr>
          <w:rFonts w:ascii="Times New Roman" w:hAnsi="Times New Roman" w:eastAsia="黑体" w:cs="Times New Roman"/>
          <w:bCs/>
          <w:color w:val="auto"/>
          <w:sz w:val="24"/>
          <w:szCs w:val="32"/>
        </w:rPr>
      </w:pPr>
      <w:bookmarkStart w:id="120" w:name="_Toc9067727"/>
      <w:bookmarkStart w:id="121" w:name="_Toc26656988"/>
      <w:bookmarkStart w:id="122" w:name="_Toc14201257"/>
      <w:r>
        <w:rPr>
          <w:rFonts w:ascii="Times New Roman" w:hAnsi="Times New Roman" w:eastAsia="黑体" w:cs="Times New Roman"/>
          <w:bCs/>
          <w:color w:val="auto"/>
          <w:sz w:val="24"/>
          <w:szCs w:val="32"/>
        </w:rPr>
        <w:t>8. 纪律和监督</w:t>
      </w:r>
      <w:bookmarkEnd w:id="120"/>
      <w:bookmarkEnd w:id="121"/>
      <w:bookmarkEnd w:id="122"/>
    </w:p>
    <w:p w14:paraId="2B192039">
      <w:pPr>
        <w:spacing w:line="440" w:lineRule="exact"/>
        <w:ind w:firstLine="420"/>
        <w:rPr>
          <w:rFonts w:ascii="Times New Roman" w:hAnsi="Times New Roman" w:cs="Times New Roman"/>
          <w:color w:val="auto"/>
        </w:rPr>
      </w:pPr>
      <w:r>
        <w:rPr>
          <w:rFonts w:ascii="Times New Roman" w:hAnsi="Times New Roman" w:cs="Times New Roman"/>
          <w:color w:val="auto"/>
        </w:rPr>
        <w:t>供应商不得相互串通报价或与采购人串通报价，不得向采购人或</w:t>
      </w:r>
      <w:r>
        <w:rPr>
          <w:rFonts w:hint="eastAsia" w:ascii="Times New Roman" w:hAnsi="Times New Roman" w:cs="Times New Roman"/>
          <w:color w:val="auto"/>
        </w:rPr>
        <w:t>评审小组</w:t>
      </w:r>
      <w:r>
        <w:rPr>
          <w:rFonts w:ascii="Times New Roman" w:hAnsi="Times New Roman" w:cs="Times New Roman"/>
          <w:color w:val="auto"/>
        </w:rPr>
        <w:t>成员行贿谋取成交，不得以他人名义报价或以其他方式弄虚作假骗取成交；供应商不得以任何方式干扰、影响评审工作。</w:t>
      </w:r>
    </w:p>
    <w:p w14:paraId="65B63FCE">
      <w:pPr>
        <w:keepNext/>
        <w:keepLines/>
        <w:spacing w:beforeLines="50" w:afterLines="50"/>
        <w:outlineLvl w:val="1"/>
        <w:rPr>
          <w:rFonts w:ascii="Times New Roman" w:hAnsi="Times New Roman" w:eastAsia="黑体" w:cs="Times New Roman"/>
          <w:bCs/>
          <w:color w:val="auto"/>
          <w:sz w:val="24"/>
          <w:szCs w:val="32"/>
        </w:rPr>
      </w:pPr>
      <w:bookmarkStart w:id="123" w:name="_Toc14201262"/>
      <w:bookmarkStart w:id="124" w:name="_Toc26656993"/>
      <w:r>
        <w:rPr>
          <w:rFonts w:hint="eastAsia" w:ascii="Times New Roman" w:hAnsi="Times New Roman" w:eastAsia="黑体" w:cs="Times New Roman"/>
          <w:bCs/>
          <w:color w:val="auto"/>
          <w:sz w:val="24"/>
          <w:szCs w:val="32"/>
        </w:rPr>
        <w:t>9</w:t>
      </w:r>
      <w:r>
        <w:rPr>
          <w:rFonts w:ascii="Times New Roman" w:hAnsi="Times New Roman" w:eastAsia="黑体" w:cs="Times New Roman"/>
          <w:bCs/>
          <w:color w:val="auto"/>
          <w:sz w:val="24"/>
          <w:szCs w:val="32"/>
        </w:rPr>
        <w:t xml:space="preserve"> 投诉</w:t>
      </w:r>
      <w:bookmarkEnd w:id="123"/>
      <w:bookmarkEnd w:id="124"/>
    </w:p>
    <w:p w14:paraId="524D96A8">
      <w:pPr>
        <w:spacing w:line="440" w:lineRule="exact"/>
        <w:ind w:firstLine="420"/>
        <w:rPr>
          <w:rFonts w:ascii="Times New Roman" w:hAnsi="Times New Roman" w:eastAsia="宋体" w:cs="Times New Roman"/>
          <w:color w:val="auto"/>
        </w:rPr>
      </w:pPr>
      <w:r>
        <w:rPr>
          <w:rFonts w:hint="eastAsia" w:ascii="Times New Roman" w:hAnsi="Times New Roman" w:eastAsia="宋体" w:cs="Times New Roman"/>
          <w:color w:val="auto"/>
        </w:rPr>
        <w:t>9</w:t>
      </w:r>
      <w:r>
        <w:rPr>
          <w:rFonts w:ascii="Times New Roman" w:hAnsi="Times New Roman" w:eastAsia="宋体" w:cs="Times New Roman"/>
          <w:color w:val="auto"/>
        </w:rPr>
        <w:t>.1 供应商或其他利害关系人认为询比活动不符合法律法规规定的，可以自知道或应当知道之日起10日内向有关部门投诉。投诉应有明确的请求和必要的证明材料。</w:t>
      </w:r>
    </w:p>
    <w:p w14:paraId="3FBF1FC4">
      <w:pPr>
        <w:spacing w:line="440" w:lineRule="exact"/>
        <w:ind w:firstLine="420"/>
        <w:rPr>
          <w:rFonts w:ascii="Times New Roman" w:hAnsi="Times New Roman" w:eastAsia="宋体" w:cs="Times New Roman"/>
          <w:color w:val="auto"/>
        </w:rPr>
      </w:pPr>
      <w:r>
        <w:rPr>
          <w:rFonts w:hint="eastAsia" w:ascii="Times New Roman" w:hAnsi="Times New Roman" w:eastAsia="宋体" w:cs="Times New Roman"/>
          <w:color w:val="auto"/>
        </w:rPr>
        <w:t>9</w:t>
      </w:r>
      <w:r>
        <w:rPr>
          <w:rFonts w:ascii="Times New Roman" w:hAnsi="Times New Roman" w:eastAsia="宋体" w:cs="Times New Roman"/>
          <w:color w:val="auto"/>
        </w:rPr>
        <w:t>.2 部门</w:t>
      </w:r>
      <w:r>
        <w:rPr>
          <w:rFonts w:hint="eastAsia" w:ascii="Times New Roman" w:hAnsi="Times New Roman" w:eastAsia="宋体" w:cs="Times New Roman"/>
          <w:color w:val="auto"/>
        </w:rPr>
        <w:t>及</w:t>
      </w:r>
      <w:r>
        <w:rPr>
          <w:rFonts w:ascii="Times New Roman" w:hAnsi="Times New Roman" w:eastAsia="宋体" w:cs="Times New Roman"/>
          <w:color w:val="auto"/>
        </w:rPr>
        <w:t>联系方式</w:t>
      </w:r>
      <w:r>
        <w:rPr>
          <w:rFonts w:hint="eastAsia" w:ascii="Times New Roman" w:hAnsi="Times New Roman" w:eastAsia="宋体" w:cs="Times New Roman"/>
          <w:color w:val="auto"/>
        </w:rPr>
        <w:t>：</w:t>
      </w:r>
    </w:p>
    <w:p w14:paraId="31393845">
      <w:pPr>
        <w:widowControl/>
        <w:spacing w:line="440" w:lineRule="exact"/>
        <w:ind w:firstLine="420"/>
        <w:jc w:val="left"/>
        <w:rPr>
          <w:rFonts w:ascii="Times New Roman" w:hAnsi="Times New Roman" w:cs="Times New Roman"/>
          <w:color w:val="auto"/>
        </w:rPr>
      </w:pPr>
      <w:r>
        <w:rPr>
          <w:rFonts w:ascii="Times New Roman" w:hAnsi="Times New Roman" w:cs="Times New Roman"/>
          <w:color w:val="auto"/>
        </w:rPr>
        <w:t>（1）部门：</w:t>
      </w:r>
      <w:r>
        <w:rPr>
          <w:rFonts w:ascii="Times New Roman" w:hAnsi="Times New Roman" w:cs="Times New Roman"/>
          <w:color w:val="auto"/>
          <w:u w:val="single"/>
        </w:rPr>
        <w:t>安徽省高速公路试验检测科研中心有限公司</w:t>
      </w:r>
      <w:r>
        <w:rPr>
          <w:rFonts w:hint="eastAsia" w:ascii="Times New Roman" w:hAnsi="Times New Roman" w:cs="Times New Roman"/>
          <w:color w:val="auto"/>
          <w:u w:val="single"/>
          <w:lang w:eastAsia="zh-CN"/>
        </w:rPr>
        <w:t>项目管理</w:t>
      </w:r>
      <w:r>
        <w:rPr>
          <w:rFonts w:ascii="Times New Roman" w:hAnsi="Times New Roman" w:cs="Times New Roman"/>
          <w:color w:val="auto"/>
          <w:u w:val="single"/>
        </w:rPr>
        <w:t>部</w:t>
      </w:r>
    </w:p>
    <w:p w14:paraId="336842AA">
      <w:pPr>
        <w:spacing w:line="440" w:lineRule="exact"/>
        <w:ind w:firstLine="420"/>
        <w:rPr>
          <w:rFonts w:ascii="Times New Roman" w:hAnsi="Times New Roman" w:cs="Times New Roman"/>
          <w:color w:val="auto"/>
          <w:u w:val="single"/>
        </w:rPr>
      </w:pPr>
      <w:r>
        <w:rPr>
          <w:rFonts w:hint="eastAsia" w:ascii="Times New Roman" w:hAnsi="Times New Roman" w:cs="Times New Roman"/>
          <w:color w:val="auto"/>
        </w:rPr>
        <w:t>（2）</w:t>
      </w:r>
      <w:r>
        <w:rPr>
          <w:rFonts w:ascii="Times New Roman" w:hAnsi="Times New Roman" w:cs="Times New Roman"/>
          <w:color w:val="auto"/>
        </w:rPr>
        <w:t>联系方式：</w:t>
      </w:r>
      <w:r>
        <w:rPr>
          <w:rFonts w:hint="eastAsia" w:ascii="Times New Roman" w:hAnsi="Times New Roman" w:cs="Times New Roman"/>
          <w:color w:val="auto"/>
          <w:u w:val="single"/>
          <w:lang w:val="en-US" w:eastAsia="zh-CN"/>
        </w:rPr>
        <w:t>13655607828</w:t>
      </w:r>
    </w:p>
    <w:p w14:paraId="6887B179">
      <w:pPr>
        <w:pStyle w:val="2"/>
        <w:rPr>
          <w:rFonts w:ascii="Times New Roman" w:hAnsi="Times New Roman" w:cs="Times New Roman"/>
          <w:color w:val="auto"/>
          <w:u w:val="single"/>
        </w:rPr>
      </w:pPr>
    </w:p>
    <w:p w14:paraId="1622A9CC">
      <w:pPr>
        <w:pStyle w:val="4"/>
        <w:numPr>
          <w:ilvl w:val="0"/>
          <w:numId w:val="0"/>
        </w:numPr>
        <w:spacing w:before="240" w:after="240"/>
        <w:outlineLvl w:val="9"/>
        <w:rPr>
          <w:rFonts w:hint="eastAsia" w:ascii="Times New Roman" w:hAnsi="Times New Roman" w:eastAsia="宋体" w:cs="Times New Roman"/>
          <w:color w:val="auto"/>
        </w:rPr>
      </w:pPr>
    </w:p>
    <w:p w14:paraId="72620360">
      <w:pPr>
        <w:pStyle w:val="4"/>
        <w:numPr>
          <w:ilvl w:val="0"/>
          <w:numId w:val="0"/>
        </w:numPr>
        <w:spacing w:before="240" w:after="240"/>
        <w:outlineLvl w:val="9"/>
        <w:rPr>
          <w:rFonts w:hint="eastAsia" w:ascii="Times New Roman" w:hAnsi="Times New Roman" w:eastAsia="宋体" w:cs="Times New Roman"/>
          <w:color w:val="auto"/>
        </w:rPr>
      </w:pPr>
    </w:p>
    <w:p w14:paraId="7B48E904">
      <w:pPr>
        <w:pStyle w:val="4"/>
        <w:numPr>
          <w:ilvl w:val="0"/>
          <w:numId w:val="0"/>
        </w:numPr>
        <w:spacing w:before="240" w:after="240"/>
        <w:outlineLvl w:val="9"/>
        <w:rPr>
          <w:rFonts w:hint="eastAsia" w:ascii="Times New Roman" w:hAnsi="Times New Roman" w:eastAsia="宋体" w:cs="Times New Roman"/>
          <w:color w:val="auto"/>
        </w:rPr>
      </w:pPr>
    </w:p>
    <w:p w14:paraId="4B6FD77A">
      <w:pPr>
        <w:rPr>
          <w:rFonts w:hint="eastAsia" w:ascii="Times New Roman" w:hAnsi="Times New Roman" w:eastAsia="宋体" w:cs="Times New Roman"/>
          <w:color w:val="auto"/>
        </w:rPr>
      </w:pPr>
    </w:p>
    <w:p w14:paraId="063C0F3F">
      <w:pPr>
        <w:pStyle w:val="2"/>
        <w:rPr>
          <w:rFonts w:hint="eastAsia"/>
          <w:color w:val="auto"/>
        </w:rPr>
      </w:pPr>
    </w:p>
    <w:p w14:paraId="0DE0878D">
      <w:pPr>
        <w:pStyle w:val="4"/>
        <w:numPr>
          <w:ilvl w:val="0"/>
          <w:numId w:val="0"/>
        </w:numPr>
        <w:spacing w:before="240" w:after="240"/>
        <w:outlineLvl w:val="9"/>
        <w:rPr>
          <w:rFonts w:hint="eastAsia" w:ascii="Times New Roman" w:hAnsi="Times New Roman" w:eastAsia="宋体" w:cs="Times New Roman"/>
          <w:color w:val="auto"/>
        </w:rPr>
      </w:pPr>
    </w:p>
    <w:p w14:paraId="6559EBBD">
      <w:pPr>
        <w:pStyle w:val="4"/>
        <w:numPr>
          <w:ilvl w:val="0"/>
          <w:numId w:val="0"/>
        </w:numPr>
        <w:spacing w:before="240" w:after="240"/>
        <w:outlineLvl w:val="9"/>
        <w:rPr>
          <w:rFonts w:hint="eastAsia" w:ascii="Times New Roman" w:hAnsi="Times New Roman" w:eastAsia="宋体" w:cs="Times New Roman"/>
          <w:color w:val="auto"/>
        </w:rPr>
      </w:pPr>
    </w:p>
    <w:p w14:paraId="7B913283">
      <w:pPr>
        <w:rPr>
          <w:rFonts w:hint="eastAsia"/>
          <w:color w:val="auto"/>
        </w:rPr>
      </w:pPr>
    </w:p>
    <w:p w14:paraId="232466ED">
      <w:pPr>
        <w:pStyle w:val="4"/>
        <w:numPr>
          <w:ilvl w:val="0"/>
          <w:numId w:val="0"/>
        </w:numPr>
        <w:spacing w:before="240" w:after="240"/>
        <w:rPr>
          <w:rFonts w:ascii="Times New Roman" w:hAnsi="Times New Roman" w:eastAsia="宋体" w:cs="Times New Roman"/>
          <w:color w:val="auto"/>
        </w:rPr>
      </w:pPr>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p>
    <w:p w14:paraId="09F845EB">
      <w:pPr>
        <w:rPr>
          <w:rFonts w:hint="eastAsia"/>
          <w:color w:val="auto"/>
        </w:rPr>
      </w:pPr>
    </w:p>
    <w:p w14:paraId="3B7B3C24">
      <w:pPr>
        <w:pStyle w:val="2"/>
        <w:rPr>
          <w:rFonts w:hint="eastAsia"/>
          <w:color w:val="auto"/>
        </w:rPr>
      </w:pPr>
    </w:p>
    <w:p w14:paraId="0B2D0F2B">
      <w:pPr>
        <w:pStyle w:val="3"/>
        <w:outlineLvl w:val="9"/>
        <w:rPr>
          <w:rFonts w:hint="eastAsia"/>
          <w:color w:val="auto"/>
        </w:rPr>
      </w:pPr>
    </w:p>
    <w:p w14:paraId="3CE3B66D">
      <w:pPr>
        <w:rPr>
          <w:rFonts w:hint="eastAsia"/>
          <w:color w:val="auto"/>
        </w:rPr>
      </w:pPr>
    </w:p>
    <w:p w14:paraId="5217B5E1">
      <w:pPr>
        <w:pStyle w:val="2"/>
        <w:rPr>
          <w:rFonts w:hint="eastAsia"/>
          <w:color w:val="auto"/>
        </w:rPr>
      </w:pPr>
    </w:p>
    <w:p w14:paraId="7A8B26ED">
      <w:pPr>
        <w:pStyle w:val="3"/>
        <w:outlineLvl w:val="9"/>
        <w:rPr>
          <w:rFonts w:hint="eastAsia"/>
          <w:color w:val="auto"/>
        </w:rPr>
      </w:pPr>
    </w:p>
    <w:p w14:paraId="0017885D">
      <w:pPr>
        <w:rPr>
          <w:rFonts w:hint="eastAsia"/>
          <w:color w:val="auto"/>
        </w:rPr>
      </w:pPr>
    </w:p>
    <w:p w14:paraId="728D7757">
      <w:pPr>
        <w:pStyle w:val="2"/>
        <w:rPr>
          <w:rFonts w:hint="eastAsia"/>
          <w:color w:val="auto"/>
        </w:rPr>
      </w:pPr>
    </w:p>
    <w:p w14:paraId="6E670FE4">
      <w:pPr>
        <w:pStyle w:val="3"/>
        <w:outlineLvl w:val="9"/>
        <w:rPr>
          <w:rFonts w:hint="eastAsia"/>
          <w:color w:val="auto"/>
        </w:rPr>
      </w:pPr>
    </w:p>
    <w:p w14:paraId="6AF0D7FC">
      <w:pPr>
        <w:rPr>
          <w:rFonts w:hint="eastAsia"/>
          <w:color w:val="auto"/>
        </w:rPr>
      </w:pPr>
    </w:p>
    <w:p w14:paraId="51967B36">
      <w:pPr>
        <w:pStyle w:val="2"/>
        <w:rPr>
          <w:rFonts w:hint="eastAsia"/>
          <w:color w:val="auto"/>
        </w:rPr>
      </w:pPr>
    </w:p>
    <w:p w14:paraId="19C6A17E">
      <w:pPr>
        <w:pStyle w:val="3"/>
        <w:jc w:val="both"/>
        <w:outlineLvl w:val="9"/>
        <w:rPr>
          <w:rFonts w:hint="eastAsia"/>
          <w:color w:val="auto"/>
        </w:rPr>
      </w:pPr>
    </w:p>
    <w:p w14:paraId="211DDEC0">
      <w:pPr>
        <w:pStyle w:val="2"/>
        <w:rPr>
          <w:rFonts w:hint="eastAsia"/>
          <w:color w:val="auto"/>
        </w:rPr>
      </w:pPr>
    </w:p>
    <w:tbl>
      <w:tblPr>
        <w:tblStyle w:val="22"/>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6"/>
        <w:gridCol w:w="1562"/>
        <w:gridCol w:w="2034"/>
        <w:gridCol w:w="5664"/>
      </w:tblGrid>
      <w:tr w14:paraId="5BD3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288" w:type="dxa"/>
            <w:gridSpan w:val="2"/>
            <w:noWrap w:val="0"/>
            <w:vAlign w:val="center"/>
          </w:tcPr>
          <w:p w14:paraId="1AD8E0AD">
            <w:pPr>
              <w:widowControl/>
              <w:jc w:val="center"/>
              <w:rPr>
                <w:rFonts w:ascii="Times New Roman" w:hAnsi="Times New Roman" w:cs="Times New Roman"/>
                <w:color w:val="auto"/>
                <w:kern w:val="0"/>
                <w:sz w:val="21"/>
                <w:szCs w:val="21"/>
              </w:rPr>
            </w:pPr>
            <w:r>
              <w:rPr>
                <w:rFonts w:ascii="Times New Roman" w:hAnsi="Times New Roman" w:eastAsia="宋体" w:cs="Times New Roman"/>
                <w:color w:val="auto"/>
                <w:sz w:val="21"/>
                <w:szCs w:val="21"/>
              </w:rPr>
              <w:br w:type="page"/>
            </w:r>
            <w:r>
              <w:rPr>
                <w:rFonts w:ascii="Times New Roman" w:hAnsi="Times New Roman" w:cs="Times New Roman"/>
                <w:b/>
                <w:bCs/>
                <w:color w:val="auto"/>
                <w:kern w:val="0"/>
                <w:sz w:val="21"/>
                <w:szCs w:val="21"/>
              </w:rPr>
              <w:t>条款号</w:t>
            </w:r>
          </w:p>
        </w:tc>
        <w:tc>
          <w:tcPr>
            <w:tcW w:w="2034" w:type="dxa"/>
            <w:noWrap w:val="0"/>
            <w:vAlign w:val="center"/>
          </w:tcPr>
          <w:p w14:paraId="7A1BDB97">
            <w:pPr>
              <w:widowControl/>
              <w:ind w:firstLine="105" w:firstLineChars="50"/>
              <w:jc w:val="center"/>
              <w:rPr>
                <w:rFonts w:ascii="Times New Roman" w:hAnsi="Times New Roman" w:cs="Times New Roman"/>
                <w:color w:val="auto"/>
                <w:kern w:val="0"/>
                <w:sz w:val="21"/>
                <w:szCs w:val="21"/>
              </w:rPr>
            </w:pPr>
            <w:r>
              <w:rPr>
                <w:rFonts w:ascii="Times New Roman" w:hAnsi="Times New Roman" w:cs="Times New Roman"/>
                <w:b/>
                <w:bCs/>
                <w:color w:val="auto"/>
                <w:kern w:val="0"/>
                <w:sz w:val="21"/>
                <w:szCs w:val="21"/>
              </w:rPr>
              <w:t>评审因素</w:t>
            </w:r>
          </w:p>
        </w:tc>
        <w:tc>
          <w:tcPr>
            <w:tcW w:w="5664" w:type="dxa"/>
            <w:noWrap w:val="0"/>
            <w:vAlign w:val="center"/>
          </w:tcPr>
          <w:p w14:paraId="14246E19">
            <w:pPr>
              <w:widowControl/>
              <w:ind w:firstLine="105" w:firstLineChars="50"/>
              <w:jc w:val="center"/>
              <w:rPr>
                <w:rFonts w:ascii="Times New Roman" w:hAnsi="Times New Roman" w:cs="Times New Roman"/>
                <w:color w:val="auto"/>
                <w:kern w:val="0"/>
                <w:sz w:val="21"/>
                <w:szCs w:val="21"/>
              </w:rPr>
            </w:pPr>
            <w:r>
              <w:rPr>
                <w:rFonts w:ascii="Times New Roman" w:hAnsi="Times New Roman" w:cs="Times New Roman"/>
                <w:b/>
                <w:bCs/>
                <w:color w:val="auto"/>
                <w:kern w:val="0"/>
                <w:sz w:val="21"/>
                <w:szCs w:val="21"/>
              </w:rPr>
              <w:t>评审标准</w:t>
            </w:r>
          </w:p>
        </w:tc>
      </w:tr>
      <w:tr w14:paraId="134C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6" w:type="dxa"/>
            <w:noWrap w:val="0"/>
            <w:vAlign w:val="center"/>
          </w:tcPr>
          <w:p w14:paraId="2CEEAE84">
            <w:pPr>
              <w:widowControl/>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1.1</w:t>
            </w:r>
          </w:p>
        </w:tc>
        <w:tc>
          <w:tcPr>
            <w:tcW w:w="1562" w:type="dxa"/>
            <w:noWrap w:val="0"/>
            <w:vAlign w:val="center"/>
          </w:tcPr>
          <w:p w14:paraId="7954405F">
            <w:pPr>
              <w:widowControl/>
              <w:jc w:val="center"/>
              <w:rPr>
                <w:rFonts w:ascii="Times New Roman" w:hAnsi="Times New Roman" w:cs="Times New Roman"/>
                <w:bCs/>
                <w:color w:val="auto"/>
                <w:kern w:val="0"/>
                <w:sz w:val="21"/>
                <w:szCs w:val="21"/>
              </w:rPr>
            </w:pPr>
            <w:r>
              <w:rPr>
                <w:rFonts w:ascii="Times New Roman" w:hAnsi="Times New Roman" w:cs="Times New Roman"/>
                <w:bCs/>
                <w:color w:val="auto"/>
                <w:kern w:val="0"/>
                <w:sz w:val="21"/>
                <w:szCs w:val="21"/>
              </w:rPr>
              <w:t>评审</w:t>
            </w:r>
            <w:r>
              <w:rPr>
                <w:rFonts w:hint="eastAsia" w:ascii="Times New Roman" w:hAnsi="Times New Roman" w:cs="Times New Roman"/>
                <w:bCs/>
                <w:color w:val="auto"/>
                <w:kern w:val="0"/>
                <w:sz w:val="21"/>
                <w:szCs w:val="21"/>
              </w:rPr>
              <w:t>方</w:t>
            </w:r>
            <w:r>
              <w:rPr>
                <w:rFonts w:ascii="Times New Roman" w:hAnsi="Times New Roman" w:cs="Times New Roman"/>
                <w:bCs/>
                <w:color w:val="auto"/>
                <w:kern w:val="0"/>
                <w:sz w:val="21"/>
                <w:szCs w:val="21"/>
              </w:rPr>
              <w:t>法</w:t>
            </w:r>
          </w:p>
        </w:tc>
        <w:tc>
          <w:tcPr>
            <w:tcW w:w="2034" w:type="dxa"/>
            <w:noWrap w:val="0"/>
            <w:tcMar>
              <w:left w:w="75" w:type="dxa"/>
            </w:tcMar>
            <w:vAlign w:val="center"/>
          </w:tcPr>
          <w:p w14:paraId="6BDE93E7">
            <w:pPr>
              <w:widowControl/>
              <w:adjustRightInd w:val="0"/>
              <w:snapToGrid w:val="0"/>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成交候选人排序方法</w:t>
            </w:r>
          </w:p>
        </w:tc>
        <w:tc>
          <w:tcPr>
            <w:tcW w:w="5664" w:type="dxa"/>
            <w:noWrap w:val="0"/>
            <w:tcMar>
              <w:left w:w="75" w:type="dxa"/>
            </w:tcMar>
            <w:vAlign w:val="center"/>
          </w:tcPr>
          <w:p w14:paraId="3EE8AE24">
            <w:pPr>
              <w:widowControl/>
              <w:adjustRightInd w:val="0"/>
              <w:snapToGrid w:val="0"/>
              <w:spacing w:line="360" w:lineRule="atLeast"/>
              <w:jc w:val="left"/>
              <w:rPr>
                <w:rFonts w:hint="eastAsia" w:eastAsia="宋体"/>
                <w:color w:val="auto"/>
                <w:sz w:val="21"/>
                <w:szCs w:val="21"/>
                <w:lang w:eastAsia="zh-CN"/>
              </w:rPr>
            </w:pPr>
            <w:r>
              <w:rPr>
                <w:color w:val="auto"/>
                <w:sz w:val="21"/>
                <w:szCs w:val="21"/>
              </w:rPr>
              <w:t>（1）对满足询比文件要求的响应文件，按照</w:t>
            </w:r>
            <w:r>
              <w:rPr>
                <w:rFonts w:hint="eastAsia"/>
                <w:color w:val="auto"/>
                <w:sz w:val="21"/>
                <w:szCs w:val="21"/>
                <w:lang w:val="en-US" w:eastAsia="zh-CN"/>
              </w:rPr>
              <w:t>报价费率</w:t>
            </w:r>
            <w:r>
              <w:rPr>
                <w:color w:val="auto"/>
                <w:sz w:val="21"/>
                <w:szCs w:val="21"/>
              </w:rPr>
              <w:t>由</w:t>
            </w:r>
            <w:r>
              <w:rPr>
                <w:rFonts w:hint="eastAsia"/>
                <w:color w:val="auto"/>
                <w:sz w:val="21"/>
                <w:szCs w:val="21"/>
                <w:lang w:eastAsia="zh-CN"/>
              </w:rPr>
              <w:t>低</w:t>
            </w:r>
            <w:r>
              <w:rPr>
                <w:color w:val="auto"/>
                <w:sz w:val="21"/>
                <w:szCs w:val="21"/>
              </w:rPr>
              <w:t>到</w:t>
            </w:r>
            <w:r>
              <w:rPr>
                <w:rFonts w:hint="eastAsia"/>
                <w:color w:val="auto"/>
                <w:sz w:val="21"/>
                <w:szCs w:val="21"/>
                <w:lang w:eastAsia="zh-CN"/>
              </w:rPr>
              <w:t>高</w:t>
            </w:r>
            <w:r>
              <w:rPr>
                <w:color w:val="auto"/>
                <w:sz w:val="21"/>
                <w:szCs w:val="21"/>
              </w:rPr>
              <w:t>的顺序推荐成交候选人</w:t>
            </w:r>
            <w:r>
              <w:rPr>
                <w:rFonts w:hint="eastAsia"/>
                <w:color w:val="auto"/>
                <w:sz w:val="21"/>
                <w:szCs w:val="21"/>
                <w:lang w:eastAsia="zh-CN"/>
              </w:rPr>
              <w:t>。</w:t>
            </w:r>
          </w:p>
          <w:p w14:paraId="131416C3">
            <w:pPr>
              <w:widowControl/>
              <w:adjustRightInd w:val="0"/>
              <w:snapToGrid w:val="0"/>
              <w:spacing w:line="360" w:lineRule="atLeast"/>
              <w:jc w:val="left"/>
              <w:rPr>
                <w:rFonts w:hint="eastAsia"/>
                <w:color w:val="auto"/>
                <w:sz w:val="21"/>
                <w:szCs w:val="21"/>
              </w:rPr>
            </w:pPr>
            <w:r>
              <w:rPr>
                <w:color w:val="auto"/>
                <w:sz w:val="21"/>
                <w:szCs w:val="21"/>
              </w:rPr>
              <w:t>（2）</w:t>
            </w:r>
            <w:r>
              <w:rPr>
                <w:rFonts w:hint="eastAsia"/>
                <w:color w:val="auto"/>
                <w:sz w:val="21"/>
                <w:szCs w:val="21"/>
              </w:rPr>
              <w:t>评审小组</w:t>
            </w:r>
            <w:r>
              <w:rPr>
                <w:rFonts w:hint="eastAsia"/>
                <w:color w:val="auto"/>
                <w:sz w:val="21"/>
                <w:szCs w:val="21"/>
                <w:lang w:val="en-US" w:eastAsia="zh-CN"/>
              </w:rPr>
              <w:t>与报价费率第二低的供应商其进行谈判</w:t>
            </w:r>
            <w:r>
              <w:rPr>
                <w:rFonts w:hint="eastAsia"/>
                <w:color w:val="auto"/>
                <w:sz w:val="21"/>
                <w:szCs w:val="21"/>
              </w:rPr>
              <w:t>，凡接受最</w:t>
            </w:r>
            <w:r>
              <w:rPr>
                <w:rFonts w:hint="eastAsia"/>
                <w:color w:val="auto"/>
                <w:sz w:val="21"/>
                <w:szCs w:val="21"/>
                <w:lang w:eastAsia="zh-CN"/>
              </w:rPr>
              <w:t>低报价费率</w:t>
            </w:r>
            <w:r>
              <w:rPr>
                <w:rFonts w:hint="eastAsia"/>
                <w:color w:val="auto"/>
                <w:sz w:val="21"/>
                <w:szCs w:val="21"/>
              </w:rPr>
              <w:t>作为最终成交价的供应商均</w:t>
            </w:r>
            <w:r>
              <w:rPr>
                <w:rFonts w:hint="eastAsia"/>
                <w:color w:val="auto"/>
                <w:sz w:val="21"/>
                <w:szCs w:val="21"/>
                <w:lang w:val="en-US" w:eastAsia="zh-CN"/>
              </w:rPr>
              <w:t>确定为</w:t>
            </w:r>
            <w:r>
              <w:rPr>
                <w:rFonts w:hint="eastAsia"/>
                <w:color w:val="auto"/>
                <w:sz w:val="21"/>
                <w:szCs w:val="21"/>
              </w:rPr>
              <w:t>成交</w:t>
            </w:r>
            <w:r>
              <w:rPr>
                <w:rFonts w:hint="eastAsia"/>
                <w:color w:val="auto"/>
                <w:sz w:val="21"/>
                <w:szCs w:val="21"/>
                <w:lang w:eastAsia="zh-CN"/>
              </w:rPr>
              <w:t>候选人</w:t>
            </w:r>
            <w:r>
              <w:rPr>
                <w:rFonts w:hint="eastAsia"/>
                <w:color w:val="auto"/>
                <w:sz w:val="21"/>
                <w:szCs w:val="21"/>
              </w:rPr>
              <w:t>。</w:t>
            </w:r>
          </w:p>
          <w:p w14:paraId="2728FFC2">
            <w:pPr>
              <w:widowControl/>
              <w:adjustRightInd w:val="0"/>
              <w:snapToGrid w:val="0"/>
              <w:spacing w:line="360" w:lineRule="atLeast"/>
              <w:jc w:val="left"/>
              <w:rPr>
                <w:rFonts w:hint="eastAsia"/>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rFonts w:hint="default"/>
                <w:color w:val="auto"/>
                <w:sz w:val="21"/>
                <w:szCs w:val="21"/>
                <w:lang w:val="zh-CN" w:eastAsia="zh-CN"/>
              </w:rPr>
              <w:t>若出现</w:t>
            </w:r>
            <w:r>
              <w:rPr>
                <w:rFonts w:hint="eastAsia"/>
                <w:color w:val="auto"/>
                <w:sz w:val="21"/>
                <w:szCs w:val="21"/>
                <w:lang w:val="en-US" w:eastAsia="zh-CN"/>
              </w:rPr>
              <w:t>报价费率</w:t>
            </w:r>
            <w:r>
              <w:rPr>
                <w:rFonts w:hint="default"/>
                <w:color w:val="auto"/>
                <w:sz w:val="21"/>
                <w:szCs w:val="21"/>
                <w:lang w:val="zh-CN" w:eastAsia="zh-CN"/>
              </w:rPr>
              <w:t>相同的情况，按递交响应文件的时间先后顺序推荐成交候选人。</w:t>
            </w:r>
          </w:p>
        </w:tc>
      </w:tr>
    </w:tbl>
    <w:p w14:paraId="129D1A70">
      <w:pPr>
        <w:widowControl/>
        <w:jc w:val="center"/>
        <w:rPr>
          <w:rFonts w:ascii="Times New Roman" w:hAnsi="Times New Roman" w:eastAsia="宋体" w:cs="Times New Roman"/>
          <w:color w:val="auto"/>
          <w:sz w:val="18"/>
          <w:szCs w:val="18"/>
        </w:rPr>
      </w:pPr>
    </w:p>
    <w:tbl>
      <w:tblPr>
        <w:tblStyle w:val="22"/>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551"/>
        <w:gridCol w:w="2042"/>
        <w:gridCol w:w="5637"/>
      </w:tblGrid>
      <w:tr w14:paraId="4AC4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248" w:type="dxa"/>
            <w:gridSpan w:val="2"/>
            <w:noWrap w:val="0"/>
            <w:vAlign w:val="center"/>
          </w:tcPr>
          <w:p w14:paraId="457E80F6">
            <w:pPr>
              <w:widowControl/>
              <w:jc w:val="center"/>
              <w:rPr>
                <w:rFonts w:ascii="Times New Roman" w:hAnsi="Times New Roman" w:eastAsia="宋体" w:cs="Times New Roman"/>
                <w:b/>
                <w:bCs/>
                <w:i w:val="0"/>
                <w:iCs w:val="0"/>
                <w:color w:val="auto"/>
                <w:sz w:val="21"/>
                <w:szCs w:val="21"/>
              </w:rPr>
            </w:pPr>
            <w:r>
              <w:rPr>
                <w:rFonts w:ascii="Times New Roman" w:hAnsi="Times New Roman" w:eastAsia="宋体" w:cs="Times New Roman"/>
                <w:b/>
                <w:bCs/>
                <w:i w:val="0"/>
                <w:iCs w:val="0"/>
                <w:color w:val="auto"/>
                <w:sz w:val="21"/>
                <w:szCs w:val="21"/>
              </w:rPr>
              <w:t>条款号</w:t>
            </w:r>
          </w:p>
        </w:tc>
        <w:tc>
          <w:tcPr>
            <w:tcW w:w="2042" w:type="dxa"/>
            <w:noWrap w:val="0"/>
            <w:vAlign w:val="center"/>
          </w:tcPr>
          <w:p w14:paraId="4601C746">
            <w:pPr>
              <w:widowControl/>
              <w:jc w:val="center"/>
              <w:rPr>
                <w:rFonts w:ascii="Times New Roman" w:hAnsi="Times New Roman" w:eastAsia="宋体" w:cs="Times New Roman"/>
                <w:b/>
                <w:bCs/>
                <w:i w:val="0"/>
                <w:iCs w:val="0"/>
                <w:color w:val="auto"/>
                <w:sz w:val="21"/>
                <w:szCs w:val="21"/>
              </w:rPr>
            </w:pPr>
            <w:r>
              <w:rPr>
                <w:rFonts w:ascii="Times New Roman" w:hAnsi="Times New Roman" w:eastAsia="宋体" w:cs="Times New Roman"/>
                <w:b/>
                <w:bCs/>
                <w:i w:val="0"/>
                <w:iCs w:val="0"/>
                <w:color w:val="auto"/>
                <w:sz w:val="21"/>
                <w:szCs w:val="21"/>
              </w:rPr>
              <w:t>评审因素</w:t>
            </w:r>
          </w:p>
        </w:tc>
        <w:tc>
          <w:tcPr>
            <w:tcW w:w="5637" w:type="dxa"/>
            <w:noWrap w:val="0"/>
            <w:vAlign w:val="center"/>
          </w:tcPr>
          <w:p w14:paraId="206CD456">
            <w:pPr>
              <w:widowControl/>
              <w:jc w:val="center"/>
              <w:rPr>
                <w:rFonts w:ascii="Times New Roman" w:hAnsi="Times New Roman" w:eastAsia="宋体" w:cs="Times New Roman"/>
                <w:b/>
                <w:bCs/>
                <w:i w:val="0"/>
                <w:iCs w:val="0"/>
                <w:color w:val="auto"/>
                <w:sz w:val="21"/>
                <w:szCs w:val="21"/>
              </w:rPr>
            </w:pPr>
            <w:r>
              <w:rPr>
                <w:rFonts w:ascii="Times New Roman" w:hAnsi="Times New Roman" w:eastAsia="宋体" w:cs="Times New Roman"/>
                <w:b/>
                <w:bCs/>
                <w:i w:val="0"/>
                <w:iCs w:val="0"/>
                <w:color w:val="auto"/>
                <w:sz w:val="21"/>
                <w:szCs w:val="21"/>
              </w:rPr>
              <w:t>评审标准</w:t>
            </w:r>
          </w:p>
        </w:tc>
      </w:tr>
      <w:tr w14:paraId="1CA1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restart"/>
            <w:noWrap w:val="0"/>
            <w:vAlign w:val="center"/>
          </w:tcPr>
          <w:p w14:paraId="4E1F27A1">
            <w:pPr>
              <w:widowControl/>
              <w:adjustRightInd w:val="0"/>
              <w:snapToGrid w:val="0"/>
              <w:spacing w:line="360" w:lineRule="atLeast"/>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2</w:t>
            </w:r>
            <w:r>
              <w:rPr>
                <w:rFonts w:ascii="Times New Roman" w:hAnsi="Times New Roman" w:cs="Times New Roman"/>
                <w:color w:val="auto"/>
                <w:kern w:val="0"/>
                <w:sz w:val="21"/>
                <w:szCs w:val="21"/>
              </w:rPr>
              <w:t>.1</w:t>
            </w:r>
          </w:p>
        </w:tc>
        <w:tc>
          <w:tcPr>
            <w:tcW w:w="1551" w:type="dxa"/>
            <w:vMerge w:val="restart"/>
            <w:noWrap w:val="0"/>
            <w:vAlign w:val="center"/>
          </w:tcPr>
          <w:p w14:paraId="10A121E0">
            <w:pPr>
              <w:widowControl/>
              <w:adjustRightInd w:val="0"/>
              <w:snapToGrid w:val="0"/>
              <w:spacing w:line="360" w:lineRule="atLeast"/>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形式评审标准</w:t>
            </w:r>
          </w:p>
        </w:tc>
        <w:tc>
          <w:tcPr>
            <w:tcW w:w="2042" w:type="dxa"/>
            <w:noWrap w:val="0"/>
            <w:tcMar>
              <w:left w:w="75" w:type="dxa"/>
            </w:tcMar>
            <w:vAlign w:val="center"/>
          </w:tcPr>
          <w:p w14:paraId="7318CDEC">
            <w:pPr>
              <w:widowControl/>
              <w:adjustRightInd w:val="0"/>
              <w:snapToGrid w:val="0"/>
              <w:spacing w:line="360" w:lineRule="atLeast"/>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供应商名称</w:t>
            </w:r>
          </w:p>
        </w:tc>
        <w:tc>
          <w:tcPr>
            <w:tcW w:w="5637" w:type="dxa"/>
            <w:noWrap w:val="0"/>
            <w:tcMar>
              <w:left w:w="75" w:type="dxa"/>
            </w:tcMar>
            <w:vAlign w:val="center"/>
          </w:tcPr>
          <w:p w14:paraId="0E048732">
            <w:pPr>
              <w:widowControl/>
              <w:adjustRightInd w:val="0"/>
              <w:snapToGrid w:val="0"/>
              <w:spacing w:line="360" w:lineRule="atLeast"/>
              <w:jc w:val="left"/>
              <w:rPr>
                <w:rFonts w:ascii="Times New Roman" w:hAnsi="Times New Roman" w:cs="Times New Roman"/>
                <w:color w:val="auto"/>
                <w:kern w:val="0"/>
                <w:sz w:val="21"/>
                <w:szCs w:val="21"/>
              </w:rPr>
            </w:pPr>
            <w:r>
              <w:rPr>
                <w:rFonts w:ascii="Times New Roman" w:hAnsi="Times New Roman" w:cs="Times New Roman"/>
                <w:color w:val="auto"/>
                <w:kern w:val="0"/>
                <w:sz w:val="21"/>
                <w:szCs w:val="21"/>
              </w:rPr>
              <w:t>与营业执照一致</w:t>
            </w:r>
          </w:p>
        </w:tc>
      </w:tr>
      <w:tr w14:paraId="7EE6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2908E425">
            <w:pPr>
              <w:widowControl/>
              <w:adjustRightInd w:val="0"/>
              <w:snapToGrid w:val="0"/>
              <w:spacing w:line="360" w:lineRule="atLeast"/>
              <w:jc w:val="center"/>
              <w:rPr>
                <w:rFonts w:ascii="Times New Roman" w:hAnsi="Times New Roman" w:cs="Times New Roman"/>
                <w:color w:val="auto"/>
                <w:kern w:val="0"/>
                <w:sz w:val="21"/>
                <w:szCs w:val="21"/>
              </w:rPr>
            </w:pPr>
          </w:p>
        </w:tc>
        <w:tc>
          <w:tcPr>
            <w:tcW w:w="1551" w:type="dxa"/>
            <w:vMerge w:val="continue"/>
            <w:noWrap w:val="0"/>
            <w:vAlign w:val="center"/>
          </w:tcPr>
          <w:p w14:paraId="504F1D27">
            <w:pPr>
              <w:widowControl/>
              <w:adjustRightInd w:val="0"/>
              <w:snapToGrid w:val="0"/>
              <w:spacing w:line="360" w:lineRule="atLeast"/>
              <w:jc w:val="center"/>
              <w:rPr>
                <w:rFonts w:ascii="Times New Roman" w:hAnsi="Times New Roman" w:cs="Times New Roman"/>
                <w:color w:val="auto"/>
                <w:kern w:val="0"/>
                <w:sz w:val="21"/>
                <w:szCs w:val="21"/>
              </w:rPr>
            </w:pPr>
          </w:p>
        </w:tc>
        <w:tc>
          <w:tcPr>
            <w:tcW w:w="2042" w:type="dxa"/>
            <w:noWrap w:val="0"/>
            <w:tcMar>
              <w:left w:w="75" w:type="dxa"/>
            </w:tcMar>
            <w:vAlign w:val="center"/>
          </w:tcPr>
          <w:p w14:paraId="5045272C">
            <w:pPr>
              <w:widowControl/>
              <w:adjustRightInd w:val="0"/>
              <w:snapToGrid w:val="0"/>
              <w:spacing w:line="360" w:lineRule="atLeast"/>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响应文件格式</w:t>
            </w:r>
          </w:p>
        </w:tc>
        <w:tc>
          <w:tcPr>
            <w:tcW w:w="5637" w:type="dxa"/>
            <w:noWrap w:val="0"/>
            <w:tcMar>
              <w:left w:w="75" w:type="dxa"/>
            </w:tcMar>
            <w:vAlign w:val="center"/>
          </w:tcPr>
          <w:p w14:paraId="2505969A">
            <w:pPr>
              <w:widowControl/>
              <w:adjustRightInd w:val="0"/>
              <w:snapToGrid w:val="0"/>
              <w:spacing w:line="360" w:lineRule="atLeast"/>
              <w:jc w:val="left"/>
              <w:rPr>
                <w:rFonts w:ascii="Times New Roman" w:hAnsi="Times New Roman" w:cs="Times New Roman"/>
                <w:color w:val="auto"/>
                <w:kern w:val="0"/>
                <w:sz w:val="21"/>
                <w:szCs w:val="21"/>
              </w:rPr>
            </w:pPr>
            <w:r>
              <w:rPr>
                <w:rFonts w:ascii="Times New Roman" w:hAnsi="Times New Roman" w:cs="Times New Roman"/>
                <w:color w:val="auto"/>
                <w:kern w:val="0"/>
                <w:sz w:val="21"/>
                <w:szCs w:val="21"/>
              </w:rPr>
              <w:t>符合第六章“响应文件格式”的规定，关键字迹清晰可辨</w:t>
            </w:r>
          </w:p>
        </w:tc>
      </w:tr>
      <w:tr w14:paraId="0861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6F34F88D">
            <w:pPr>
              <w:widowControl/>
              <w:adjustRightInd w:val="0"/>
              <w:snapToGrid w:val="0"/>
              <w:spacing w:line="360" w:lineRule="atLeast"/>
              <w:jc w:val="center"/>
              <w:rPr>
                <w:rFonts w:ascii="Times New Roman" w:hAnsi="Times New Roman" w:cs="Times New Roman"/>
                <w:color w:val="auto"/>
                <w:kern w:val="0"/>
                <w:sz w:val="21"/>
                <w:szCs w:val="21"/>
              </w:rPr>
            </w:pPr>
          </w:p>
        </w:tc>
        <w:tc>
          <w:tcPr>
            <w:tcW w:w="1551" w:type="dxa"/>
            <w:vMerge w:val="continue"/>
            <w:noWrap w:val="0"/>
            <w:vAlign w:val="center"/>
          </w:tcPr>
          <w:p w14:paraId="13AFAD7E">
            <w:pPr>
              <w:widowControl/>
              <w:adjustRightInd w:val="0"/>
              <w:snapToGrid w:val="0"/>
              <w:spacing w:line="360" w:lineRule="atLeast"/>
              <w:jc w:val="center"/>
              <w:rPr>
                <w:rFonts w:ascii="Times New Roman" w:hAnsi="Times New Roman" w:cs="Times New Roman"/>
                <w:color w:val="auto"/>
                <w:kern w:val="0"/>
                <w:sz w:val="21"/>
                <w:szCs w:val="21"/>
              </w:rPr>
            </w:pPr>
          </w:p>
        </w:tc>
        <w:tc>
          <w:tcPr>
            <w:tcW w:w="2042" w:type="dxa"/>
            <w:noWrap w:val="0"/>
            <w:tcMar>
              <w:left w:w="75" w:type="dxa"/>
            </w:tcMar>
            <w:vAlign w:val="center"/>
          </w:tcPr>
          <w:p w14:paraId="473892EB">
            <w:pPr>
              <w:widowControl/>
              <w:adjustRightInd w:val="0"/>
              <w:snapToGrid w:val="0"/>
              <w:spacing w:line="360" w:lineRule="atLeast"/>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签名及</w:t>
            </w:r>
            <w:r>
              <w:rPr>
                <w:rFonts w:ascii="Times New Roman" w:hAnsi="Times New Roman" w:cs="Times New Roman"/>
                <w:color w:val="auto"/>
                <w:kern w:val="0"/>
                <w:sz w:val="21"/>
                <w:szCs w:val="21"/>
              </w:rPr>
              <w:t>盖章</w:t>
            </w:r>
          </w:p>
        </w:tc>
        <w:tc>
          <w:tcPr>
            <w:tcW w:w="5637" w:type="dxa"/>
            <w:noWrap w:val="0"/>
            <w:tcMar>
              <w:left w:w="75" w:type="dxa"/>
            </w:tcMar>
            <w:vAlign w:val="center"/>
          </w:tcPr>
          <w:p w14:paraId="6C655BC7">
            <w:pPr>
              <w:widowControl/>
              <w:adjustRightInd w:val="0"/>
              <w:snapToGrid w:val="0"/>
              <w:spacing w:line="360" w:lineRule="atLeast"/>
              <w:jc w:val="left"/>
              <w:rPr>
                <w:rFonts w:ascii="Times New Roman" w:hAnsi="Times New Roman" w:cs="Times New Roman"/>
                <w:color w:val="auto"/>
                <w:kern w:val="0"/>
                <w:sz w:val="21"/>
                <w:szCs w:val="21"/>
              </w:rPr>
            </w:pPr>
            <w:r>
              <w:rPr>
                <w:rFonts w:ascii="Times New Roman" w:hAnsi="Times New Roman" w:cs="Times New Roman"/>
                <w:bCs/>
                <w:color w:val="auto"/>
                <w:kern w:val="0"/>
                <w:sz w:val="21"/>
                <w:szCs w:val="21"/>
              </w:rPr>
              <w:t>符合第二章“供应商须知”</w:t>
            </w:r>
            <w:r>
              <w:rPr>
                <w:rFonts w:ascii="Times New Roman" w:hAnsi="Times New Roman" w:cs="Times New Roman"/>
                <w:color w:val="auto"/>
                <w:sz w:val="21"/>
                <w:szCs w:val="21"/>
              </w:rPr>
              <w:t>规定</w:t>
            </w:r>
          </w:p>
        </w:tc>
      </w:tr>
      <w:tr w14:paraId="3E0C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35148D0E">
            <w:pPr>
              <w:widowControl/>
              <w:adjustRightInd w:val="0"/>
              <w:snapToGrid w:val="0"/>
              <w:spacing w:line="360" w:lineRule="atLeast"/>
              <w:jc w:val="center"/>
              <w:rPr>
                <w:rFonts w:ascii="Times New Roman" w:hAnsi="Times New Roman" w:cs="Times New Roman"/>
                <w:color w:val="auto"/>
                <w:kern w:val="0"/>
                <w:sz w:val="21"/>
                <w:szCs w:val="21"/>
              </w:rPr>
            </w:pPr>
          </w:p>
        </w:tc>
        <w:tc>
          <w:tcPr>
            <w:tcW w:w="1551" w:type="dxa"/>
            <w:vMerge w:val="continue"/>
            <w:noWrap w:val="0"/>
            <w:vAlign w:val="center"/>
          </w:tcPr>
          <w:p w14:paraId="20D2B1B8">
            <w:pPr>
              <w:widowControl/>
              <w:adjustRightInd w:val="0"/>
              <w:snapToGrid w:val="0"/>
              <w:spacing w:line="360" w:lineRule="atLeast"/>
              <w:jc w:val="center"/>
              <w:rPr>
                <w:rFonts w:ascii="Times New Roman" w:hAnsi="Times New Roman" w:cs="Times New Roman"/>
                <w:color w:val="auto"/>
                <w:kern w:val="0"/>
                <w:sz w:val="21"/>
                <w:szCs w:val="21"/>
              </w:rPr>
            </w:pPr>
          </w:p>
        </w:tc>
        <w:tc>
          <w:tcPr>
            <w:tcW w:w="2042" w:type="dxa"/>
            <w:noWrap w:val="0"/>
            <w:tcMar>
              <w:left w:w="75" w:type="dxa"/>
            </w:tcMar>
            <w:vAlign w:val="center"/>
          </w:tcPr>
          <w:p w14:paraId="033F9D34">
            <w:pPr>
              <w:widowControl/>
              <w:adjustRightInd w:val="0"/>
              <w:snapToGrid w:val="0"/>
              <w:spacing w:line="360" w:lineRule="atLeast"/>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U盘及响应文件份数</w:t>
            </w:r>
          </w:p>
        </w:tc>
        <w:tc>
          <w:tcPr>
            <w:tcW w:w="5637" w:type="dxa"/>
            <w:noWrap w:val="0"/>
            <w:tcMar>
              <w:left w:w="75" w:type="dxa"/>
            </w:tcMar>
            <w:vAlign w:val="center"/>
          </w:tcPr>
          <w:p w14:paraId="69CCD58B">
            <w:pPr>
              <w:widowControl/>
              <w:adjustRightInd w:val="0"/>
              <w:snapToGrid w:val="0"/>
              <w:spacing w:line="360" w:lineRule="atLeast"/>
              <w:jc w:val="left"/>
              <w:rPr>
                <w:rFonts w:ascii="Times New Roman" w:hAnsi="Times New Roman" w:cs="Times New Roman"/>
                <w:bCs/>
                <w:color w:val="auto"/>
                <w:kern w:val="0"/>
                <w:sz w:val="21"/>
                <w:szCs w:val="21"/>
              </w:rPr>
            </w:pPr>
            <w:r>
              <w:rPr>
                <w:rFonts w:ascii="Times New Roman" w:hAnsi="Times New Roman" w:cs="Times New Roman"/>
                <w:bCs/>
                <w:color w:val="auto"/>
                <w:kern w:val="0"/>
                <w:sz w:val="21"/>
                <w:szCs w:val="21"/>
              </w:rPr>
              <w:t>符合第二章“供应商须知”</w:t>
            </w:r>
            <w:r>
              <w:rPr>
                <w:rFonts w:ascii="Times New Roman" w:hAnsi="Times New Roman" w:cs="Times New Roman"/>
                <w:color w:val="auto"/>
                <w:sz w:val="21"/>
                <w:szCs w:val="21"/>
              </w:rPr>
              <w:t>规定</w:t>
            </w:r>
          </w:p>
        </w:tc>
      </w:tr>
      <w:tr w14:paraId="1C81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6BDD65E8">
            <w:pPr>
              <w:widowControl/>
              <w:adjustRightInd w:val="0"/>
              <w:snapToGrid w:val="0"/>
              <w:spacing w:line="360" w:lineRule="atLeast"/>
              <w:jc w:val="center"/>
              <w:rPr>
                <w:rFonts w:ascii="Times New Roman" w:hAnsi="Times New Roman" w:cs="Times New Roman"/>
                <w:color w:val="auto"/>
                <w:kern w:val="0"/>
                <w:sz w:val="21"/>
                <w:szCs w:val="21"/>
              </w:rPr>
            </w:pPr>
          </w:p>
        </w:tc>
        <w:tc>
          <w:tcPr>
            <w:tcW w:w="1551" w:type="dxa"/>
            <w:vMerge w:val="continue"/>
            <w:noWrap w:val="0"/>
            <w:vAlign w:val="center"/>
          </w:tcPr>
          <w:p w14:paraId="153D45CC">
            <w:pPr>
              <w:widowControl/>
              <w:adjustRightInd w:val="0"/>
              <w:snapToGrid w:val="0"/>
              <w:spacing w:line="360" w:lineRule="atLeast"/>
              <w:jc w:val="center"/>
              <w:rPr>
                <w:rFonts w:ascii="Times New Roman" w:hAnsi="Times New Roman" w:cs="Times New Roman"/>
                <w:color w:val="auto"/>
                <w:kern w:val="0"/>
                <w:sz w:val="21"/>
                <w:szCs w:val="21"/>
              </w:rPr>
            </w:pPr>
          </w:p>
        </w:tc>
        <w:tc>
          <w:tcPr>
            <w:tcW w:w="2042" w:type="dxa"/>
            <w:noWrap w:val="0"/>
            <w:tcMar>
              <w:left w:w="75" w:type="dxa"/>
            </w:tcMar>
            <w:vAlign w:val="center"/>
          </w:tcPr>
          <w:p w14:paraId="764AA815">
            <w:pPr>
              <w:widowControl/>
              <w:adjustRightInd w:val="0"/>
              <w:snapToGrid w:val="0"/>
              <w:spacing w:line="360" w:lineRule="atLeast"/>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装订及密封</w:t>
            </w:r>
          </w:p>
        </w:tc>
        <w:tc>
          <w:tcPr>
            <w:tcW w:w="5637" w:type="dxa"/>
            <w:noWrap w:val="0"/>
            <w:tcMar>
              <w:left w:w="75" w:type="dxa"/>
            </w:tcMar>
            <w:vAlign w:val="center"/>
          </w:tcPr>
          <w:p w14:paraId="2EAAEA2E">
            <w:pPr>
              <w:widowControl/>
              <w:adjustRightInd w:val="0"/>
              <w:snapToGrid w:val="0"/>
              <w:spacing w:line="360" w:lineRule="atLeast"/>
              <w:jc w:val="left"/>
              <w:rPr>
                <w:rFonts w:ascii="Times New Roman" w:hAnsi="Times New Roman" w:cs="Times New Roman"/>
                <w:bCs/>
                <w:color w:val="auto"/>
                <w:kern w:val="0"/>
                <w:sz w:val="21"/>
                <w:szCs w:val="21"/>
              </w:rPr>
            </w:pPr>
            <w:r>
              <w:rPr>
                <w:rFonts w:ascii="Times New Roman" w:hAnsi="Times New Roman" w:cs="Times New Roman"/>
                <w:bCs/>
                <w:color w:val="auto"/>
                <w:kern w:val="0"/>
                <w:sz w:val="21"/>
                <w:szCs w:val="21"/>
              </w:rPr>
              <w:t>符合第二章“供应商须知”</w:t>
            </w:r>
            <w:r>
              <w:rPr>
                <w:rFonts w:ascii="Times New Roman" w:hAnsi="Times New Roman" w:cs="Times New Roman"/>
                <w:color w:val="auto"/>
                <w:sz w:val="21"/>
                <w:szCs w:val="21"/>
              </w:rPr>
              <w:t>规定</w:t>
            </w:r>
          </w:p>
        </w:tc>
      </w:tr>
      <w:tr w14:paraId="5156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restart"/>
            <w:noWrap w:val="0"/>
            <w:vAlign w:val="center"/>
          </w:tcPr>
          <w:p w14:paraId="63859B3A">
            <w:pPr>
              <w:widowControl/>
              <w:adjustRightInd w:val="0"/>
              <w:snapToGrid w:val="0"/>
              <w:spacing w:line="360" w:lineRule="atLeast"/>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w:t>
            </w:r>
            <w:r>
              <w:rPr>
                <w:rFonts w:ascii="Times New Roman" w:hAnsi="Times New Roman" w:cs="Times New Roman"/>
                <w:color w:val="auto"/>
                <w:kern w:val="0"/>
                <w:sz w:val="21"/>
                <w:szCs w:val="21"/>
              </w:rPr>
              <w:t>.</w:t>
            </w:r>
            <w:r>
              <w:rPr>
                <w:rFonts w:hint="eastAsia" w:ascii="Times New Roman" w:hAnsi="Times New Roman" w:cs="Times New Roman"/>
                <w:color w:val="auto"/>
                <w:kern w:val="0"/>
                <w:sz w:val="21"/>
                <w:szCs w:val="21"/>
                <w:lang w:val="en-US" w:eastAsia="zh-CN"/>
              </w:rPr>
              <w:t>2</w:t>
            </w:r>
          </w:p>
        </w:tc>
        <w:tc>
          <w:tcPr>
            <w:tcW w:w="1551" w:type="dxa"/>
            <w:vMerge w:val="restart"/>
            <w:noWrap w:val="0"/>
            <w:vAlign w:val="center"/>
          </w:tcPr>
          <w:p w14:paraId="191DE9BE">
            <w:pPr>
              <w:widowControl/>
              <w:adjustRightInd w:val="0"/>
              <w:snapToGrid w:val="0"/>
              <w:spacing w:line="360" w:lineRule="atLeast"/>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资格评审标准</w:t>
            </w:r>
          </w:p>
        </w:tc>
        <w:tc>
          <w:tcPr>
            <w:tcW w:w="2042" w:type="dxa"/>
            <w:noWrap w:val="0"/>
            <w:tcMar>
              <w:left w:w="75" w:type="dxa"/>
            </w:tcMar>
            <w:vAlign w:val="center"/>
          </w:tcPr>
          <w:p w14:paraId="64C4E34C">
            <w:pPr>
              <w:widowControl/>
              <w:adjustRightInd w:val="0"/>
              <w:snapToGrid w:val="0"/>
              <w:spacing w:line="360" w:lineRule="atLeast"/>
              <w:jc w:val="center"/>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资质条件、</w:t>
            </w:r>
            <w:r>
              <w:rPr>
                <w:rFonts w:hint="eastAsia" w:ascii="Times New Roman" w:hAnsi="Times New Roman" w:cs="Times New Roman"/>
                <w:color w:val="auto"/>
                <w:kern w:val="0"/>
                <w:sz w:val="21"/>
                <w:szCs w:val="21"/>
                <w:lang w:val="en-US" w:eastAsia="zh-CN"/>
              </w:rPr>
              <w:t>能力</w:t>
            </w:r>
            <w:r>
              <w:rPr>
                <w:rFonts w:hint="eastAsia" w:ascii="Times New Roman" w:hAnsi="Times New Roman" w:cs="Times New Roman"/>
                <w:color w:val="auto"/>
                <w:kern w:val="0"/>
                <w:sz w:val="21"/>
                <w:szCs w:val="21"/>
              </w:rPr>
              <w:t>、信誉</w:t>
            </w:r>
          </w:p>
        </w:tc>
        <w:tc>
          <w:tcPr>
            <w:tcW w:w="5637" w:type="dxa"/>
            <w:noWrap w:val="0"/>
            <w:tcMar>
              <w:left w:w="75" w:type="dxa"/>
            </w:tcMar>
            <w:vAlign w:val="center"/>
          </w:tcPr>
          <w:p w14:paraId="4FEDD19D">
            <w:pPr>
              <w:adjustRightInd w:val="0"/>
              <w:snapToGrid w:val="0"/>
              <w:spacing w:line="360" w:lineRule="atLeast"/>
              <w:jc w:val="left"/>
              <w:rPr>
                <w:rFonts w:ascii="Times New Roman" w:hAnsi="Times New Roman" w:cs="Times New Roman"/>
                <w:color w:val="auto"/>
                <w:kern w:val="0"/>
                <w:sz w:val="21"/>
                <w:szCs w:val="21"/>
              </w:rPr>
            </w:pPr>
            <w:r>
              <w:rPr>
                <w:rFonts w:ascii="Times New Roman" w:hAnsi="Times New Roman" w:cs="Times New Roman"/>
                <w:color w:val="auto"/>
                <w:kern w:val="0"/>
                <w:sz w:val="21"/>
                <w:szCs w:val="21"/>
              </w:rPr>
              <w:t>符合第二章“供应商须知”</w:t>
            </w:r>
            <w:r>
              <w:rPr>
                <w:rFonts w:ascii="Times New Roman" w:hAnsi="Times New Roman" w:cs="Times New Roman"/>
                <w:color w:val="auto"/>
                <w:sz w:val="21"/>
                <w:szCs w:val="21"/>
              </w:rPr>
              <w:t>规定</w:t>
            </w:r>
          </w:p>
        </w:tc>
      </w:tr>
      <w:tr w14:paraId="3CC3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6073BEBB">
            <w:pPr>
              <w:widowControl/>
              <w:adjustRightInd w:val="0"/>
              <w:snapToGrid w:val="0"/>
              <w:spacing w:line="360" w:lineRule="atLeast"/>
              <w:jc w:val="center"/>
              <w:rPr>
                <w:rFonts w:hint="eastAsia" w:ascii="Times New Roman" w:hAnsi="Times New Roman" w:cs="Times New Roman"/>
                <w:color w:val="auto"/>
                <w:kern w:val="0"/>
                <w:sz w:val="21"/>
                <w:szCs w:val="21"/>
                <w:lang w:val="en-US" w:eastAsia="zh-CN"/>
              </w:rPr>
            </w:pPr>
          </w:p>
        </w:tc>
        <w:tc>
          <w:tcPr>
            <w:tcW w:w="1551" w:type="dxa"/>
            <w:vMerge w:val="continue"/>
            <w:noWrap w:val="0"/>
            <w:vAlign w:val="center"/>
          </w:tcPr>
          <w:p w14:paraId="66A2F37F">
            <w:pPr>
              <w:widowControl/>
              <w:adjustRightInd w:val="0"/>
              <w:snapToGrid w:val="0"/>
              <w:spacing w:line="360" w:lineRule="atLeast"/>
              <w:jc w:val="center"/>
              <w:rPr>
                <w:rFonts w:ascii="Times New Roman" w:hAnsi="Times New Roman" w:cs="Times New Roman"/>
                <w:color w:val="auto"/>
                <w:kern w:val="0"/>
                <w:sz w:val="21"/>
                <w:szCs w:val="21"/>
              </w:rPr>
            </w:pPr>
          </w:p>
        </w:tc>
        <w:tc>
          <w:tcPr>
            <w:tcW w:w="2042" w:type="dxa"/>
            <w:noWrap w:val="0"/>
            <w:tcMar>
              <w:left w:w="75" w:type="dxa"/>
            </w:tcMar>
            <w:vAlign w:val="center"/>
          </w:tcPr>
          <w:p w14:paraId="19673FB5">
            <w:pPr>
              <w:widowControl/>
              <w:adjustRightInd w:val="0"/>
              <w:snapToGrid w:val="0"/>
              <w:spacing w:line="360" w:lineRule="atLeas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供应商评价</w:t>
            </w:r>
          </w:p>
        </w:tc>
        <w:tc>
          <w:tcPr>
            <w:tcW w:w="5637" w:type="dxa"/>
            <w:noWrap w:val="0"/>
            <w:tcMar>
              <w:left w:w="75" w:type="dxa"/>
            </w:tcMar>
            <w:vAlign w:val="center"/>
          </w:tcPr>
          <w:p w14:paraId="62853394">
            <w:pPr>
              <w:adjustRightInd w:val="0"/>
              <w:snapToGrid w:val="0"/>
              <w:spacing w:line="360" w:lineRule="atLeast"/>
              <w:jc w:val="left"/>
              <w:rPr>
                <w:rFonts w:ascii="Times New Roman" w:hAnsi="Times New Roman" w:cs="Times New Roman"/>
                <w:color w:val="auto"/>
                <w:kern w:val="0"/>
                <w:sz w:val="21"/>
                <w:szCs w:val="21"/>
              </w:rPr>
            </w:pPr>
            <w:r>
              <w:rPr>
                <w:rFonts w:hint="eastAsia" w:ascii="Times New Roman" w:hAnsi="Times New Roman" w:eastAsia="宋体" w:cs="Times New Roman"/>
                <w:bCs/>
                <w:color w:val="auto"/>
                <w:kern w:val="0"/>
                <w:sz w:val="21"/>
                <w:szCs w:val="21"/>
                <w:lang w:val="en-US" w:eastAsia="zh-CN"/>
              </w:rPr>
              <w:t>符合第一章“采购公告”规定</w:t>
            </w:r>
          </w:p>
        </w:tc>
      </w:tr>
      <w:tr w14:paraId="2293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restart"/>
            <w:noWrap w:val="0"/>
            <w:vAlign w:val="center"/>
          </w:tcPr>
          <w:p w14:paraId="39CE3B27">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2.3</w:t>
            </w:r>
          </w:p>
        </w:tc>
        <w:tc>
          <w:tcPr>
            <w:tcW w:w="1551" w:type="dxa"/>
            <w:vMerge w:val="restart"/>
            <w:noWrap w:val="0"/>
            <w:vAlign w:val="center"/>
          </w:tcPr>
          <w:p w14:paraId="37A5C889">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响应性评审标准</w:t>
            </w:r>
          </w:p>
        </w:tc>
        <w:tc>
          <w:tcPr>
            <w:tcW w:w="2042" w:type="dxa"/>
            <w:noWrap w:val="0"/>
            <w:tcMar>
              <w:left w:w="75" w:type="dxa"/>
            </w:tcMar>
            <w:vAlign w:val="center"/>
          </w:tcPr>
          <w:p w14:paraId="242F44A0">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报价内容</w:t>
            </w:r>
          </w:p>
        </w:tc>
        <w:tc>
          <w:tcPr>
            <w:tcW w:w="5637" w:type="dxa"/>
            <w:noWrap w:val="0"/>
            <w:tcMar>
              <w:left w:w="75" w:type="dxa"/>
            </w:tcMar>
            <w:vAlign w:val="center"/>
          </w:tcPr>
          <w:p w14:paraId="5AD9C707">
            <w:pPr>
              <w:widowControl/>
              <w:jc w:val="left"/>
              <w:rPr>
                <w:rFonts w:hint="eastAsia" w:ascii="Times New Roman" w:hAnsi="Times New Roman" w:eastAsia="宋体" w:cs="Times New Roman"/>
                <w:bCs/>
                <w:color w:val="auto"/>
                <w:kern w:val="0"/>
                <w:sz w:val="21"/>
                <w:szCs w:val="21"/>
                <w:lang w:val="en-US" w:eastAsia="zh-CN"/>
              </w:rPr>
            </w:pPr>
            <w:r>
              <w:rPr>
                <w:rFonts w:ascii="Times New Roman" w:hAnsi="Times New Roman" w:cs="Times New Roman"/>
                <w:color w:val="auto"/>
                <w:kern w:val="0"/>
                <w:sz w:val="21"/>
                <w:szCs w:val="21"/>
              </w:rPr>
              <w:t>符合第六章“响应文件格式”的规定</w:t>
            </w:r>
          </w:p>
        </w:tc>
      </w:tr>
      <w:tr w14:paraId="2099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3A6AF531">
            <w:pPr>
              <w:widowControl/>
              <w:jc w:val="center"/>
              <w:rPr>
                <w:rFonts w:hint="eastAsia" w:ascii="Times New Roman" w:hAnsi="Times New Roman" w:eastAsia="宋体" w:cs="Times New Roman"/>
                <w:bCs/>
                <w:color w:val="auto"/>
                <w:kern w:val="0"/>
                <w:sz w:val="21"/>
                <w:szCs w:val="21"/>
                <w:lang w:val="en-US" w:eastAsia="zh-CN"/>
              </w:rPr>
            </w:pPr>
          </w:p>
        </w:tc>
        <w:tc>
          <w:tcPr>
            <w:tcW w:w="1551" w:type="dxa"/>
            <w:vMerge w:val="continue"/>
            <w:noWrap w:val="0"/>
            <w:vAlign w:val="center"/>
          </w:tcPr>
          <w:p w14:paraId="6ADD8303">
            <w:pPr>
              <w:widowControl/>
              <w:jc w:val="center"/>
              <w:rPr>
                <w:rFonts w:hint="eastAsia" w:ascii="Times New Roman" w:hAnsi="Times New Roman" w:eastAsia="宋体" w:cs="Times New Roman"/>
                <w:bCs/>
                <w:color w:val="auto"/>
                <w:kern w:val="0"/>
                <w:sz w:val="21"/>
                <w:szCs w:val="21"/>
                <w:lang w:val="en-US" w:eastAsia="zh-CN"/>
              </w:rPr>
            </w:pPr>
          </w:p>
        </w:tc>
        <w:tc>
          <w:tcPr>
            <w:tcW w:w="2042" w:type="dxa"/>
            <w:noWrap w:val="0"/>
            <w:tcMar>
              <w:left w:w="75" w:type="dxa"/>
            </w:tcMar>
            <w:vAlign w:val="center"/>
          </w:tcPr>
          <w:p w14:paraId="23789D0F">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询比文件的获取</w:t>
            </w:r>
          </w:p>
        </w:tc>
        <w:tc>
          <w:tcPr>
            <w:tcW w:w="5637" w:type="dxa"/>
            <w:noWrap w:val="0"/>
            <w:tcMar>
              <w:left w:w="75" w:type="dxa"/>
            </w:tcMar>
            <w:vAlign w:val="center"/>
          </w:tcPr>
          <w:p w14:paraId="3F69D343">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符合第一章“采购公告”规定</w:t>
            </w:r>
          </w:p>
        </w:tc>
      </w:tr>
      <w:tr w14:paraId="1464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4446EB23">
            <w:pPr>
              <w:widowControl/>
              <w:jc w:val="center"/>
              <w:rPr>
                <w:rFonts w:hint="eastAsia" w:ascii="Times New Roman" w:hAnsi="Times New Roman" w:eastAsia="宋体" w:cs="Times New Roman"/>
                <w:bCs/>
                <w:color w:val="auto"/>
                <w:kern w:val="0"/>
                <w:sz w:val="21"/>
                <w:szCs w:val="21"/>
                <w:lang w:val="en-US" w:eastAsia="zh-CN"/>
              </w:rPr>
            </w:pPr>
          </w:p>
        </w:tc>
        <w:tc>
          <w:tcPr>
            <w:tcW w:w="1551" w:type="dxa"/>
            <w:vMerge w:val="continue"/>
            <w:noWrap w:val="0"/>
            <w:vAlign w:val="center"/>
          </w:tcPr>
          <w:p w14:paraId="6CBF5893">
            <w:pPr>
              <w:widowControl/>
              <w:jc w:val="center"/>
              <w:rPr>
                <w:rFonts w:hint="eastAsia" w:ascii="Times New Roman" w:hAnsi="Times New Roman" w:eastAsia="宋体" w:cs="Times New Roman"/>
                <w:bCs/>
                <w:color w:val="auto"/>
                <w:kern w:val="0"/>
                <w:sz w:val="21"/>
                <w:szCs w:val="21"/>
                <w:lang w:val="en-US" w:eastAsia="zh-CN"/>
              </w:rPr>
            </w:pPr>
          </w:p>
        </w:tc>
        <w:tc>
          <w:tcPr>
            <w:tcW w:w="2042" w:type="dxa"/>
            <w:tcBorders>
              <w:top w:val="single" w:color="auto" w:sz="4" w:space="0"/>
              <w:left w:val="single" w:color="auto" w:sz="4" w:space="0"/>
              <w:right w:val="single" w:color="auto" w:sz="4" w:space="0"/>
            </w:tcBorders>
            <w:noWrap w:val="0"/>
            <w:tcMar>
              <w:left w:w="75" w:type="dxa"/>
            </w:tcMar>
            <w:vAlign w:val="center"/>
          </w:tcPr>
          <w:p w14:paraId="4F4F0E6F">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联合体</w:t>
            </w:r>
          </w:p>
        </w:tc>
        <w:tc>
          <w:tcPr>
            <w:tcW w:w="5637" w:type="dxa"/>
            <w:tcBorders>
              <w:top w:val="outset" w:color="auto" w:sz="6" w:space="0"/>
              <w:left w:val="single" w:color="auto" w:sz="4" w:space="0"/>
              <w:right w:val="outset" w:color="auto" w:sz="6" w:space="0"/>
            </w:tcBorders>
            <w:noWrap w:val="0"/>
            <w:tcMar>
              <w:left w:w="75" w:type="dxa"/>
            </w:tcMar>
            <w:vAlign w:val="center"/>
          </w:tcPr>
          <w:p w14:paraId="1E0D9293">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未以联合体形式报价</w:t>
            </w:r>
          </w:p>
        </w:tc>
      </w:tr>
      <w:tr w14:paraId="5041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3E601CC1">
            <w:pPr>
              <w:widowControl/>
              <w:jc w:val="center"/>
              <w:rPr>
                <w:rFonts w:hint="eastAsia" w:ascii="Times New Roman" w:hAnsi="Times New Roman" w:eastAsia="宋体" w:cs="Times New Roman"/>
                <w:bCs/>
                <w:color w:val="auto"/>
                <w:kern w:val="0"/>
                <w:sz w:val="21"/>
                <w:szCs w:val="21"/>
                <w:lang w:val="en-US" w:eastAsia="zh-CN"/>
              </w:rPr>
            </w:pPr>
          </w:p>
        </w:tc>
        <w:tc>
          <w:tcPr>
            <w:tcW w:w="1551" w:type="dxa"/>
            <w:vMerge w:val="continue"/>
            <w:noWrap w:val="0"/>
            <w:vAlign w:val="center"/>
          </w:tcPr>
          <w:p w14:paraId="445B7696">
            <w:pPr>
              <w:widowControl/>
              <w:jc w:val="center"/>
              <w:rPr>
                <w:rFonts w:hint="eastAsia" w:ascii="Times New Roman" w:hAnsi="Times New Roman" w:eastAsia="宋体" w:cs="Times New Roman"/>
                <w:bCs/>
                <w:color w:val="auto"/>
                <w:kern w:val="0"/>
                <w:sz w:val="21"/>
                <w:szCs w:val="21"/>
                <w:lang w:val="en-US" w:eastAsia="zh-CN"/>
              </w:rPr>
            </w:pPr>
          </w:p>
        </w:tc>
        <w:tc>
          <w:tcPr>
            <w:tcW w:w="2042" w:type="dxa"/>
            <w:tcBorders>
              <w:top w:val="single" w:color="auto" w:sz="4" w:space="0"/>
              <w:left w:val="single" w:color="auto" w:sz="4" w:space="0"/>
              <w:right w:val="single" w:color="auto" w:sz="4" w:space="0"/>
            </w:tcBorders>
            <w:noWrap w:val="0"/>
            <w:tcMar>
              <w:left w:w="75" w:type="dxa"/>
            </w:tcMar>
            <w:vAlign w:val="center"/>
          </w:tcPr>
          <w:p w14:paraId="0155E40E">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分包</w:t>
            </w:r>
          </w:p>
        </w:tc>
        <w:tc>
          <w:tcPr>
            <w:tcW w:w="5637" w:type="dxa"/>
            <w:tcBorders>
              <w:top w:val="outset" w:color="auto" w:sz="6" w:space="0"/>
              <w:left w:val="single" w:color="auto" w:sz="4" w:space="0"/>
              <w:right w:val="outset" w:color="auto" w:sz="6" w:space="0"/>
            </w:tcBorders>
            <w:noWrap w:val="0"/>
            <w:tcMar>
              <w:left w:w="75" w:type="dxa"/>
            </w:tcMar>
            <w:vAlign w:val="center"/>
          </w:tcPr>
          <w:p w14:paraId="5570AAE3">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不得分包</w:t>
            </w:r>
          </w:p>
        </w:tc>
      </w:tr>
      <w:tr w14:paraId="3D3D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078E01BC">
            <w:pPr>
              <w:widowControl/>
              <w:jc w:val="center"/>
              <w:rPr>
                <w:rFonts w:hint="eastAsia" w:ascii="Times New Roman" w:hAnsi="Times New Roman" w:eastAsia="宋体" w:cs="Times New Roman"/>
                <w:bCs/>
                <w:color w:val="auto"/>
                <w:kern w:val="0"/>
                <w:sz w:val="21"/>
                <w:szCs w:val="21"/>
                <w:lang w:val="en-US" w:eastAsia="zh-CN"/>
              </w:rPr>
            </w:pPr>
          </w:p>
        </w:tc>
        <w:tc>
          <w:tcPr>
            <w:tcW w:w="1551" w:type="dxa"/>
            <w:vMerge w:val="continue"/>
            <w:noWrap w:val="0"/>
            <w:vAlign w:val="center"/>
          </w:tcPr>
          <w:p w14:paraId="1C04140F">
            <w:pPr>
              <w:widowControl/>
              <w:jc w:val="center"/>
              <w:rPr>
                <w:rFonts w:hint="eastAsia" w:ascii="Times New Roman" w:hAnsi="Times New Roman" w:eastAsia="宋体" w:cs="Times New Roman"/>
                <w:bCs/>
                <w:color w:val="auto"/>
                <w:kern w:val="0"/>
                <w:sz w:val="21"/>
                <w:szCs w:val="21"/>
                <w:lang w:val="en-US" w:eastAsia="zh-CN"/>
              </w:rPr>
            </w:pPr>
          </w:p>
        </w:tc>
        <w:tc>
          <w:tcPr>
            <w:tcW w:w="2042" w:type="dxa"/>
            <w:tcBorders>
              <w:top w:val="single" w:color="auto" w:sz="4" w:space="0"/>
              <w:left w:val="single" w:color="auto" w:sz="4" w:space="0"/>
              <w:right w:val="single" w:color="auto" w:sz="4" w:space="0"/>
            </w:tcBorders>
            <w:noWrap w:val="0"/>
            <w:tcMar>
              <w:left w:w="75" w:type="dxa"/>
            </w:tcMar>
            <w:vAlign w:val="center"/>
          </w:tcPr>
          <w:p w14:paraId="4700B12B">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报价</w:t>
            </w:r>
          </w:p>
        </w:tc>
        <w:tc>
          <w:tcPr>
            <w:tcW w:w="5637" w:type="dxa"/>
            <w:tcBorders>
              <w:top w:val="outset" w:color="auto" w:sz="6" w:space="0"/>
              <w:left w:val="single" w:color="auto" w:sz="4" w:space="0"/>
              <w:right w:val="outset" w:color="auto" w:sz="6" w:space="0"/>
            </w:tcBorders>
            <w:noWrap w:val="0"/>
            <w:tcMar>
              <w:left w:w="75" w:type="dxa"/>
            </w:tcMar>
            <w:vAlign w:val="center"/>
          </w:tcPr>
          <w:p w14:paraId="57DA7E09">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（1）报价函及报价清单中均填写了报价费率；</w:t>
            </w:r>
          </w:p>
          <w:p w14:paraId="02A816C2">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（2）已标价的报价清单报价和报价函的报价费率一致；</w:t>
            </w:r>
          </w:p>
          <w:p w14:paraId="74060FE7">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（3）未出现数量级错误及单位错误。</w:t>
            </w:r>
          </w:p>
        </w:tc>
      </w:tr>
      <w:tr w14:paraId="7A32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7" w:type="dxa"/>
            <w:vMerge w:val="continue"/>
            <w:noWrap w:val="0"/>
            <w:vAlign w:val="center"/>
          </w:tcPr>
          <w:p w14:paraId="74ADCA77">
            <w:pPr>
              <w:widowControl/>
              <w:jc w:val="center"/>
              <w:rPr>
                <w:rFonts w:hint="eastAsia" w:ascii="Times New Roman" w:hAnsi="Times New Roman" w:eastAsia="宋体" w:cs="Times New Roman"/>
                <w:bCs/>
                <w:color w:val="auto"/>
                <w:kern w:val="0"/>
                <w:sz w:val="21"/>
                <w:szCs w:val="21"/>
                <w:lang w:val="en-US" w:eastAsia="zh-CN"/>
              </w:rPr>
            </w:pPr>
          </w:p>
        </w:tc>
        <w:tc>
          <w:tcPr>
            <w:tcW w:w="1551" w:type="dxa"/>
            <w:vMerge w:val="continue"/>
            <w:noWrap w:val="0"/>
            <w:vAlign w:val="center"/>
          </w:tcPr>
          <w:p w14:paraId="6B396897">
            <w:pPr>
              <w:widowControl/>
              <w:jc w:val="center"/>
              <w:rPr>
                <w:rFonts w:hint="eastAsia" w:ascii="Times New Roman" w:hAnsi="Times New Roman" w:eastAsia="宋体" w:cs="Times New Roman"/>
                <w:bCs/>
                <w:color w:val="auto"/>
                <w:kern w:val="0"/>
                <w:sz w:val="21"/>
                <w:szCs w:val="21"/>
                <w:lang w:val="en-US" w:eastAsia="zh-CN"/>
              </w:rPr>
            </w:pPr>
          </w:p>
        </w:tc>
        <w:tc>
          <w:tcPr>
            <w:tcW w:w="2042" w:type="dxa"/>
            <w:noWrap w:val="0"/>
            <w:tcMar>
              <w:left w:w="75" w:type="dxa"/>
            </w:tcMar>
            <w:vAlign w:val="center"/>
          </w:tcPr>
          <w:p w14:paraId="0046B06C">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其他实质性要求</w:t>
            </w:r>
          </w:p>
        </w:tc>
        <w:tc>
          <w:tcPr>
            <w:tcW w:w="5637" w:type="dxa"/>
            <w:noWrap w:val="0"/>
            <w:tcMar>
              <w:left w:w="75" w:type="dxa"/>
            </w:tcMar>
            <w:vAlign w:val="center"/>
          </w:tcPr>
          <w:p w14:paraId="2168B164">
            <w:pPr>
              <w:widowControl/>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符合询比文件的其他实质性要求和条件</w:t>
            </w:r>
          </w:p>
        </w:tc>
      </w:tr>
    </w:tbl>
    <w:p w14:paraId="7D864E2A">
      <w:pPr>
        <w:widowControl/>
        <w:jc w:val="center"/>
        <w:rPr>
          <w:rFonts w:hint="eastAsia" w:ascii="Times New Roman" w:hAnsi="Times New Roman" w:eastAsia="宋体" w:cs="Times New Roman"/>
          <w:bCs/>
          <w:color w:val="auto"/>
          <w:kern w:val="0"/>
          <w:sz w:val="18"/>
          <w:szCs w:val="18"/>
          <w:lang w:val="en-US" w:eastAsia="zh-CN"/>
        </w:rPr>
      </w:pPr>
    </w:p>
    <w:tbl>
      <w:tblPr>
        <w:tblStyle w:val="22"/>
        <w:tblW w:w="9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587"/>
        <w:gridCol w:w="2089"/>
        <w:gridCol w:w="5546"/>
      </w:tblGrid>
      <w:tr w14:paraId="725CE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77" w:type="dxa"/>
            <w:gridSpan w:val="2"/>
            <w:tcBorders>
              <w:top w:val="single" w:color="auto" w:sz="4" w:space="0"/>
              <w:bottom w:val="single" w:color="auto" w:sz="4" w:space="0"/>
              <w:right w:val="single" w:color="auto" w:sz="4" w:space="0"/>
            </w:tcBorders>
            <w:noWrap w:val="0"/>
            <w:vAlign w:val="center"/>
          </w:tcPr>
          <w:p w14:paraId="1BE58B71">
            <w:pPr>
              <w:widowControl/>
              <w:jc w:val="center"/>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条款号</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0FDC2DE0">
            <w:pPr>
              <w:widowControl/>
              <w:jc w:val="center"/>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量化因素</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B923A1A">
            <w:pPr>
              <w:widowControl/>
              <w:jc w:val="center"/>
              <w:rPr>
                <w:rFonts w:hint="eastAsia" w:ascii="Times New Roman" w:hAnsi="Times New Roman" w:eastAsia="宋体" w:cs="Times New Roman"/>
                <w:b/>
                <w:bCs/>
                <w:i w:val="0"/>
                <w:iCs w:val="0"/>
                <w:color w:val="auto"/>
                <w:sz w:val="21"/>
                <w:szCs w:val="21"/>
                <w:lang w:val="en-US" w:eastAsia="zh-CN"/>
              </w:rPr>
            </w:pPr>
            <w:r>
              <w:rPr>
                <w:rFonts w:hint="eastAsia" w:ascii="Times New Roman" w:hAnsi="Times New Roman" w:eastAsia="宋体" w:cs="Times New Roman"/>
                <w:b/>
                <w:bCs/>
                <w:i w:val="0"/>
                <w:iCs w:val="0"/>
                <w:color w:val="auto"/>
                <w:sz w:val="21"/>
                <w:szCs w:val="21"/>
                <w:lang w:val="en-US" w:eastAsia="zh-CN"/>
              </w:rPr>
              <w:t>量化标准</w:t>
            </w:r>
          </w:p>
        </w:tc>
      </w:tr>
      <w:tr w14:paraId="493C9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bottom w:val="single" w:color="auto" w:sz="4" w:space="0"/>
              <w:right w:val="single" w:color="auto" w:sz="4" w:space="0"/>
            </w:tcBorders>
            <w:noWrap w:val="0"/>
            <w:vAlign w:val="center"/>
          </w:tcPr>
          <w:p w14:paraId="1B7AA679">
            <w:pPr>
              <w:widowControl/>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3.1</w:t>
            </w:r>
          </w:p>
        </w:tc>
        <w:tc>
          <w:tcPr>
            <w:tcW w:w="1587" w:type="dxa"/>
            <w:tcBorders>
              <w:top w:val="single" w:color="auto" w:sz="4" w:space="0"/>
              <w:bottom w:val="single" w:color="auto" w:sz="4" w:space="0"/>
              <w:right w:val="single" w:color="auto" w:sz="4" w:space="0"/>
            </w:tcBorders>
            <w:noWrap w:val="0"/>
            <w:vAlign w:val="center"/>
          </w:tcPr>
          <w:p w14:paraId="3B9C3945">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详细评审标准</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0F8FA6C">
            <w:pPr>
              <w:widowControl/>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评审价计算</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45BA1A4D">
            <w:pPr>
              <w:widowControl/>
              <w:jc w:val="left"/>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评审价＝报价函的报价费率</w:t>
            </w:r>
          </w:p>
        </w:tc>
      </w:tr>
    </w:tbl>
    <w:p w14:paraId="7D3A947D">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color w:val="auto"/>
          <w:sz w:val="29"/>
          <w:szCs w:val="29"/>
        </w:rPr>
        <w:br w:type="page"/>
      </w:r>
      <w:r>
        <w:rPr>
          <w:rFonts w:ascii="Times New Roman" w:hAnsi="Times New Roman" w:eastAsia="黑体" w:cs="Times New Roman"/>
          <w:bCs/>
          <w:color w:val="auto"/>
          <w:sz w:val="24"/>
          <w:szCs w:val="32"/>
        </w:rPr>
        <w:t>1. 评审方法</w:t>
      </w:r>
    </w:p>
    <w:p w14:paraId="4635D52D">
      <w:pPr>
        <w:spacing w:line="440" w:lineRule="exact"/>
        <w:ind w:firstLine="420"/>
        <w:rPr>
          <w:rFonts w:ascii="Times New Roman" w:hAnsi="Times New Roman" w:cs="Times New Roman"/>
          <w:color w:val="auto"/>
        </w:rPr>
      </w:pPr>
      <w:r>
        <w:rPr>
          <w:rFonts w:ascii="Times New Roman" w:hAnsi="Times New Roman" w:cs="Times New Roman"/>
          <w:color w:val="auto"/>
        </w:rPr>
        <w:t>本次评</w:t>
      </w:r>
      <w:r>
        <w:rPr>
          <w:rFonts w:hint="eastAsia" w:ascii="Times New Roman" w:hAnsi="Times New Roman" w:cs="Times New Roman"/>
          <w:color w:val="auto"/>
        </w:rPr>
        <w:t>审</w:t>
      </w:r>
      <w:r>
        <w:rPr>
          <w:rFonts w:ascii="Times New Roman" w:hAnsi="Times New Roman" w:cs="Times New Roman"/>
          <w:color w:val="auto"/>
        </w:rPr>
        <w:t>采用</w:t>
      </w:r>
      <w:r>
        <w:rPr>
          <w:rFonts w:hint="eastAsia" w:ascii="Times New Roman" w:hAnsi="Times New Roman" w:eastAsia="宋体" w:cs="Times New Roman"/>
          <w:color w:val="auto"/>
          <w:lang w:eastAsia="zh-CN"/>
        </w:rPr>
        <w:t>最</w:t>
      </w:r>
      <w:r>
        <w:rPr>
          <w:rFonts w:hint="eastAsia" w:ascii="Times New Roman" w:hAnsi="Times New Roman" w:cs="Times New Roman"/>
          <w:color w:val="auto"/>
          <w:lang w:val="en-US" w:eastAsia="zh-CN"/>
        </w:rPr>
        <w:t>低</w:t>
      </w:r>
      <w:r>
        <w:rPr>
          <w:rFonts w:ascii="Times New Roman" w:hAnsi="Times New Roman" w:cs="Times New Roman"/>
          <w:color w:val="auto"/>
        </w:rPr>
        <w:t>价法。</w:t>
      </w:r>
      <w:r>
        <w:rPr>
          <w:rFonts w:hint="eastAsia" w:ascii="Times New Roman" w:hAnsi="Times New Roman" w:cs="Times New Roman"/>
          <w:color w:val="auto"/>
        </w:rPr>
        <w:t>评审小组</w:t>
      </w:r>
      <w:r>
        <w:rPr>
          <w:rFonts w:ascii="Times New Roman" w:hAnsi="Times New Roman" w:cs="Times New Roman"/>
          <w:color w:val="auto"/>
        </w:rPr>
        <w:t>对满足</w:t>
      </w:r>
      <w:r>
        <w:rPr>
          <w:rFonts w:hint="eastAsia" w:ascii="Times New Roman" w:hAnsi="Times New Roman" w:cs="Times New Roman"/>
          <w:color w:val="auto"/>
        </w:rPr>
        <w:t>询比文件</w:t>
      </w:r>
      <w:r>
        <w:rPr>
          <w:rFonts w:ascii="Times New Roman" w:hAnsi="Times New Roman" w:cs="Times New Roman"/>
          <w:color w:val="auto"/>
        </w:rPr>
        <w:t>实质性要求的</w:t>
      </w:r>
      <w:r>
        <w:rPr>
          <w:rFonts w:hint="eastAsia" w:ascii="Times New Roman" w:hAnsi="Times New Roman" w:cs="Times New Roman"/>
          <w:color w:val="auto"/>
        </w:rPr>
        <w:t>响应</w:t>
      </w:r>
      <w:r>
        <w:rPr>
          <w:rFonts w:ascii="Times New Roman" w:hAnsi="Times New Roman" w:cs="Times New Roman"/>
          <w:color w:val="auto"/>
        </w:rPr>
        <w:t>文件，按照</w:t>
      </w:r>
      <w:r>
        <w:rPr>
          <w:rFonts w:hint="eastAsia" w:ascii="Times New Roman" w:hAnsi="Times New Roman" w:cs="Times New Roman"/>
          <w:color w:val="auto"/>
          <w:lang w:val="en-US" w:eastAsia="zh-CN"/>
        </w:rPr>
        <w:t>评审办法</w:t>
      </w:r>
      <w:r>
        <w:rPr>
          <w:rFonts w:ascii="Times New Roman" w:hAnsi="Times New Roman" w:cs="Times New Roman"/>
          <w:color w:val="auto"/>
        </w:rPr>
        <w:t>依次推荐</w:t>
      </w:r>
      <w:r>
        <w:rPr>
          <w:rFonts w:hint="eastAsia" w:ascii="Times New Roman" w:hAnsi="Times New Roman" w:cs="Times New Roman"/>
          <w:color w:val="auto"/>
        </w:rPr>
        <w:t>成交候选人</w:t>
      </w:r>
      <w:r>
        <w:rPr>
          <w:rFonts w:ascii="Times New Roman" w:hAnsi="Times New Roman" w:cs="Times New Roman"/>
          <w:color w:val="auto"/>
        </w:rPr>
        <w:t>。如</w:t>
      </w:r>
      <w:r>
        <w:rPr>
          <w:rFonts w:hint="eastAsia" w:ascii="Times New Roman" w:hAnsi="Times New Roman" w:cs="Times New Roman"/>
          <w:color w:val="auto"/>
        </w:rPr>
        <w:t>报价</w:t>
      </w:r>
      <w:r>
        <w:rPr>
          <w:rFonts w:ascii="Times New Roman" w:hAnsi="Times New Roman" w:cs="Times New Roman"/>
          <w:color w:val="auto"/>
        </w:rPr>
        <w:t>相同的，按照</w:t>
      </w:r>
      <w:r>
        <w:rPr>
          <w:rFonts w:hint="eastAsia" w:ascii="Times New Roman" w:hAnsi="Times New Roman" w:cs="Times New Roman"/>
          <w:color w:val="auto"/>
        </w:rPr>
        <w:t>评审</w:t>
      </w:r>
      <w:r>
        <w:rPr>
          <w:rFonts w:ascii="Times New Roman" w:hAnsi="Times New Roman" w:cs="Times New Roman"/>
          <w:color w:val="auto"/>
        </w:rPr>
        <w:t>办法前附表中的规定确定</w:t>
      </w:r>
      <w:r>
        <w:rPr>
          <w:rFonts w:hint="eastAsia" w:ascii="Times New Roman" w:hAnsi="Times New Roman" w:cs="Times New Roman"/>
          <w:color w:val="auto"/>
        </w:rPr>
        <w:t>成交候选人</w:t>
      </w:r>
      <w:r>
        <w:rPr>
          <w:rFonts w:ascii="Times New Roman" w:hAnsi="Times New Roman" w:cs="Times New Roman"/>
          <w:color w:val="auto"/>
        </w:rPr>
        <w:t>。</w:t>
      </w:r>
    </w:p>
    <w:p w14:paraId="2F73E438">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5AEFCDB4">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763B4771">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w:t>
      </w:r>
    </w:p>
    <w:p w14:paraId="2B1F349E">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w:t>
      </w:r>
    </w:p>
    <w:p w14:paraId="35151D36">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w:t>
      </w:r>
    </w:p>
    <w:p w14:paraId="2DBE6C43">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详细评审标准</w:t>
      </w:r>
    </w:p>
    <w:p w14:paraId="388F4B9F">
      <w:pPr>
        <w:spacing w:line="440" w:lineRule="exact"/>
        <w:ind w:firstLine="420"/>
        <w:rPr>
          <w:rFonts w:ascii="Times New Roman" w:hAnsi="Times New Roman" w:cs="Times New Roman"/>
          <w:color w:val="auto"/>
        </w:rPr>
      </w:pPr>
      <w:r>
        <w:rPr>
          <w:rFonts w:ascii="Times New Roman" w:hAnsi="Times New Roman" w:cs="Times New Roman"/>
          <w:color w:val="auto"/>
        </w:rPr>
        <w:t>详细评审标准：见评审办法。</w:t>
      </w:r>
    </w:p>
    <w:p w14:paraId="6B7B90EE">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0C2208B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2F1E9A40">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评审小组</w:t>
      </w:r>
      <w:r>
        <w:rPr>
          <w:rFonts w:ascii="Times New Roman" w:hAnsi="Times New Roman" w:cs="Times New Roman"/>
          <w:color w:val="auto"/>
        </w:rPr>
        <w:t>依据本章第2.1.1项、第2.1.2项、第2.1.3项规定的标准对响应文件进行评审。有一项不符合评审标准的，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034C849E">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w:t>
      </w:r>
      <w:r>
        <w:rPr>
          <w:rFonts w:hint="eastAsia" w:ascii="Times New Roman" w:hAnsi="Times New Roman" w:cs="Times New Roman"/>
          <w:color w:val="auto"/>
        </w:rPr>
        <w:t>服务期</w:t>
      </w:r>
      <w:r>
        <w:rPr>
          <w:rFonts w:ascii="Times New Roman" w:hAnsi="Times New Roman" w:cs="Times New Roman"/>
          <w:color w:val="auto"/>
        </w:rPr>
        <w:t>、</w:t>
      </w:r>
      <w:r>
        <w:rPr>
          <w:rFonts w:hint="eastAsia" w:ascii="Times New Roman" w:hAnsi="Times New Roman" w:cs="Times New Roman"/>
          <w:color w:val="auto"/>
          <w:lang w:val="en-US" w:eastAsia="zh-CN"/>
        </w:rPr>
        <w:t>采购要求</w:t>
      </w:r>
      <w:r>
        <w:rPr>
          <w:rFonts w:ascii="Times New Roman" w:hAnsi="Times New Roman" w:cs="Times New Roman"/>
          <w:color w:val="auto"/>
        </w:rPr>
        <w:t>、</w:t>
      </w:r>
      <w:r>
        <w:rPr>
          <w:rFonts w:hint="eastAsia" w:ascii="Times New Roman" w:hAnsi="Times New Roman" w:cs="Times New Roman"/>
          <w:color w:val="auto"/>
          <w:lang w:eastAsia="zh-CN"/>
        </w:rPr>
        <w:t>响应保证金名称</w:t>
      </w:r>
      <w:r>
        <w:rPr>
          <w:rFonts w:ascii="Times New Roman" w:hAnsi="Times New Roman" w:cs="Times New Roman"/>
          <w:color w:val="auto"/>
        </w:rPr>
        <w:t>前后不一致时，</w:t>
      </w:r>
      <w:r>
        <w:rPr>
          <w:rFonts w:hint="eastAsia" w:ascii="Times New Roman" w:hAnsi="Times New Roman" w:cs="Times New Roman"/>
          <w:color w:val="auto"/>
        </w:rPr>
        <w:t>按细微偏差处理。</w:t>
      </w:r>
    </w:p>
    <w:p w14:paraId="79C4EFB5">
      <w:pPr>
        <w:keepNext/>
        <w:keepLines/>
        <w:spacing w:before="120" w:after="120"/>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14:paraId="7A9A7D38">
      <w:pPr>
        <w:spacing w:line="440" w:lineRule="exact"/>
        <w:ind w:firstLine="44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按本章第2.2款规定</w:t>
      </w:r>
      <w:r>
        <w:rPr>
          <w:rFonts w:hint="eastAsia" w:ascii="Times New Roman" w:hAnsi="Times New Roman" w:cs="Times New Roman"/>
          <w:color w:val="auto"/>
        </w:rPr>
        <w:t>进行评审价排序</w:t>
      </w:r>
      <w:r>
        <w:rPr>
          <w:rFonts w:ascii="Times New Roman" w:hAnsi="Times New Roman" w:cs="Times New Roman"/>
          <w:color w:val="auto"/>
        </w:rPr>
        <w:t>。</w:t>
      </w:r>
    </w:p>
    <w:p w14:paraId="58CE7CA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C85FE93">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3B24FD0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3.4响应文件的澄清和说明或补正</w:t>
      </w:r>
    </w:p>
    <w:p w14:paraId="02F03E1F">
      <w:pPr>
        <w:spacing w:line="440" w:lineRule="exact"/>
        <w:ind w:firstLine="420"/>
        <w:rPr>
          <w:rFonts w:ascii="Times New Roman" w:hAnsi="Times New Roman" w:cs="Times New Roman"/>
          <w:color w:val="auto"/>
        </w:rPr>
      </w:pPr>
      <w:r>
        <w:rPr>
          <w:rFonts w:ascii="Times New Roman" w:hAnsi="Times New Roman" w:cs="Times New Roman"/>
          <w:color w:val="auto"/>
        </w:rPr>
        <w:t>3.4.1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28D58E94">
      <w:pPr>
        <w:spacing w:line="440" w:lineRule="exact"/>
        <w:ind w:firstLine="420"/>
        <w:rPr>
          <w:rFonts w:ascii="Times New Roman" w:hAnsi="Times New Roman" w:cs="Times New Roman"/>
          <w:color w:val="auto"/>
        </w:rPr>
      </w:pPr>
      <w:r>
        <w:rPr>
          <w:rFonts w:ascii="Times New Roman" w:hAnsi="Times New Roman" w:cs="Times New Roman"/>
          <w:color w:val="auto"/>
        </w:rPr>
        <w:t>3.4.2 澄清不得超出响应文件的范围且不得改变响应文件的实质性内容，并构成响应文件的组成部分。</w:t>
      </w:r>
    </w:p>
    <w:p w14:paraId="487B010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 评审结果</w:t>
      </w:r>
    </w:p>
    <w:p w14:paraId="6C335CF6">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完成评审后，应当向采购人提交评审报告。评审报告应当如实记载以下内容：</w:t>
      </w:r>
    </w:p>
    <w:p w14:paraId="4C6FD31C">
      <w:pPr>
        <w:spacing w:line="440" w:lineRule="exact"/>
        <w:ind w:firstLine="420"/>
        <w:rPr>
          <w:rFonts w:ascii="Times New Roman" w:hAnsi="Times New Roman" w:cs="Times New Roman"/>
          <w:color w:val="auto"/>
        </w:rPr>
      </w:pPr>
      <w:bookmarkStart w:id="125" w:name="_Toc12245_WPSOffice_Level2"/>
      <w:bookmarkStart w:id="126" w:name="_Toc218_WPSOffice_Level2"/>
      <w:bookmarkStart w:id="127" w:name="_Toc21524_WPSOffice_Level2"/>
      <w:r>
        <w:rPr>
          <w:rFonts w:ascii="Times New Roman" w:hAnsi="Times New Roman" w:cs="Times New Roman"/>
          <w:color w:val="auto"/>
        </w:rPr>
        <w:t>（一）采购项目基本情况</w:t>
      </w:r>
      <w:bookmarkEnd w:id="125"/>
      <w:bookmarkEnd w:id="126"/>
      <w:bookmarkEnd w:id="127"/>
    </w:p>
    <w:p w14:paraId="7B65AC0F">
      <w:pPr>
        <w:spacing w:line="440" w:lineRule="exact"/>
        <w:ind w:firstLine="420"/>
        <w:rPr>
          <w:rFonts w:ascii="Times New Roman" w:hAnsi="Times New Roman" w:cs="Times New Roman"/>
          <w:color w:val="auto"/>
        </w:rPr>
      </w:pPr>
      <w:bookmarkStart w:id="128" w:name="_Toc31322_WPSOffice_Level2"/>
      <w:bookmarkStart w:id="129" w:name="_Toc8414_WPSOffice_Level2"/>
      <w:bookmarkStart w:id="130" w:name="_Toc5856_WPSOffice_Level2"/>
      <w:r>
        <w:rPr>
          <w:rFonts w:ascii="Times New Roman" w:hAnsi="Times New Roman" w:cs="Times New Roman"/>
          <w:color w:val="auto"/>
        </w:rPr>
        <w:t>（二）采购过程回顾</w:t>
      </w:r>
      <w:bookmarkEnd w:id="128"/>
      <w:bookmarkEnd w:id="129"/>
      <w:bookmarkEnd w:id="130"/>
    </w:p>
    <w:p w14:paraId="216C5E39">
      <w:pPr>
        <w:spacing w:line="440" w:lineRule="exact"/>
        <w:ind w:firstLine="420"/>
        <w:rPr>
          <w:rFonts w:ascii="Times New Roman" w:hAnsi="Times New Roman" w:cs="Times New Roman"/>
          <w:color w:val="auto"/>
        </w:rPr>
      </w:pPr>
      <w:bookmarkStart w:id="131" w:name="_Toc2932_WPSOffice_Level2"/>
      <w:bookmarkStart w:id="132" w:name="_Toc15620_WPSOffice_Level2"/>
      <w:bookmarkStart w:id="133" w:name="_Toc1346_WPSOffice_Level2"/>
      <w:r>
        <w:rPr>
          <w:rFonts w:ascii="Times New Roman" w:hAnsi="Times New Roman" w:cs="Times New Roman"/>
          <w:color w:val="auto"/>
        </w:rPr>
        <w:t>（三）评审小组成员名单</w:t>
      </w:r>
      <w:bookmarkEnd w:id="131"/>
      <w:bookmarkEnd w:id="132"/>
      <w:bookmarkEnd w:id="133"/>
    </w:p>
    <w:p w14:paraId="07331C6D">
      <w:pPr>
        <w:spacing w:line="440" w:lineRule="exact"/>
        <w:ind w:firstLine="420"/>
        <w:rPr>
          <w:rFonts w:ascii="Times New Roman" w:hAnsi="Times New Roman" w:cs="Times New Roman"/>
          <w:color w:val="auto"/>
        </w:rPr>
      </w:pPr>
      <w:bookmarkStart w:id="134" w:name="_Toc14207_WPSOffice_Level2"/>
      <w:bookmarkStart w:id="135" w:name="_Toc14464_WPSOffice_Level2"/>
      <w:bookmarkStart w:id="136" w:name="_Toc32316_WPSOffice_Level2"/>
      <w:r>
        <w:rPr>
          <w:rFonts w:ascii="Times New Roman" w:hAnsi="Times New Roman" w:cs="Times New Roman"/>
          <w:color w:val="auto"/>
        </w:rPr>
        <w:t>（四）询比评审工作</w:t>
      </w:r>
      <w:bookmarkEnd w:id="134"/>
      <w:bookmarkEnd w:id="135"/>
      <w:bookmarkEnd w:id="136"/>
    </w:p>
    <w:p w14:paraId="07BBED4F">
      <w:pPr>
        <w:spacing w:line="440" w:lineRule="exact"/>
        <w:ind w:firstLine="420"/>
        <w:rPr>
          <w:rFonts w:ascii="Times New Roman" w:hAnsi="Times New Roman" w:cs="Times New Roman"/>
          <w:color w:val="auto"/>
        </w:rPr>
      </w:pPr>
      <w:r>
        <w:rPr>
          <w:rFonts w:ascii="Times New Roman" w:hAnsi="Times New Roman" w:cs="Times New Roman"/>
          <w:color w:val="auto"/>
        </w:rPr>
        <w:t>1、评审办法</w:t>
      </w:r>
    </w:p>
    <w:p w14:paraId="77429784">
      <w:pPr>
        <w:spacing w:line="440" w:lineRule="exact"/>
        <w:ind w:firstLine="420"/>
        <w:rPr>
          <w:rFonts w:ascii="Times New Roman" w:hAnsi="Times New Roman" w:cs="Times New Roman"/>
          <w:color w:val="auto"/>
        </w:rPr>
      </w:pPr>
      <w:r>
        <w:rPr>
          <w:rFonts w:ascii="Times New Roman" w:hAnsi="Times New Roman" w:cs="Times New Roman"/>
          <w:color w:val="auto"/>
        </w:rPr>
        <w:t>2、初步评审情况</w:t>
      </w:r>
    </w:p>
    <w:p w14:paraId="5507FD4A">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详细</w:t>
      </w:r>
      <w:r>
        <w:rPr>
          <w:rFonts w:ascii="Times New Roman" w:hAnsi="Times New Roman" w:cs="Times New Roman"/>
          <w:color w:val="auto"/>
        </w:rPr>
        <w:t>评审情况</w:t>
      </w:r>
    </w:p>
    <w:p w14:paraId="0147F3A3">
      <w:pPr>
        <w:spacing w:line="44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w:t>
      </w:r>
      <w:r>
        <w:rPr>
          <w:rFonts w:ascii="Times New Roman" w:hAnsi="Times New Roman" w:cs="Times New Roman"/>
          <w:color w:val="auto"/>
        </w:rPr>
        <w:t>（如有）</w:t>
      </w:r>
    </w:p>
    <w:p w14:paraId="19620AB7">
      <w:pPr>
        <w:spacing w:line="440" w:lineRule="exact"/>
        <w:ind w:firstLine="420"/>
        <w:rPr>
          <w:rFonts w:ascii="Times New Roman" w:hAnsi="Times New Roman" w:cs="Times New Roman"/>
          <w:color w:val="auto"/>
        </w:rPr>
      </w:pPr>
      <w:r>
        <w:rPr>
          <w:rFonts w:ascii="Times New Roman" w:hAnsi="Times New Roman" w:cs="Times New Roman"/>
          <w:color w:val="auto"/>
        </w:rPr>
        <w:t>5、推荐候选供应商排序</w:t>
      </w:r>
    </w:p>
    <w:p w14:paraId="5326AF86">
      <w:pPr>
        <w:spacing w:line="440" w:lineRule="exact"/>
        <w:ind w:firstLine="420"/>
        <w:rPr>
          <w:rFonts w:ascii="Times New Roman" w:hAnsi="Times New Roman" w:cs="Times New Roman"/>
          <w:color w:val="auto"/>
        </w:rPr>
      </w:pPr>
      <w:bookmarkStart w:id="137" w:name="_Toc3913_WPSOffice_Level2"/>
      <w:bookmarkStart w:id="138" w:name="_Toc5114_WPSOffice_Level2"/>
      <w:bookmarkStart w:id="139" w:name="_Toc13397_WPSOffice_Level2"/>
      <w:r>
        <w:rPr>
          <w:rFonts w:ascii="Times New Roman" w:hAnsi="Times New Roman" w:cs="Times New Roman"/>
          <w:color w:val="auto"/>
        </w:rPr>
        <w:t>（五）需要说明的其他事项</w:t>
      </w:r>
      <w:bookmarkEnd w:id="137"/>
      <w:bookmarkEnd w:id="138"/>
      <w:bookmarkEnd w:id="139"/>
    </w:p>
    <w:p w14:paraId="6B1DA921">
      <w:pPr>
        <w:spacing w:line="440" w:lineRule="exact"/>
        <w:ind w:firstLine="420"/>
        <w:rPr>
          <w:rFonts w:ascii="Times New Roman" w:hAnsi="Times New Roman" w:cs="Times New Roman"/>
          <w:color w:val="auto"/>
        </w:rPr>
      </w:pPr>
      <w:bookmarkStart w:id="140" w:name="_Toc8934_WPSOffice_Level2"/>
      <w:bookmarkStart w:id="141" w:name="_Toc23800_WPSOffice_Level2"/>
      <w:bookmarkStart w:id="142" w:name="_Toc3031_WPSOffice_Level2"/>
      <w:r>
        <w:rPr>
          <w:rFonts w:ascii="Times New Roman" w:hAnsi="Times New Roman" w:cs="Times New Roman"/>
          <w:color w:val="auto"/>
        </w:rPr>
        <w:t>（六）评审附表</w:t>
      </w:r>
      <w:bookmarkEnd w:id="140"/>
      <w:bookmarkEnd w:id="141"/>
      <w:bookmarkEnd w:id="142"/>
    </w:p>
    <w:p w14:paraId="74FF7260">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1、响应文件</w:t>
      </w:r>
      <w:r>
        <w:rPr>
          <w:rFonts w:ascii="Times New Roman" w:hAnsi="Times New Roman" w:eastAsia="宋体" w:cs="Times New Roman"/>
          <w:color w:val="auto"/>
          <w:lang w:val="en-US"/>
        </w:rPr>
        <w:t>接收</w:t>
      </w:r>
      <w:r>
        <w:rPr>
          <w:rFonts w:ascii="Times New Roman" w:hAnsi="Times New Roman" w:eastAsia="宋体" w:cs="Times New Roman"/>
          <w:color w:val="auto"/>
        </w:rPr>
        <w:t>表</w:t>
      </w:r>
    </w:p>
    <w:p w14:paraId="368EC82D">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lang w:val="en-US"/>
        </w:rPr>
        <w:t>2</w:t>
      </w:r>
      <w:r>
        <w:rPr>
          <w:rFonts w:ascii="Times New Roman" w:hAnsi="Times New Roman" w:eastAsia="宋体" w:cs="Times New Roman"/>
          <w:color w:val="auto"/>
        </w:rPr>
        <w:t>、响应文件开启记录表</w:t>
      </w:r>
    </w:p>
    <w:p w14:paraId="42D89654">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lang w:val="en-US"/>
        </w:rPr>
        <w:t>3</w:t>
      </w:r>
      <w:r>
        <w:rPr>
          <w:rFonts w:ascii="Times New Roman" w:hAnsi="Times New Roman" w:eastAsia="宋体" w:cs="Times New Roman"/>
          <w:color w:val="auto"/>
        </w:rPr>
        <w:t>、评审表格</w:t>
      </w:r>
    </w:p>
    <w:p w14:paraId="605B98DD">
      <w:pPr>
        <w:rPr>
          <w:rFonts w:ascii="Times New Roman" w:hAnsi="Times New Roman" w:cs="Times New Roman"/>
          <w:color w:val="auto"/>
        </w:rPr>
      </w:pPr>
      <w:r>
        <w:rPr>
          <w:rFonts w:ascii="Times New Roman" w:hAnsi="Times New Roman" w:cs="Times New Roman"/>
          <w:color w:val="auto"/>
        </w:rPr>
        <w:br w:type="page"/>
      </w:r>
    </w:p>
    <w:p w14:paraId="0B23556B">
      <w:pPr>
        <w:pStyle w:val="3"/>
        <w:outlineLvl w:val="9"/>
        <w:rPr>
          <w:rFonts w:ascii="Times New Roman" w:hAnsi="Times New Roman" w:eastAsia="宋体" w:cs="Times New Roman"/>
          <w:color w:val="auto"/>
        </w:rPr>
      </w:pPr>
    </w:p>
    <w:p w14:paraId="74DD68B8">
      <w:pPr>
        <w:rPr>
          <w:rFonts w:ascii="Times New Roman" w:hAnsi="Times New Roman" w:eastAsia="宋体" w:cs="Times New Roman"/>
          <w:color w:val="auto"/>
        </w:rPr>
      </w:pPr>
    </w:p>
    <w:p w14:paraId="49A592C7">
      <w:pPr>
        <w:pStyle w:val="2"/>
        <w:rPr>
          <w:rFonts w:ascii="Times New Roman" w:hAnsi="Times New Roman" w:eastAsia="宋体" w:cs="Times New Roman"/>
          <w:color w:val="auto"/>
        </w:rPr>
      </w:pPr>
    </w:p>
    <w:p w14:paraId="04508C20">
      <w:pPr>
        <w:pStyle w:val="3"/>
        <w:outlineLvl w:val="9"/>
        <w:rPr>
          <w:rFonts w:ascii="Times New Roman" w:hAnsi="Times New Roman" w:eastAsia="宋体" w:cs="Times New Roman"/>
          <w:color w:val="auto"/>
        </w:rPr>
      </w:pPr>
    </w:p>
    <w:p w14:paraId="2E58CDD6">
      <w:pPr>
        <w:rPr>
          <w:rFonts w:ascii="Times New Roman" w:hAnsi="Times New Roman" w:eastAsia="宋体" w:cs="Times New Roman"/>
          <w:color w:val="auto"/>
        </w:rPr>
      </w:pPr>
    </w:p>
    <w:p w14:paraId="62D7F9BF">
      <w:pPr>
        <w:pStyle w:val="2"/>
        <w:rPr>
          <w:rFonts w:ascii="Times New Roman" w:hAnsi="Times New Roman" w:eastAsia="宋体" w:cs="Times New Roman"/>
          <w:color w:val="auto"/>
        </w:rPr>
      </w:pPr>
    </w:p>
    <w:p w14:paraId="711D6A2E">
      <w:pPr>
        <w:pStyle w:val="3"/>
        <w:jc w:val="both"/>
        <w:outlineLvl w:val="9"/>
        <w:rPr>
          <w:rFonts w:ascii="Times New Roman" w:hAnsi="Times New Roman" w:eastAsia="宋体" w:cs="Times New Roman"/>
          <w:color w:val="auto"/>
        </w:rPr>
      </w:pPr>
    </w:p>
    <w:p w14:paraId="57DD7D7C">
      <w:pPr>
        <w:rPr>
          <w:color w:val="auto"/>
        </w:rPr>
      </w:pPr>
    </w:p>
    <w:p w14:paraId="366913EA">
      <w:pPr>
        <w:rPr>
          <w:color w:val="auto"/>
        </w:rPr>
      </w:pPr>
    </w:p>
    <w:p w14:paraId="2C795CD4">
      <w:pPr>
        <w:pStyle w:val="4"/>
        <w:numPr>
          <w:ilvl w:val="0"/>
          <w:numId w:val="0"/>
        </w:numPr>
        <w:spacing w:before="240" w:after="240"/>
        <w:rPr>
          <w:rFonts w:ascii="Times New Roman" w:hAnsi="Times New Roman" w:eastAsia="宋体" w:cs="Times New Roman"/>
          <w:color w:val="auto"/>
        </w:rPr>
      </w:pPr>
      <w:bookmarkStart w:id="143" w:name="_Toc17480_WPSOffice_Level1"/>
      <w:r>
        <w:rPr>
          <w:rFonts w:hint="eastAsia" w:ascii="Times New Roman" w:hAnsi="Times New Roman" w:eastAsia="宋体" w:cs="Times New Roman"/>
          <w:color w:val="auto"/>
        </w:rPr>
        <w:t xml:space="preserve">第四章 </w:t>
      </w:r>
      <w:r>
        <w:rPr>
          <w:rFonts w:ascii="Times New Roman" w:hAnsi="Times New Roman" w:eastAsia="宋体" w:cs="Times New Roman"/>
          <w:color w:val="auto"/>
        </w:rPr>
        <w:t>合同内容</w:t>
      </w:r>
      <w:bookmarkEnd w:id="143"/>
    </w:p>
    <w:p w14:paraId="448796D3">
      <w:pPr>
        <w:jc w:val="center"/>
        <w:rPr>
          <w:b/>
          <w:bCs/>
          <w:color w:val="auto"/>
          <w:sz w:val="44"/>
          <w:szCs w:val="44"/>
        </w:rPr>
      </w:pPr>
      <w:bookmarkStart w:id="144" w:name="_Toc12005"/>
      <w:bookmarkStart w:id="145" w:name="_Toc447808679"/>
      <w:bookmarkStart w:id="146" w:name="_Toc16698_WPSOffice_Level2"/>
      <w:r>
        <w:rPr>
          <w:rFonts w:ascii="Times New Roman" w:hAnsi="Times New Roman" w:cs="Times New Roman"/>
          <w:color w:val="auto"/>
          <w:sz w:val="28"/>
        </w:rPr>
        <w:br w:type="page"/>
      </w:r>
      <w:bookmarkEnd w:id="144"/>
      <w:bookmarkEnd w:id="145"/>
      <w:bookmarkEnd w:id="146"/>
      <w:r>
        <w:rPr>
          <w:rFonts w:hint="eastAsia" w:ascii="宋体" w:hAnsi="宋体" w:eastAsia="宋体" w:cs="宋体"/>
          <w:b/>
          <w:bCs/>
          <w:color w:val="auto"/>
          <w:sz w:val="36"/>
          <w:szCs w:val="36"/>
          <w:lang w:val="en-US" w:eastAsia="zh-CN"/>
        </w:rPr>
        <w:t>一、车辆租赁服务协议书</w:t>
      </w:r>
    </w:p>
    <w:p w14:paraId="7207D5B8">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承租方：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（简称甲方）</w:t>
      </w:r>
    </w:p>
    <w:p w14:paraId="045094A9">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出租方：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（简称乙方）</w:t>
      </w:r>
    </w:p>
    <w:p w14:paraId="3734A88E">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甲乙双方就车辆租赁一事，经双方协商，达成如下协议。</w:t>
      </w:r>
    </w:p>
    <w:p w14:paraId="7252073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一、车辆为工程施工（行政）用车，行车起止地点、路线由甲乙双方商定，乙方要遵守甲方的作息时间。</w:t>
      </w:r>
    </w:p>
    <w:p w14:paraId="36C902BB">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二、乙方保证所提供的车辆车</w:t>
      </w:r>
      <w:r>
        <w:rPr>
          <w:rFonts w:hint="eastAsia" w:ascii="宋体" w:hAnsi="宋体" w:eastAsia="宋体" w:cs="宋体"/>
          <w:color w:val="auto"/>
          <w:sz w:val="21"/>
          <w:szCs w:val="21"/>
          <w:highlight w:val="none"/>
        </w:rPr>
        <w:t>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5年以</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rPr>
        <w:t>租赁服务合同签订之日算起）</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车况良好（符合甲方要求），证照齐全，</w:t>
      </w:r>
      <w:r>
        <w:rPr>
          <w:rFonts w:hint="eastAsia" w:ascii="宋体" w:hAnsi="宋体" w:eastAsia="宋体" w:cs="宋体"/>
          <w:color w:val="auto"/>
          <w:sz w:val="21"/>
          <w:szCs w:val="21"/>
          <w:highlight w:val="none"/>
          <w:lang w:eastAsia="zh-CN"/>
        </w:rPr>
        <w:t>卫生整洁，</w:t>
      </w:r>
      <w:r>
        <w:rPr>
          <w:rFonts w:hint="eastAsia" w:ascii="宋体" w:hAnsi="宋体" w:eastAsia="宋体" w:cs="宋体"/>
          <w:color w:val="auto"/>
          <w:sz w:val="21"/>
          <w:szCs w:val="21"/>
          <w:highlight w:val="none"/>
        </w:rPr>
        <w:t>不带故障出车，车辆的年审、保险费、违章处理</w:t>
      </w:r>
      <w:r>
        <w:rPr>
          <w:rFonts w:hint="eastAsia" w:ascii="宋体" w:hAnsi="宋体" w:eastAsia="宋体" w:cs="宋体"/>
          <w:color w:val="auto"/>
          <w:sz w:val="21"/>
          <w:szCs w:val="21"/>
          <w:highlight w:val="none"/>
          <w:lang w:eastAsia="zh-CN"/>
        </w:rPr>
        <w:t>等费用均</w:t>
      </w:r>
      <w:r>
        <w:rPr>
          <w:rFonts w:hint="eastAsia" w:ascii="宋体" w:hAnsi="宋体" w:eastAsia="宋体" w:cs="宋体"/>
          <w:color w:val="auto"/>
          <w:sz w:val="21"/>
          <w:szCs w:val="21"/>
          <w:highlight w:val="none"/>
        </w:rPr>
        <w:t>由乙方</w:t>
      </w:r>
      <w:r>
        <w:rPr>
          <w:rFonts w:hint="eastAsia" w:ascii="宋体" w:hAnsi="宋体" w:eastAsia="宋体" w:cs="宋体"/>
          <w:color w:val="auto"/>
          <w:sz w:val="21"/>
          <w:szCs w:val="21"/>
          <w:highlight w:val="none"/>
          <w:lang w:eastAsia="zh-CN"/>
        </w:rPr>
        <w:t>自行</w:t>
      </w:r>
      <w:r>
        <w:rPr>
          <w:rFonts w:hint="eastAsia" w:ascii="宋体" w:hAnsi="宋体" w:eastAsia="宋体" w:cs="宋体"/>
          <w:color w:val="auto"/>
          <w:sz w:val="21"/>
          <w:szCs w:val="21"/>
          <w:highlight w:val="none"/>
        </w:rPr>
        <w:t>承担。</w:t>
      </w:r>
    </w:p>
    <w:p w14:paraId="7298E6B2">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三、乙方指派的驾驶员</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驾龄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年以上，年龄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0岁以下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有娴熟</w:t>
      </w:r>
      <w:r>
        <w:rPr>
          <w:rFonts w:hint="eastAsia" w:ascii="宋体" w:hAnsi="宋体" w:eastAsia="宋体" w:cs="宋体"/>
          <w:color w:val="auto"/>
          <w:sz w:val="21"/>
          <w:szCs w:val="21"/>
        </w:rPr>
        <w:t>的驾驶经验，所持驾驶证符合准驾车型，服从甲方的工作安排；能吃苦，遵守甲方的各项规章制度，遵纪守法，安全驾驶。相貌端正，身体健康，无犯罪史、无传染病史、无纹身、懂礼貌、热爱本职工作。</w:t>
      </w:r>
    </w:p>
    <w:p w14:paraId="109B869B">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四、乙方车辆的正常维修保养、故障维修费用由乙方</w:t>
      </w:r>
      <w:r>
        <w:rPr>
          <w:rFonts w:hint="eastAsia" w:ascii="宋体" w:hAnsi="宋体" w:eastAsia="宋体" w:cs="宋体"/>
          <w:color w:val="auto"/>
          <w:sz w:val="21"/>
          <w:szCs w:val="21"/>
          <w:lang w:eastAsia="zh-CN"/>
        </w:rPr>
        <w:t>自行</w:t>
      </w:r>
      <w:r>
        <w:rPr>
          <w:rFonts w:hint="eastAsia" w:ascii="宋体" w:hAnsi="宋体" w:eastAsia="宋体" w:cs="宋体"/>
          <w:color w:val="auto"/>
          <w:sz w:val="21"/>
          <w:szCs w:val="21"/>
        </w:rPr>
        <w:t>承担。租赁期间乙方车辆因机械故障计划维修时间超过两天以上的，乙方须提供同等车型的临时用车，以保证车辆维修期间甲方正常用车，否则，甲方将按日扣除租金</w:t>
      </w:r>
      <w:r>
        <w:rPr>
          <w:rFonts w:hint="eastAsia" w:ascii="宋体" w:hAnsi="宋体" w:eastAsia="宋体" w:cs="宋体"/>
          <w:color w:val="auto"/>
          <w:sz w:val="21"/>
          <w:szCs w:val="21"/>
          <w:lang w:eastAsia="zh-CN"/>
        </w:rPr>
        <w:t>，并有权要求乙方支付违约金500元/次</w:t>
      </w:r>
      <w:r>
        <w:rPr>
          <w:rFonts w:hint="eastAsia" w:ascii="宋体" w:hAnsi="宋体" w:eastAsia="宋体" w:cs="宋体"/>
          <w:color w:val="auto"/>
          <w:sz w:val="21"/>
          <w:szCs w:val="21"/>
        </w:rPr>
        <w:t>。</w:t>
      </w:r>
    </w:p>
    <w:p w14:paraId="09FADAF0">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五、乙方所提供的车辆必须按规定办理相应的交强险、商业险（其中第三者责任险</w:t>
      </w:r>
      <w:r>
        <w:rPr>
          <w:rFonts w:hint="eastAsia" w:ascii="宋体" w:hAnsi="宋体" w:eastAsia="宋体" w:cs="宋体"/>
          <w:color w:val="auto"/>
          <w:sz w:val="21"/>
          <w:szCs w:val="21"/>
          <w:lang w:eastAsia="zh-CN"/>
        </w:rPr>
        <w:t>至少</w:t>
      </w:r>
      <w:r>
        <w:rPr>
          <w:rFonts w:hint="eastAsia" w:ascii="宋体" w:hAnsi="宋体" w:eastAsia="宋体" w:cs="宋体"/>
          <w:color w:val="auto"/>
          <w:sz w:val="21"/>
          <w:szCs w:val="21"/>
        </w:rPr>
        <w:t>为100万</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rPr>
        <w:t>，车上人员座位险为每人/每座1万</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rPr>
        <w:t>以上）,否则甲方将不予认可所提供车辆。</w:t>
      </w:r>
    </w:p>
    <w:p w14:paraId="36CF8012">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六、租车费用严格按照中标价目表的</w:t>
      </w:r>
      <w:r>
        <w:rPr>
          <w:rFonts w:hint="eastAsia" w:ascii="宋体" w:hAnsi="宋体" w:eastAsia="宋体" w:cs="宋体"/>
          <w:color w:val="auto"/>
          <w:sz w:val="21"/>
          <w:szCs w:val="21"/>
          <w:lang w:eastAsia="zh-CN"/>
        </w:rPr>
        <w:t>报价费率</w:t>
      </w:r>
      <w:r>
        <w:rPr>
          <w:rFonts w:hint="eastAsia" w:ascii="宋体" w:hAnsi="宋体" w:eastAsia="宋体" w:cs="宋体"/>
          <w:color w:val="auto"/>
          <w:sz w:val="21"/>
          <w:szCs w:val="21"/>
        </w:rPr>
        <w:t>执行。日租车单日（1天）行驶公里数上限为280公里，超出部分按照每公里0.8元结算。连续多日（1天以上）租车的以日平均280公里为上限，超出部分按照每公里0.8元结算。具体车辆的使用由甲方的项目负责人安排。车辆租赁期间，甲方负责车辆的过路过桥费、加油费和停车费用。</w:t>
      </w:r>
      <w:r>
        <w:rPr>
          <w:rFonts w:hint="eastAsia" w:ascii="宋体" w:hAnsi="宋体" w:eastAsia="宋体" w:cs="宋体"/>
          <w:color w:val="auto"/>
          <w:sz w:val="21"/>
          <w:szCs w:val="21"/>
          <w:lang w:eastAsia="zh-CN"/>
        </w:rPr>
        <w:t>乙方应</w:t>
      </w:r>
      <w:r>
        <w:rPr>
          <w:rFonts w:hint="eastAsia" w:ascii="宋体" w:hAnsi="宋体" w:eastAsia="宋体" w:cs="宋体"/>
          <w:color w:val="auto"/>
          <w:sz w:val="21"/>
          <w:szCs w:val="21"/>
        </w:rPr>
        <w:t>根据车辆实际需要</w:t>
      </w:r>
      <w:r>
        <w:rPr>
          <w:rFonts w:hint="eastAsia" w:ascii="宋体" w:hAnsi="宋体" w:eastAsia="宋体" w:cs="宋体"/>
          <w:color w:val="auto"/>
          <w:sz w:val="21"/>
          <w:szCs w:val="21"/>
          <w:lang w:eastAsia="zh-CN"/>
        </w:rPr>
        <w:t>合理</w:t>
      </w:r>
      <w:r>
        <w:rPr>
          <w:rFonts w:hint="eastAsia" w:ascii="宋体" w:hAnsi="宋体" w:eastAsia="宋体" w:cs="宋体"/>
          <w:color w:val="auto"/>
          <w:sz w:val="21"/>
          <w:szCs w:val="21"/>
        </w:rPr>
        <w:t>选择油料标号，不得</w:t>
      </w:r>
      <w:r>
        <w:rPr>
          <w:rFonts w:hint="eastAsia" w:ascii="宋体" w:hAnsi="宋体" w:eastAsia="宋体" w:cs="宋体"/>
          <w:color w:val="auto"/>
          <w:sz w:val="21"/>
          <w:szCs w:val="21"/>
          <w:lang w:eastAsia="zh-CN"/>
        </w:rPr>
        <w:t>无理</w:t>
      </w:r>
      <w:r>
        <w:rPr>
          <w:rFonts w:hint="eastAsia" w:ascii="宋体" w:hAnsi="宋体" w:eastAsia="宋体" w:cs="宋体"/>
          <w:color w:val="auto"/>
          <w:sz w:val="21"/>
          <w:szCs w:val="21"/>
        </w:rPr>
        <w:t>要求添加高标号油料</w:t>
      </w:r>
      <w:r>
        <w:rPr>
          <w:rFonts w:hint="eastAsia" w:ascii="宋体" w:hAnsi="宋体" w:eastAsia="宋体" w:cs="宋体"/>
          <w:color w:val="auto"/>
          <w:sz w:val="21"/>
          <w:szCs w:val="21"/>
          <w:lang w:eastAsia="zh-CN"/>
        </w:rPr>
        <w:t>，否则将视为违约方有权要求乙方支付违约金</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00元/次，并赔偿因</w:t>
      </w:r>
      <w:r>
        <w:rPr>
          <w:rFonts w:hint="eastAsia" w:ascii="宋体" w:hAnsi="宋体" w:eastAsia="宋体" w:cs="宋体"/>
          <w:color w:val="auto"/>
          <w:szCs w:val="21"/>
        </w:rPr>
        <w:t>延误</w:t>
      </w:r>
      <w:r>
        <w:rPr>
          <w:rFonts w:hint="eastAsia" w:ascii="宋体" w:hAnsi="宋体" w:eastAsia="宋体" w:cs="宋体"/>
          <w:color w:val="auto"/>
          <w:szCs w:val="21"/>
          <w:lang w:eastAsia="zh-CN"/>
        </w:rPr>
        <w:t>甲方项目</w:t>
      </w:r>
      <w:r>
        <w:rPr>
          <w:rFonts w:hint="eastAsia" w:ascii="宋体" w:hAnsi="宋体" w:eastAsia="宋体" w:cs="宋体"/>
          <w:color w:val="auto"/>
          <w:szCs w:val="21"/>
        </w:rPr>
        <w:t>生产工作</w:t>
      </w:r>
      <w:r>
        <w:rPr>
          <w:rFonts w:hint="eastAsia" w:ascii="宋体" w:hAnsi="宋体" w:eastAsia="宋体" w:cs="宋体"/>
          <w:color w:val="auto"/>
          <w:szCs w:val="21"/>
          <w:lang w:eastAsia="zh-CN"/>
        </w:rPr>
        <w:t>造成</w:t>
      </w:r>
      <w:r>
        <w:rPr>
          <w:rFonts w:hint="eastAsia" w:ascii="宋体" w:hAnsi="宋体" w:eastAsia="宋体" w:cs="宋体"/>
          <w:color w:val="auto"/>
          <w:szCs w:val="21"/>
        </w:rPr>
        <w:t>的一切损失</w:t>
      </w:r>
      <w:r>
        <w:rPr>
          <w:rFonts w:hint="eastAsia" w:ascii="宋体" w:hAnsi="宋体" w:eastAsia="宋体" w:cs="宋体"/>
          <w:color w:val="auto"/>
          <w:szCs w:val="21"/>
          <w:lang w:eastAsia="zh-CN"/>
        </w:rPr>
        <w:t>。</w:t>
      </w:r>
    </w:p>
    <w:p w14:paraId="5507F523">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七、承租车辆分为日租</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月租，承租期间甲方负责</w:t>
      </w:r>
      <w:r>
        <w:rPr>
          <w:rFonts w:hint="eastAsia" w:ascii="宋体" w:hAnsi="宋体" w:eastAsia="宋体" w:cs="宋体"/>
          <w:color w:val="auto"/>
          <w:sz w:val="21"/>
          <w:szCs w:val="21"/>
          <w:lang w:eastAsia="zh-CN"/>
        </w:rPr>
        <w:t>日租、</w:t>
      </w:r>
      <w:r>
        <w:rPr>
          <w:rFonts w:hint="eastAsia" w:ascii="宋体" w:hAnsi="宋体" w:eastAsia="宋体" w:cs="宋体"/>
          <w:color w:val="auto"/>
          <w:sz w:val="21"/>
          <w:szCs w:val="21"/>
        </w:rPr>
        <w:t>月租车驾驶员的食宿费用。</w:t>
      </w:r>
      <w:r>
        <w:rPr>
          <w:rFonts w:hint="eastAsia" w:ascii="宋体" w:hAnsi="宋体" w:eastAsia="宋体" w:cs="宋体"/>
          <w:color w:val="auto"/>
          <w:sz w:val="21"/>
          <w:szCs w:val="21"/>
          <w:lang w:eastAsia="zh-CN"/>
        </w:rPr>
        <w:t>驻点试验室</w:t>
      </w:r>
      <w:r>
        <w:rPr>
          <w:rFonts w:hint="eastAsia" w:ascii="宋体" w:hAnsi="宋体" w:eastAsia="宋体" w:cs="宋体"/>
          <w:color w:val="auto"/>
          <w:sz w:val="21"/>
          <w:szCs w:val="21"/>
        </w:rPr>
        <w:t>租车驾驶员每月</w:t>
      </w:r>
      <w:r>
        <w:rPr>
          <w:rFonts w:hint="eastAsia" w:ascii="宋体" w:hAnsi="宋体" w:eastAsia="宋体" w:cs="宋体"/>
          <w:color w:val="auto"/>
          <w:sz w:val="21"/>
          <w:szCs w:val="21"/>
          <w:lang w:eastAsia="zh-CN"/>
        </w:rPr>
        <w:t>可</w:t>
      </w:r>
      <w:r>
        <w:rPr>
          <w:rFonts w:hint="eastAsia" w:ascii="宋体" w:hAnsi="宋体" w:eastAsia="宋体" w:cs="宋体"/>
          <w:color w:val="auto"/>
          <w:sz w:val="21"/>
          <w:szCs w:val="21"/>
        </w:rPr>
        <w:t>有四天休假（不包含车辆）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驾驶员休假期间，乙方根据甲方需要</w:t>
      </w:r>
      <w:r>
        <w:rPr>
          <w:rFonts w:hint="eastAsia" w:ascii="宋体" w:hAnsi="宋体" w:eastAsia="宋体" w:cs="宋体"/>
          <w:color w:val="auto"/>
          <w:sz w:val="21"/>
          <w:szCs w:val="21"/>
          <w:lang w:eastAsia="zh-CN"/>
        </w:rPr>
        <w:t>，甲</w:t>
      </w:r>
      <w:r>
        <w:rPr>
          <w:rFonts w:hint="eastAsia" w:ascii="宋体" w:hAnsi="宋体" w:eastAsia="宋体" w:cs="宋体"/>
          <w:color w:val="auto"/>
          <w:sz w:val="21"/>
          <w:szCs w:val="21"/>
        </w:rPr>
        <w:t>安排驾驶人员接替或更换租赁车辆，确保甲方用车，否则甲方将根据同等车型的日租车费用予以扣除休假期间车辆租赁费用</w:t>
      </w:r>
      <w:r>
        <w:rPr>
          <w:rFonts w:hint="eastAsia" w:ascii="宋体" w:hAnsi="宋体" w:eastAsia="宋体" w:cs="宋体"/>
          <w:color w:val="auto"/>
          <w:sz w:val="21"/>
          <w:szCs w:val="21"/>
          <w:lang w:eastAsia="zh-CN"/>
        </w:rPr>
        <w:t>，并赔偿因</w:t>
      </w:r>
      <w:r>
        <w:rPr>
          <w:rFonts w:hint="eastAsia" w:ascii="宋体" w:hAnsi="宋体" w:eastAsia="宋体" w:cs="宋体"/>
          <w:color w:val="auto"/>
          <w:szCs w:val="21"/>
        </w:rPr>
        <w:t>延误</w:t>
      </w:r>
      <w:r>
        <w:rPr>
          <w:rFonts w:hint="eastAsia" w:ascii="宋体" w:hAnsi="宋体" w:eastAsia="宋体" w:cs="宋体"/>
          <w:color w:val="auto"/>
          <w:szCs w:val="21"/>
          <w:lang w:eastAsia="zh-CN"/>
        </w:rPr>
        <w:t>甲方项目</w:t>
      </w:r>
      <w:r>
        <w:rPr>
          <w:rFonts w:hint="eastAsia" w:ascii="宋体" w:hAnsi="宋体" w:eastAsia="宋体" w:cs="宋体"/>
          <w:color w:val="auto"/>
          <w:szCs w:val="21"/>
        </w:rPr>
        <w:t>生产工作</w:t>
      </w:r>
      <w:r>
        <w:rPr>
          <w:rFonts w:hint="eastAsia" w:ascii="宋体" w:hAnsi="宋体" w:eastAsia="宋体" w:cs="宋体"/>
          <w:color w:val="auto"/>
          <w:szCs w:val="21"/>
          <w:lang w:eastAsia="zh-CN"/>
        </w:rPr>
        <w:t>造成</w:t>
      </w:r>
      <w:r>
        <w:rPr>
          <w:rFonts w:hint="eastAsia" w:ascii="宋体" w:hAnsi="宋体" w:eastAsia="宋体" w:cs="宋体"/>
          <w:color w:val="auto"/>
          <w:szCs w:val="21"/>
        </w:rPr>
        <w:t>的一切损失</w:t>
      </w:r>
      <w:r>
        <w:rPr>
          <w:rFonts w:hint="eastAsia" w:ascii="宋体" w:hAnsi="宋体" w:eastAsia="宋体" w:cs="宋体"/>
          <w:color w:val="auto"/>
          <w:sz w:val="21"/>
          <w:szCs w:val="21"/>
        </w:rPr>
        <w:t xml:space="preserve">。 </w:t>
      </w:r>
    </w:p>
    <w:p w14:paraId="16932ACB">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、同一车辆如每月连续日租超过2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天，</w:t>
      </w:r>
      <w:r>
        <w:rPr>
          <w:rFonts w:hint="eastAsia" w:ascii="宋体" w:hAnsi="宋体" w:eastAsia="宋体" w:cs="宋体"/>
          <w:color w:val="auto"/>
          <w:sz w:val="21"/>
          <w:szCs w:val="21"/>
          <w:lang w:eastAsia="zh-CN"/>
        </w:rPr>
        <w:t>则</w:t>
      </w:r>
      <w:r>
        <w:rPr>
          <w:rFonts w:hint="eastAsia" w:ascii="宋体" w:hAnsi="宋体" w:eastAsia="宋体" w:cs="宋体"/>
          <w:color w:val="auto"/>
          <w:sz w:val="21"/>
          <w:szCs w:val="21"/>
        </w:rPr>
        <w:t>自动转为月租，按月租单价计算租赁费用。</w:t>
      </w:r>
    </w:p>
    <w:p w14:paraId="4172F193">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、如采购人</w:t>
      </w: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rPr>
        <w:t>省外项目</w:t>
      </w:r>
      <w:r>
        <w:rPr>
          <w:rFonts w:hint="eastAsia" w:ascii="宋体" w:hAnsi="宋体" w:eastAsia="宋体" w:cs="宋体"/>
          <w:color w:val="auto"/>
          <w:sz w:val="21"/>
          <w:szCs w:val="21"/>
          <w:lang w:eastAsia="zh-CN"/>
        </w:rPr>
        <w:t>生产用车需求</w:t>
      </w:r>
      <w:r>
        <w:rPr>
          <w:rFonts w:hint="eastAsia" w:ascii="宋体" w:hAnsi="宋体" w:eastAsia="宋体" w:cs="宋体"/>
          <w:color w:val="auto"/>
          <w:sz w:val="21"/>
          <w:szCs w:val="21"/>
        </w:rPr>
        <w:t>，成交人需无条件</w:t>
      </w:r>
      <w:r>
        <w:rPr>
          <w:rFonts w:hint="eastAsia" w:ascii="宋体" w:hAnsi="宋体" w:eastAsia="宋体" w:cs="宋体"/>
          <w:color w:val="auto"/>
          <w:sz w:val="21"/>
          <w:szCs w:val="21"/>
          <w:lang w:eastAsia="zh-CN"/>
        </w:rPr>
        <w:t>提供车辆租赁服务</w:t>
      </w:r>
      <w:r>
        <w:rPr>
          <w:rFonts w:hint="eastAsia" w:ascii="宋体" w:hAnsi="宋体" w:eastAsia="宋体" w:cs="宋体"/>
          <w:color w:val="auto"/>
          <w:sz w:val="21"/>
          <w:szCs w:val="21"/>
        </w:rPr>
        <w:t>。省外日租</w:t>
      </w:r>
      <w:r>
        <w:rPr>
          <w:rFonts w:hint="eastAsia" w:ascii="宋体" w:hAnsi="宋体" w:eastAsia="宋体" w:cs="宋体"/>
          <w:color w:val="auto"/>
          <w:sz w:val="21"/>
          <w:szCs w:val="21"/>
          <w:lang w:eastAsia="zh-CN"/>
        </w:rPr>
        <w:t>以及</w:t>
      </w:r>
      <w:r>
        <w:rPr>
          <w:rFonts w:hint="eastAsia" w:ascii="宋体" w:hAnsi="宋体" w:eastAsia="宋体" w:cs="宋体"/>
          <w:color w:val="auto"/>
          <w:sz w:val="21"/>
          <w:szCs w:val="21"/>
        </w:rPr>
        <w:t>工作地点距离采购人公司所在地直线距离500公里（含）以内的省外月租按</w:t>
      </w:r>
      <w:r>
        <w:rPr>
          <w:rFonts w:hint="eastAsia" w:ascii="宋体" w:hAnsi="宋体" w:eastAsia="宋体" w:cs="宋体"/>
          <w:color w:val="auto"/>
          <w:sz w:val="21"/>
          <w:szCs w:val="21"/>
          <w:lang w:eastAsia="zh-CN"/>
        </w:rPr>
        <w:t>相应车型</w:t>
      </w:r>
      <w:r>
        <w:rPr>
          <w:rFonts w:hint="eastAsia" w:ascii="宋体" w:hAnsi="宋体" w:eastAsia="宋体" w:cs="宋体"/>
          <w:color w:val="auto"/>
          <w:sz w:val="21"/>
          <w:szCs w:val="21"/>
        </w:rPr>
        <w:t>中标单价执行</w:t>
      </w:r>
      <w:r>
        <w:rPr>
          <w:rFonts w:hint="eastAsia" w:ascii="宋体" w:hAnsi="宋体" w:eastAsia="宋体" w:cs="宋体"/>
          <w:color w:val="auto"/>
          <w:sz w:val="21"/>
          <w:szCs w:val="21"/>
          <w:lang w:eastAsia="zh-CN"/>
        </w:rPr>
        <w:t>，不予调价；其他情况可通过友好协商确定</w:t>
      </w:r>
      <w:r>
        <w:rPr>
          <w:rFonts w:hint="eastAsia" w:ascii="宋体" w:hAnsi="宋体" w:eastAsia="宋体" w:cs="宋体"/>
          <w:color w:val="auto"/>
          <w:sz w:val="21"/>
          <w:szCs w:val="21"/>
        </w:rPr>
        <w:t>。</w:t>
      </w:r>
    </w:p>
    <w:p w14:paraId="32747F43">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、租赁费用结算：</w:t>
      </w:r>
    </w:p>
    <w:p w14:paraId="7EBE48A3">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1、日租车费用结算乙方需提供车辆起、止公里数（仪表盘照片），加油小票（背面填写加油时的仪表总公里数）及甲方签字认可的租车审批表。</w:t>
      </w:r>
    </w:p>
    <w:p w14:paraId="5A7BB7FB">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2、月租车费用结算乙方需提供车辆起、止公里数（仪表盘照片），加油小票（背面填写加油时的仪表总公里数），车辆使用调配记录、甲方签字认可的月租车辆审批表。</w:t>
      </w:r>
    </w:p>
    <w:p w14:paraId="38E2F892">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、乙方指派的租用车辆来甲方单位的过程中发生的公里数、加油费等相关费用，甲方不予认可和结算。</w:t>
      </w:r>
    </w:p>
    <w:p w14:paraId="73950E52">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、甲方要关心乙方驾驶员的生活休息，不要疲劳驾驶，不强行要求驾驶员违章、违法行驶，不准驾驶乙方车辆，要尊重驾驶员的合理意见，共同做好安全生产工作。</w:t>
      </w:r>
    </w:p>
    <w:p w14:paraId="621564CC">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乙方提供的租赁车辆和驾驶员</w:t>
      </w:r>
      <w:r>
        <w:rPr>
          <w:rFonts w:hint="eastAsia" w:ascii="宋体" w:hAnsi="宋体" w:eastAsia="宋体" w:cs="宋体"/>
          <w:color w:val="auto"/>
          <w:szCs w:val="21"/>
        </w:rPr>
        <w:t>在租赁期间内所发生</w:t>
      </w:r>
      <w:r>
        <w:rPr>
          <w:rFonts w:hint="eastAsia" w:ascii="宋体" w:hAnsi="宋体" w:eastAsia="宋体" w:cs="宋体"/>
          <w:color w:val="auto"/>
          <w:szCs w:val="21"/>
          <w:lang w:eastAsia="zh-CN"/>
        </w:rPr>
        <w:t>的</w:t>
      </w:r>
      <w:r>
        <w:rPr>
          <w:rFonts w:hint="eastAsia" w:ascii="宋体" w:hAnsi="宋体" w:eastAsia="宋体" w:cs="宋体"/>
          <w:color w:val="auto"/>
          <w:szCs w:val="21"/>
        </w:rPr>
        <w:t>交通事故</w:t>
      </w:r>
      <w:r>
        <w:rPr>
          <w:rFonts w:hint="eastAsia" w:ascii="宋体" w:hAnsi="宋体" w:eastAsia="宋体" w:cs="宋体"/>
          <w:color w:val="auto"/>
          <w:szCs w:val="21"/>
          <w:lang w:eastAsia="zh-CN"/>
        </w:rPr>
        <w:t>或</w:t>
      </w:r>
      <w:r>
        <w:rPr>
          <w:rFonts w:hint="eastAsia" w:ascii="宋体" w:hAnsi="宋体" w:eastAsia="宋体" w:cs="宋体"/>
          <w:color w:val="auto"/>
          <w:szCs w:val="21"/>
        </w:rPr>
        <w:t>其他事故造成的一切后果，包括但不限于有关部门的罚款等</w:t>
      </w:r>
      <w:r>
        <w:rPr>
          <w:rFonts w:hint="eastAsia" w:ascii="宋体" w:hAnsi="宋体" w:eastAsia="宋体" w:cs="宋体"/>
          <w:color w:val="auto"/>
          <w:szCs w:val="21"/>
          <w:lang w:eastAsia="zh-CN"/>
        </w:rPr>
        <w:t>，均由乙方自行承担，与甲方无关</w:t>
      </w:r>
      <w:r>
        <w:rPr>
          <w:rFonts w:hint="eastAsia" w:ascii="宋体" w:hAnsi="宋体" w:eastAsia="宋体" w:cs="宋体"/>
          <w:color w:val="auto"/>
          <w:szCs w:val="21"/>
        </w:rPr>
        <w:t>。如导致</w:t>
      </w:r>
      <w:r>
        <w:rPr>
          <w:rFonts w:hint="eastAsia" w:ascii="宋体" w:hAnsi="宋体" w:eastAsia="宋体" w:cs="宋体"/>
          <w:color w:val="auto"/>
          <w:szCs w:val="21"/>
          <w:lang w:eastAsia="zh-CN"/>
        </w:rPr>
        <w:t>甲方</w:t>
      </w:r>
      <w:r>
        <w:rPr>
          <w:rFonts w:hint="eastAsia" w:ascii="宋体" w:hAnsi="宋体" w:eastAsia="宋体" w:cs="宋体"/>
          <w:color w:val="auto"/>
          <w:szCs w:val="21"/>
        </w:rPr>
        <w:t>对外承担法律责任的，</w:t>
      </w:r>
      <w:r>
        <w:rPr>
          <w:rFonts w:hint="eastAsia" w:ascii="宋体" w:hAnsi="宋体" w:eastAsia="宋体" w:cs="宋体"/>
          <w:color w:val="auto"/>
          <w:szCs w:val="21"/>
          <w:lang w:eastAsia="zh-CN"/>
        </w:rPr>
        <w:t>乙方需</w:t>
      </w:r>
      <w:r>
        <w:rPr>
          <w:rFonts w:hint="eastAsia" w:ascii="宋体" w:hAnsi="宋体" w:eastAsia="宋体" w:cs="宋体"/>
          <w:color w:val="auto"/>
          <w:szCs w:val="21"/>
        </w:rPr>
        <w:t>在</w:t>
      </w:r>
      <w:r>
        <w:rPr>
          <w:rFonts w:hint="eastAsia" w:ascii="宋体" w:hAnsi="宋体" w:eastAsia="宋体" w:cs="宋体"/>
          <w:color w:val="auto"/>
          <w:szCs w:val="21"/>
          <w:lang w:eastAsia="zh-CN"/>
        </w:rPr>
        <w:t>甲方</w:t>
      </w:r>
      <w:r>
        <w:rPr>
          <w:rFonts w:hint="eastAsia" w:ascii="宋体" w:hAnsi="宋体" w:eastAsia="宋体" w:cs="宋体"/>
          <w:color w:val="auto"/>
          <w:szCs w:val="21"/>
        </w:rPr>
        <w:t>对外承担法律责任3日内将承担的款项</w:t>
      </w:r>
      <w:r>
        <w:rPr>
          <w:rFonts w:hint="eastAsia" w:ascii="宋体" w:hAnsi="宋体" w:eastAsia="宋体" w:cs="宋体"/>
          <w:color w:val="auto"/>
          <w:szCs w:val="21"/>
          <w:lang w:eastAsia="zh-CN"/>
        </w:rPr>
        <w:t>支付给甲方</w:t>
      </w:r>
      <w:r>
        <w:rPr>
          <w:rFonts w:hint="eastAsia" w:ascii="宋体" w:hAnsi="宋体" w:eastAsia="宋体" w:cs="宋体"/>
          <w:color w:val="auto"/>
          <w:szCs w:val="21"/>
        </w:rPr>
        <w:t>，否则，</w:t>
      </w:r>
      <w:r>
        <w:rPr>
          <w:rFonts w:hint="eastAsia" w:ascii="宋体" w:hAnsi="宋体" w:eastAsia="宋体" w:cs="宋体"/>
          <w:color w:val="auto"/>
          <w:szCs w:val="21"/>
          <w:lang w:eastAsia="zh-CN"/>
        </w:rPr>
        <w:t>甲方</w:t>
      </w:r>
      <w:r>
        <w:rPr>
          <w:rFonts w:hint="eastAsia" w:ascii="宋体" w:hAnsi="宋体" w:eastAsia="宋体" w:cs="宋体"/>
          <w:color w:val="auto"/>
          <w:szCs w:val="21"/>
        </w:rPr>
        <w:t>享有追偿权，包括但不限于赔偿款、诉讼费、律师费、交通住宿费等。</w:t>
      </w:r>
    </w:p>
    <w:p w14:paraId="521BC023">
      <w:pPr>
        <w:keepNext w:val="0"/>
        <w:keepLines w:val="0"/>
        <w:pageBreakBefore w:val="0"/>
        <w:kinsoku/>
        <w:wordWrap/>
        <w:overflowPunct/>
        <w:topLinePunct w:val="0"/>
        <w:autoSpaceDE/>
        <w:autoSpaceDN/>
        <w:bidi w:val="0"/>
        <w:adjustRightInd/>
        <w:spacing w:line="360" w:lineRule="auto"/>
        <w:ind w:left="0" w:leftChars="0" w:firstLine="422"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、在合同签订之前，乙方需提交</w:t>
      </w:r>
      <w:r>
        <w:rPr>
          <w:rFonts w:hint="eastAsia" w:ascii="宋体" w:hAnsi="宋体" w:eastAsia="宋体" w:cs="宋体"/>
          <w:b/>
          <w:bCs/>
          <w:color w:val="auto"/>
          <w:sz w:val="24"/>
          <w:szCs w:val="24"/>
          <w:lang w:val="en-US" w:eastAsia="zh-CN"/>
        </w:rPr>
        <w:t>贰万</w:t>
      </w:r>
      <w:r>
        <w:rPr>
          <w:rFonts w:hint="eastAsia" w:ascii="宋体" w:hAnsi="宋体" w:eastAsia="宋体" w:cs="宋体"/>
          <w:b/>
          <w:bCs/>
          <w:color w:val="auto"/>
          <w:sz w:val="24"/>
          <w:szCs w:val="24"/>
        </w:rPr>
        <w:t>元</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0000.00</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1"/>
          <w:szCs w:val="21"/>
        </w:rPr>
        <w:t>的履约保证金至甲方指定账户，以确保合同履行。</w:t>
      </w:r>
    </w:p>
    <w:p w14:paraId="0FB7D71D">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、在合同履行期间，乙方应严格按照甲方的要求及时提供有效的租赁车辆。如不能</w:t>
      </w:r>
      <w:r>
        <w:rPr>
          <w:rFonts w:hint="eastAsia" w:ascii="宋体" w:hAnsi="宋体" w:eastAsia="宋体" w:cs="宋体"/>
          <w:color w:val="auto"/>
          <w:sz w:val="21"/>
          <w:szCs w:val="21"/>
          <w:lang w:eastAsia="zh-CN"/>
        </w:rPr>
        <w:t>及时</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或者提供的车辆和驾驶员不符合规定要求，</w:t>
      </w:r>
      <w:r>
        <w:rPr>
          <w:rFonts w:hint="eastAsia" w:ascii="宋体" w:hAnsi="宋体" w:eastAsia="宋体" w:cs="宋体"/>
          <w:color w:val="auto"/>
          <w:sz w:val="21"/>
          <w:szCs w:val="21"/>
        </w:rPr>
        <w:t>甲方将按照每次壹仟元的标准扣除乙方提交的履约保证金，作为</w:t>
      </w:r>
      <w:r>
        <w:rPr>
          <w:rFonts w:hint="eastAsia" w:ascii="宋体" w:hAnsi="宋体" w:eastAsia="宋体" w:cs="宋体"/>
          <w:color w:val="auto"/>
          <w:sz w:val="21"/>
          <w:szCs w:val="21"/>
          <w:lang w:eastAsia="zh-CN"/>
        </w:rPr>
        <w:t>违约</w:t>
      </w:r>
      <w:r>
        <w:rPr>
          <w:rFonts w:hint="eastAsia" w:ascii="宋体" w:hAnsi="宋体" w:eastAsia="宋体" w:cs="宋体"/>
          <w:color w:val="auto"/>
          <w:sz w:val="21"/>
          <w:szCs w:val="21"/>
        </w:rPr>
        <w:t>处罚。乙方三次不能按照甲方的要求提供车辆的，本合同自行中止，乙方剩余的履约保证金甲方将不再退还。</w:t>
      </w:r>
    </w:p>
    <w:p w14:paraId="43237EC4">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、本合同在执行过程中如有争议，双方协商解决或通过人民法院提起诉讼，双方特别约定管辖法院为合肥市蜀山区人民法院。</w:t>
      </w:r>
    </w:p>
    <w:p w14:paraId="79C608E0">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十六、服务期限自合同签订之日起两年。合同期满后，</w:t>
      </w:r>
      <w:r>
        <w:rPr>
          <w:rFonts w:hint="eastAsia" w:ascii="宋体" w:hAnsi="宋体" w:eastAsia="宋体" w:cs="宋体"/>
          <w:color w:val="auto"/>
          <w:sz w:val="21"/>
          <w:szCs w:val="21"/>
          <w:u w:val="none"/>
          <w:lang w:val="en-US" w:eastAsia="zh-CN"/>
        </w:rPr>
        <w:t>对于驻点试验室租用车辆，经双方协商同意，可顺延至项目结束。</w:t>
      </w:r>
    </w:p>
    <w:p w14:paraId="73D99B50">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、本合同一式四份，双方各执二份，经签字盖章后生效。</w:t>
      </w:r>
    </w:p>
    <w:p w14:paraId="629B2027">
      <w:pPr>
        <w:pStyle w:val="2"/>
        <w:rPr>
          <w:rFonts w:hint="eastAsia" w:ascii="宋体" w:hAnsi="宋体" w:eastAsia="宋体" w:cs="宋体"/>
          <w:color w:val="auto"/>
          <w:sz w:val="21"/>
          <w:szCs w:val="21"/>
        </w:rPr>
      </w:pPr>
    </w:p>
    <w:p w14:paraId="6F8C877D">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甲</w:t>
      </w:r>
      <w:r>
        <w:rPr>
          <w:rFonts w:hint="eastAsia" w:ascii="宋体" w:hAnsi="宋体" w:eastAsia="宋体" w:cs="宋体"/>
          <w:color w:val="auto"/>
          <w:sz w:val="21"/>
          <w:szCs w:val="21"/>
        </w:rPr>
        <w:t xml:space="preserve">方（盖章）                                  </w:t>
      </w:r>
      <w:r>
        <w:rPr>
          <w:rFonts w:hint="eastAsia" w:ascii="宋体" w:hAnsi="宋体" w:eastAsia="宋体" w:cs="宋体"/>
          <w:color w:val="auto"/>
          <w:sz w:val="21"/>
          <w:szCs w:val="21"/>
          <w:lang w:val="en-US" w:eastAsia="zh-CN"/>
        </w:rPr>
        <w:t xml:space="preserve">   乙</w:t>
      </w:r>
      <w:r>
        <w:rPr>
          <w:rFonts w:hint="eastAsia" w:ascii="宋体" w:hAnsi="宋体" w:eastAsia="宋体" w:cs="宋体"/>
          <w:color w:val="auto"/>
          <w:sz w:val="21"/>
          <w:szCs w:val="21"/>
        </w:rPr>
        <w:t>方（盖章）</w:t>
      </w:r>
    </w:p>
    <w:p w14:paraId="6EC4030D">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代表签字：                                       代表签字：</w:t>
      </w:r>
    </w:p>
    <w:p w14:paraId="1060D7CE">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日期：                                           日期：</w:t>
      </w:r>
    </w:p>
    <w:p w14:paraId="58025F06">
      <w:pPr>
        <w:pStyle w:val="2"/>
        <w:rPr>
          <w:rFonts w:ascii="Times New Roman" w:hAnsi="Times New Roman" w:cs="Times New Roman"/>
          <w:color w:val="auto"/>
          <w:sz w:val="28"/>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B617870">
      <w:pPr>
        <w:snapToGrid w:val="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二、</w:t>
      </w:r>
      <w:r>
        <w:rPr>
          <w:rFonts w:hint="eastAsia" w:ascii="宋体" w:hAnsi="宋体" w:eastAsia="宋体" w:cs="宋体"/>
          <w:b/>
          <w:bCs/>
          <w:color w:val="auto"/>
          <w:sz w:val="36"/>
          <w:szCs w:val="36"/>
        </w:rPr>
        <w:t>安全生产合同</w:t>
      </w:r>
    </w:p>
    <w:p w14:paraId="66618747">
      <w:pPr>
        <w:snapToGrid/>
        <w:spacing w:line="440" w:lineRule="exact"/>
        <w:ind w:firstLine="420" w:firstLineChars="2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为在合同的服务过程中创造安全、高效的工作环境，切实搞好车辆租赁的安全管理工作， 安徽省高速公路试验检测科研中心有限公司 (以下简称“甲方”)与</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(以下简称“乙方”)特此签订安全生产合同：</w:t>
      </w:r>
    </w:p>
    <w:p w14:paraId="3BB07ED2">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第一条 甲方责任</w:t>
      </w:r>
    </w:p>
    <w:p w14:paraId="204E3674">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（一）严格遵守国家有关车辆行驶、驾驶的法律法规，认真执行车辆租赁服务协议合同中的有关安全要求。</w:t>
      </w:r>
    </w:p>
    <w:p w14:paraId="064D4B85">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（二）按照“安全第一、预防为主、综合治理”的原则对安全生产工作进行监督及管理。</w:t>
      </w:r>
    </w:p>
    <w:p w14:paraId="0D959EBA">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（四）按照本次车辆租赁服务特点，组织制定本服务实施中的生产安全事故应急救援预案；组织对乙方服务期间进行监督，监督乙方及时处理发现的各种安全隐患。</w:t>
      </w:r>
    </w:p>
    <w:p w14:paraId="604898AE">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第二条 乙方职责</w:t>
      </w:r>
    </w:p>
    <w:p w14:paraId="66B4E0F2">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（一）乙方派驻人员应坚持“安全第一、预防为主、综合治理”原则，严格遵守国家及行业有关车辆驾驶的法律法规、规程等规定，认真执行合同中的有关安全要求。</w:t>
      </w:r>
    </w:p>
    <w:p w14:paraId="5EFEE53E">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（二）乙方应加强派驻人员的安全生产宣传教育工作，增强全员安全生产意识，有组织、有计划地按照甲方要求开展安全活动。</w:t>
      </w:r>
    </w:p>
    <w:p w14:paraId="753BFA39">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（三）乙方在任何时候都应采取各种合理的预防措施，防止其员工发生违法、违禁、暴力或妨碍治安的行为。</w:t>
      </w:r>
    </w:p>
    <w:p w14:paraId="784BAA3C">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（四）乙方派驻人员须接受安全驾驶技术教育和培训，熟知和遵守驾驶员的各项安全技术操作规程。</w:t>
      </w:r>
    </w:p>
    <w:p w14:paraId="5F80B5AB">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（五）驾驶员上车，必须寄好安全带。驾驶人员禁止在工作期间喝酒，禁止酒后驾车，禁止疲劳驾驶车辆。</w:t>
      </w:r>
    </w:p>
    <w:p w14:paraId="12CA6588">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（六）乙方应当定期对车辆进行保养检查，购买相应车辆保险、按时对车辆进行相关年审。</w:t>
      </w:r>
    </w:p>
    <w:p w14:paraId="03D79C4D">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（七）乙方承担服务期间全部的安全责任，项目实施过程中如发生安全事故，由此造成任何的人身伤亡、罚款、索赔、损失补偿、诉讼费用及其他一切责任均由乙方承担。</w:t>
      </w:r>
    </w:p>
    <w:p w14:paraId="664D5556">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（八）乙方派驻的驾驶员应持相应的驾驶证，防止准驾车型与实际不符合。</w:t>
      </w:r>
    </w:p>
    <w:p w14:paraId="166CE9B1">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第三条 违约责任</w:t>
      </w:r>
    </w:p>
    <w:p w14:paraId="10AC3F1B">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（一）乙方派驻人员具体实施和完成本合同工程的过程中，应采取足够的安全预防措施，以保证施租赁服务期间的安全工作。如发生安全事故导致索赔、诉讼以及其他经济损失，应由乙方承担一切责任和费用。</w:t>
      </w:r>
    </w:p>
    <w:p w14:paraId="2EC6A039">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（二）如因乙方导致的安全事故对甲方名誉、财产造成损失的，甲方将有权解除合同并依法追究责任。</w:t>
      </w:r>
    </w:p>
    <w:p w14:paraId="663B5ED6">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（三）甲方有权在工作开展过程中查验乙方投入本项目车辆各类保险凭证，如因乙方原因出现安全事故，乙方未能及时处理，甲方有权使用乙方工程款优先执行相关合理赔偿，乙方必须服从。</w:t>
      </w:r>
    </w:p>
    <w:p w14:paraId="163A0D05">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（四）甲方在检查过程中发现车辆隐患，乙方未能及时整改的或屡改屡犯的，视情节轻重甲方有权对乙方处以人民币5000-50000元罚款。</w:t>
      </w:r>
    </w:p>
    <w:p w14:paraId="74C7EF35">
      <w:pPr>
        <w:pStyle w:val="2"/>
        <w:rPr>
          <w:rFonts w:hint="eastAsia" w:ascii="Times New Roman" w:hAnsi="Times New Roman" w:eastAsia="宋体" w:cs="Times New Roman"/>
          <w:color w:val="auto"/>
          <w:sz w:val="21"/>
          <w:szCs w:val="21"/>
          <w:highlight w:val="none"/>
          <w:lang w:val="en-US" w:eastAsia="zh-CN"/>
        </w:rPr>
      </w:pPr>
    </w:p>
    <w:p w14:paraId="2DAF8394">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甲方:                                          乙方： </w:t>
      </w:r>
    </w:p>
    <w:p w14:paraId="2C434398">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法定代表人                                     法定代表人</w:t>
      </w:r>
    </w:p>
    <w:p w14:paraId="42B81288">
      <w:pPr>
        <w:snapToGrid/>
        <w:spacing w:line="440" w:lineRule="exact"/>
        <w:ind w:firstLine="367" w:firstLineChars="175"/>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或其委托代理人： 　            　              或其委托代理人：                              </w:t>
      </w:r>
    </w:p>
    <w:p w14:paraId="430A632C">
      <w:pPr>
        <w:snapToGrid/>
        <w:spacing w:line="440" w:lineRule="exact"/>
        <w:ind w:firstLine="367" w:firstLineChars="175"/>
        <w:jc w:val="left"/>
        <w:rPr>
          <w:rFonts w:hint="eastAsia" w:ascii="仿宋" w:hAnsi="仿宋" w:eastAsia="仿宋" w:cs="仿宋"/>
          <w:color w:val="auto"/>
          <w:sz w:val="24"/>
          <w:szCs w:val="24"/>
          <w:lang w:val="en-US" w:eastAsia="zh-CN" w:bidi="ar"/>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cs="Times New Roman"/>
          <w:color w:val="auto"/>
          <w:sz w:val="21"/>
          <w:szCs w:val="21"/>
          <w:highlight w:val="none"/>
          <w:lang w:val="en-US" w:eastAsia="zh-CN"/>
        </w:rPr>
        <w:t>签约时间： 　年   月   日　                    签约时间： 　年    月   日　</w:t>
      </w:r>
      <w:r>
        <w:rPr>
          <w:rFonts w:hint="eastAsia" w:ascii="仿宋" w:hAnsi="仿宋" w:eastAsia="仿宋" w:cs="仿宋"/>
          <w:color w:val="auto"/>
          <w:sz w:val="24"/>
          <w:szCs w:val="24"/>
          <w:lang w:val="en-US" w:eastAsia="zh-CN" w:bidi="ar"/>
        </w:rPr>
        <w:t xml:space="preserve">  </w:t>
      </w:r>
    </w:p>
    <w:p w14:paraId="0406E6AA">
      <w:pPr>
        <w:snapToGrid/>
        <w:spacing w:line="440" w:lineRule="exact"/>
        <w:jc w:val="center"/>
        <w:rPr>
          <w:rFonts w:hint="default" w:ascii="宋体" w:hAnsi="宋体" w:eastAsia="宋体" w:cs="宋体"/>
          <w:color w:val="auto"/>
          <w:szCs w:val="24"/>
          <w:lang w:val="en-US" w:eastAsia="zh-CN"/>
        </w:rPr>
      </w:pPr>
      <w:bookmarkStart w:id="147" w:name="_Toc14756_WPSOffice_Level1"/>
      <w:r>
        <w:rPr>
          <w:rFonts w:hint="eastAsia" w:ascii="宋体" w:hAnsi="宋体" w:eastAsia="宋体" w:cs="宋体"/>
          <w:b/>
          <w:bCs/>
          <w:color w:val="auto"/>
          <w:sz w:val="36"/>
          <w:szCs w:val="36"/>
          <w:lang w:val="en-US" w:eastAsia="zh-CN"/>
        </w:rPr>
        <w:t>三、廉政合同</w:t>
      </w:r>
    </w:p>
    <w:p w14:paraId="4B52A915">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为加强在公司</w:t>
      </w:r>
      <w:r>
        <w:rPr>
          <w:rFonts w:hint="eastAsia" w:ascii="Times New Roman" w:hAnsi="Times New Roman" w:cs="Times New Roman"/>
          <w:color w:val="auto"/>
          <w:sz w:val="21"/>
          <w:szCs w:val="21"/>
          <w:highlight w:val="none"/>
          <w:lang w:val="en-US" w:eastAsia="zh-CN"/>
        </w:rPr>
        <w:t>车辆租赁</w:t>
      </w:r>
      <w:r>
        <w:rPr>
          <w:rFonts w:hint="default" w:ascii="Times New Roman" w:hAnsi="Times New Roman" w:eastAsia="宋体" w:cs="Times New Roman"/>
          <w:color w:val="auto"/>
          <w:sz w:val="21"/>
          <w:szCs w:val="21"/>
          <w:highlight w:val="none"/>
          <w:lang w:val="en-US" w:eastAsia="zh-CN"/>
        </w:rPr>
        <w:t>等采购中的党风廉政建设，规范、约束采供双方的行为，防止违法违纪和不廉洁问题的发生，维护双方合法利益，经安徽省高速公路试验检测科研中心有限公司(以下简称“甲方”)与</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(以下简称“乙方”)同意，特订立如下合同。</w:t>
      </w:r>
    </w:p>
    <w:p w14:paraId="1E5C4B28">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 甲方和乙方双方的权利和义务</w:t>
      </w:r>
    </w:p>
    <w:p w14:paraId="51F6C419">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(1)严格遵守党的政策规定和国家有关法律法规规定。</w:t>
      </w:r>
    </w:p>
    <w:p w14:paraId="5B50F5A3">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(2)严格执行“</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”（项目名称）合同文件，自觉按合同办事。</w:t>
      </w:r>
    </w:p>
    <w:p w14:paraId="04C07759">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(3)双方的业务活动坚持公开、公正、诚信、透明的原则(法律认定的商业秘密和合同文件另有规定除外)，不得损害国家和集体利益，不得违反规章制度。</w:t>
      </w:r>
    </w:p>
    <w:p w14:paraId="7C8AF257">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(4)建立健全廉政制度，开展廉政教育，设立廉政告示牌，公布举报电话，监督并认真查处违法违纪行为。</w:t>
      </w:r>
    </w:p>
    <w:p w14:paraId="7BE6E813">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(5)发现对方在业务活动中有违反廉政规定的行为，有及时提醒对方纠正的权利和义务。</w:t>
      </w:r>
    </w:p>
    <w:p w14:paraId="0D476B90">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(6)发现对方严重违反本合同义务条款的行为，有向其上级有关部门举报、建议给予处理并要求告知处理结果的权利。</w:t>
      </w:r>
    </w:p>
    <w:p w14:paraId="4818406D">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 甲方的义务</w:t>
      </w:r>
    </w:p>
    <w:p w14:paraId="259517A7">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(1)甲方及其工作人员不得索要或接受乙方的礼金、有价证券和贵重物品，不得让乙方报销任何应由甲方或甲方工作人员个人支付的费用等。</w:t>
      </w:r>
    </w:p>
    <w:p w14:paraId="20D3AD83">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(2)甲方工作人员不得参加乙方安排的超标准宴请和娱乐活动；不得接受乙方提供的通讯工具、交通工具和高档办公用品等。</w:t>
      </w:r>
    </w:p>
    <w:p w14:paraId="004F9365">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(3)甲方工作人员及其配偶、子女不得从事与甲方项目有关的材料设备供应、工程分包、劳务、服务等经济活动。</w:t>
      </w:r>
    </w:p>
    <w:p w14:paraId="486C0C48">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(4)甲方及其工作人员不得以任何理由向乙方推荐分包单位或推销材料，不得要求乙方购买合同规定外的物资、材料和设备。</w:t>
      </w:r>
    </w:p>
    <w:p w14:paraId="714282CE">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 乙方的义务</w:t>
      </w:r>
    </w:p>
    <w:p w14:paraId="7B57C017">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(1)乙方不得以任何理由向甲方及其工作人员行贿或馈赠礼金、有价证券、贵重礼品。</w:t>
      </w:r>
    </w:p>
    <w:p w14:paraId="1DEAD954">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(2)乙方不得以任何名义为甲方及其工作人员报销应由甲方单位或个人支付的任何费用。</w:t>
      </w:r>
    </w:p>
    <w:p w14:paraId="0DB96543">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(3)乙方不得以任何理由安排甲方工作人员参加超标准宴请及娱乐活动。</w:t>
      </w:r>
    </w:p>
    <w:p w14:paraId="248B0886">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(4)乙方不得为甲方单位和个人购置或提供通信工具、交通工具和高档办公用品等。</w:t>
      </w:r>
    </w:p>
    <w:p w14:paraId="6C206D07">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 违约责任</w:t>
      </w:r>
    </w:p>
    <w:p w14:paraId="431EDC32">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(1)甲方及其工作人员违反本合同第1、2条，按管理权限，依据有关规定给予党纪、政纪或组织处理；涉嫌犯罪的，移交司法机关追究刑事责任；给乙方单位造成经济损失的，应予以赔偿。</w:t>
      </w:r>
    </w:p>
    <w:p w14:paraId="01087CB3">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(2)乙方及其工作人员违反本合同第1、3条，按管理权限，依据有关规定给予党纪、政纪或组织处理；给甲方单位造成经济损失的，应予以赔偿。</w:t>
      </w:r>
    </w:p>
    <w:p w14:paraId="6D428E74">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 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6CFB6C48">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 本合同有效期为甲方和乙方签署之日起至该项目完成后止。</w:t>
      </w:r>
    </w:p>
    <w:p w14:paraId="37A970D4">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 本合同作为“</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none"/>
          <w:lang w:val="en-US" w:eastAsia="zh-CN"/>
        </w:rPr>
        <w:t>”</w:t>
      </w:r>
      <w:r>
        <w:rPr>
          <w:rFonts w:hint="default" w:ascii="Times New Roman" w:hAnsi="Times New Roman" w:eastAsia="宋体" w:cs="Times New Roman"/>
          <w:color w:val="auto"/>
          <w:sz w:val="21"/>
          <w:szCs w:val="21"/>
          <w:highlight w:val="none"/>
          <w:lang w:val="en-US" w:eastAsia="zh-CN"/>
        </w:rPr>
        <w:t xml:space="preserve"> （项目名称）合同的附件，与项目主合同具有同等的法律效力，经合同双方签署后立即生效。</w:t>
      </w:r>
    </w:p>
    <w:p w14:paraId="4C6FD04F">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8.本合同一式四份，甲方、乙方各执贰份。</w:t>
      </w:r>
    </w:p>
    <w:p w14:paraId="6F99F9A6">
      <w:pPr>
        <w:pStyle w:val="2"/>
        <w:rPr>
          <w:rFonts w:hint="default"/>
          <w:color w:val="auto"/>
          <w:lang w:val="en-US" w:eastAsia="zh-CN"/>
        </w:rPr>
      </w:pPr>
    </w:p>
    <w:p w14:paraId="3F785846">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甲方:</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（盖章）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（盖章）</w:t>
      </w:r>
    </w:p>
    <w:p w14:paraId="5BE24B5F">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法定代表人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法定代表人</w:t>
      </w:r>
    </w:p>
    <w:p w14:paraId="671E3B95">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或其委托代理人：</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（签字或盖章）  或其委托代理人：</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（签字或盖章）</w:t>
      </w:r>
    </w:p>
    <w:p w14:paraId="6A6ECBBF">
      <w:pPr>
        <w:snapToGrid/>
        <w:spacing w:line="440" w:lineRule="exact"/>
        <w:ind w:firstLine="367" w:firstLineChars="175"/>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签约时间：</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w:t>
      </w:r>
      <w:r>
        <w:rPr>
          <w:rFonts w:hint="default" w:ascii="Times New Roman" w:hAnsi="Times New Roman" w:eastAsia="宋体" w:cs="Times New Roman"/>
          <w:color w:val="auto"/>
          <w:sz w:val="21"/>
          <w:szCs w:val="21"/>
          <w:highlight w:val="none"/>
          <w:lang w:val="en-US" w:eastAsia="zh-CN"/>
        </w:rPr>
        <w:t>年</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月</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日　      签约时间：</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w:t>
      </w:r>
      <w:r>
        <w:rPr>
          <w:rFonts w:hint="default" w:ascii="Times New Roman" w:hAnsi="Times New Roman" w:eastAsia="宋体" w:cs="Times New Roman"/>
          <w:color w:val="auto"/>
          <w:sz w:val="21"/>
          <w:szCs w:val="21"/>
          <w:highlight w:val="none"/>
          <w:lang w:val="en-US" w:eastAsia="zh-CN"/>
        </w:rPr>
        <w:t>年</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月</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日</w:t>
      </w:r>
    </w:p>
    <w:p w14:paraId="66F5C97F">
      <w:pPr>
        <w:bidi w:val="0"/>
        <w:rPr>
          <w:rFonts w:hint="eastAsia"/>
          <w:color w:val="auto"/>
        </w:rPr>
      </w:pPr>
    </w:p>
    <w:p w14:paraId="066AC3CB">
      <w:pPr>
        <w:bidi w:val="0"/>
        <w:rPr>
          <w:rFonts w:hint="eastAsia"/>
          <w:color w:val="auto"/>
        </w:rPr>
      </w:pPr>
    </w:p>
    <w:p w14:paraId="1C71AC3C">
      <w:pPr>
        <w:bidi w:val="0"/>
        <w:rPr>
          <w:rFonts w:hint="eastAsia"/>
          <w:color w:val="auto"/>
        </w:rPr>
      </w:pPr>
    </w:p>
    <w:p w14:paraId="29D95B3A">
      <w:pPr>
        <w:bidi w:val="0"/>
        <w:rPr>
          <w:rFonts w:hint="eastAsia"/>
          <w:color w:val="auto"/>
        </w:rPr>
      </w:pPr>
    </w:p>
    <w:p w14:paraId="1B7D2694">
      <w:pPr>
        <w:bidi w:val="0"/>
        <w:rPr>
          <w:rFonts w:hint="eastAsia"/>
          <w:color w:val="auto"/>
        </w:rPr>
      </w:pPr>
    </w:p>
    <w:p w14:paraId="41EEA65B">
      <w:pPr>
        <w:bidi w:val="0"/>
        <w:rPr>
          <w:rFonts w:hint="eastAsia"/>
          <w:color w:val="auto"/>
        </w:rPr>
      </w:pPr>
    </w:p>
    <w:p w14:paraId="38685275">
      <w:pPr>
        <w:bidi w:val="0"/>
        <w:rPr>
          <w:rFonts w:hint="eastAsia"/>
          <w:color w:val="auto"/>
        </w:rPr>
      </w:pPr>
    </w:p>
    <w:p w14:paraId="254BE84C">
      <w:pPr>
        <w:bidi w:val="0"/>
        <w:rPr>
          <w:rFonts w:hint="eastAsia"/>
          <w:color w:val="auto"/>
        </w:rPr>
      </w:pPr>
    </w:p>
    <w:p w14:paraId="6878A912">
      <w:pPr>
        <w:bidi w:val="0"/>
        <w:rPr>
          <w:rFonts w:hint="eastAsia"/>
          <w:color w:val="auto"/>
        </w:rPr>
      </w:pPr>
    </w:p>
    <w:p w14:paraId="43593E06">
      <w:pPr>
        <w:bidi w:val="0"/>
        <w:rPr>
          <w:rFonts w:hint="eastAsia"/>
          <w:color w:val="auto"/>
        </w:rPr>
      </w:pPr>
    </w:p>
    <w:p w14:paraId="1A75BF4E">
      <w:pPr>
        <w:bidi w:val="0"/>
        <w:rPr>
          <w:rFonts w:hint="eastAsia"/>
          <w:color w:val="auto"/>
        </w:rPr>
      </w:pPr>
    </w:p>
    <w:p w14:paraId="477FE377">
      <w:pPr>
        <w:bidi w:val="0"/>
        <w:rPr>
          <w:rFonts w:hint="eastAsia"/>
          <w:color w:val="auto"/>
        </w:rPr>
      </w:pPr>
    </w:p>
    <w:p w14:paraId="658FD00C">
      <w:pPr>
        <w:bidi w:val="0"/>
        <w:rPr>
          <w:rFonts w:hint="eastAsia"/>
          <w:color w:val="auto"/>
        </w:rPr>
      </w:pPr>
    </w:p>
    <w:p w14:paraId="31062990">
      <w:pPr>
        <w:pStyle w:val="2"/>
        <w:rPr>
          <w:rFonts w:hint="eastAsia"/>
          <w:color w:val="auto"/>
        </w:rPr>
      </w:pPr>
    </w:p>
    <w:p w14:paraId="0FBC07A5">
      <w:pPr>
        <w:pStyle w:val="3"/>
        <w:outlineLvl w:val="9"/>
        <w:rPr>
          <w:rFonts w:hint="eastAsia"/>
          <w:color w:val="auto"/>
        </w:rPr>
      </w:pPr>
    </w:p>
    <w:p w14:paraId="02378408">
      <w:pPr>
        <w:rPr>
          <w:rFonts w:hint="eastAsia"/>
          <w:color w:val="auto"/>
        </w:rPr>
      </w:pPr>
    </w:p>
    <w:p w14:paraId="78DC00C9">
      <w:pPr>
        <w:pStyle w:val="2"/>
        <w:rPr>
          <w:rFonts w:hint="eastAsia"/>
          <w:color w:val="auto"/>
        </w:rPr>
      </w:pPr>
    </w:p>
    <w:p w14:paraId="3D33C474">
      <w:pPr>
        <w:pStyle w:val="3"/>
        <w:outlineLvl w:val="9"/>
        <w:rPr>
          <w:rFonts w:hint="eastAsia"/>
          <w:color w:val="auto"/>
        </w:rPr>
      </w:pPr>
    </w:p>
    <w:p w14:paraId="30812F83">
      <w:pPr>
        <w:rPr>
          <w:rFonts w:hint="eastAsia"/>
          <w:color w:val="auto"/>
        </w:rPr>
      </w:pPr>
    </w:p>
    <w:p w14:paraId="48ADD451">
      <w:pPr>
        <w:pStyle w:val="2"/>
        <w:rPr>
          <w:rFonts w:hint="eastAsia"/>
          <w:color w:val="auto"/>
        </w:rPr>
      </w:pPr>
    </w:p>
    <w:p w14:paraId="72C537DC">
      <w:pPr>
        <w:pStyle w:val="3"/>
        <w:outlineLvl w:val="9"/>
        <w:rPr>
          <w:rFonts w:hint="eastAsia"/>
          <w:color w:val="auto"/>
        </w:rPr>
      </w:pPr>
    </w:p>
    <w:p w14:paraId="2D3FABF6">
      <w:pPr>
        <w:rPr>
          <w:rFonts w:hint="eastAsia"/>
          <w:color w:val="auto"/>
        </w:rPr>
      </w:pPr>
    </w:p>
    <w:p w14:paraId="6FDECB61">
      <w:pPr>
        <w:pStyle w:val="2"/>
        <w:rPr>
          <w:rFonts w:hint="eastAsia"/>
          <w:color w:val="auto"/>
        </w:rPr>
      </w:pPr>
    </w:p>
    <w:p w14:paraId="2FA0F410">
      <w:pPr>
        <w:pStyle w:val="3"/>
        <w:outlineLvl w:val="9"/>
        <w:rPr>
          <w:rFonts w:hint="eastAsia"/>
          <w:color w:val="auto"/>
        </w:rPr>
      </w:pPr>
    </w:p>
    <w:p w14:paraId="1497BB1C">
      <w:pPr>
        <w:rPr>
          <w:rFonts w:hint="eastAsia"/>
          <w:color w:val="auto"/>
        </w:rPr>
      </w:pPr>
    </w:p>
    <w:p w14:paraId="6E3CA1EA">
      <w:pPr>
        <w:pStyle w:val="2"/>
        <w:rPr>
          <w:rFonts w:hint="eastAsia"/>
          <w:color w:val="auto"/>
        </w:rPr>
      </w:pPr>
    </w:p>
    <w:p w14:paraId="3086D369">
      <w:pPr>
        <w:pStyle w:val="3"/>
        <w:outlineLvl w:val="9"/>
        <w:rPr>
          <w:rFonts w:hint="eastAsia"/>
          <w:color w:val="auto"/>
        </w:rPr>
      </w:pPr>
    </w:p>
    <w:p w14:paraId="32DCCADD">
      <w:pPr>
        <w:rPr>
          <w:rFonts w:hint="eastAsia"/>
          <w:color w:val="auto"/>
        </w:rPr>
      </w:pPr>
    </w:p>
    <w:p w14:paraId="24F8772A">
      <w:pPr>
        <w:pStyle w:val="2"/>
        <w:rPr>
          <w:rFonts w:hint="eastAsia"/>
          <w:color w:val="auto"/>
        </w:rPr>
      </w:pPr>
    </w:p>
    <w:p w14:paraId="4E35192C">
      <w:pPr>
        <w:bidi w:val="0"/>
        <w:rPr>
          <w:rFonts w:hint="eastAsia"/>
          <w:color w:val="auto"/>
        </w:rPr>
      </w:pPr>
    </w:p>
    <w:p w14:paraId="172288A0">
      <w:pPr>
        <w:bidi w:val="0"/>
        <w:rPr>
          <w:rFonts w:hint="eastAsia"/>
          <w:color w:val="auto"/>
        </w:rPr>
      </w:pPr>
    </w:p>
    <w:p w14:paraId="68F423F4">
      <w:pPr>
        <w:bidi w:val="0"/>
        <w:rPr>
          <w:rFonts w:hint="eastAsia"/>
          <w:color w:val="auto"/>
        </w:rPr>
      </w:pPr>
    </w:p>
    <w:bookmarkEnd w:id="147"/>
    <w:p w14:paraId="08EC9A52">
      <w:pPr>
        <w:pStyle w:val="4"/>
        <w:numPr>
          <w:ilvl w:val="0"/>
          <w:numId w:val="4"/>
        </w:numPr>
        <w:spacing w:before="240" w:after="240"/>
        <w:ind w:left="402"/>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采购需求</w:t>
      </w:r>
    </w:p>
    <w:p w14:paraId="5A542332">
      <w:pPr>
        <w:widowControl w:val="0"/>
        <w:numPr>
          <w:ilvl w:val="0"/>
          <w:numId w:val="0"/>
        </w:numPr>
        <w:jc w:val="both"/>
        <w:rPr>
          <w:rFonts w:hint="default"/>
          <w:color w:val="auto"/>
          <w:lang w:val="en-US" w:eastAsia="zh-CN"/>
        </w:rPr>
      </w:pPr>
    </w:p>
    <w:p w14:paraId="174CD1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0" w:firstLineChars="0"/>
        <w:jc w:val="left"/>
        <w:textAlignment w:val="auto"/>
        <w:rPr>
          <w:rFonts w:hint="default" w:ascii="宋体" w:hAnsi="宋体" w:cs="宋体"/>
          <w:b/>
          <w:bCs/>
          <w:color w:val="auto"/>
          <w:sz w:val="28"/>
          <w:szCs w:val="28"/>
          <w:lang w:val="en-US"/>
        </w:rPr>
      </w:pPr>
      <w:bookmarkStart w:id="148" w:name="_Toc24739_WPSOffice_Level1"/>
      <w:r>
        <w:rPr>
          <w:rFonts w:hint="eastAsia" w:ascii="宋体" w:hAnsi="宋体" w:eastAsia="宋体" w:cs="宋体"/>
          <w:color w:val="auto"/>
          <w:kern w:val="0"/>
          <w:sz w:val="24"/>
          <w:szCs w:val="24"/>
          <w:lang w:val="en-US" w:eastAsia="zh-CN" w:bidi="ar-SA"/>
        </w:rPr>
        <w:br w:type="page"/>
      </w:r>
      <w:r>
        <w:rPr>
          <w:rFonts w:hint="eastAsia" w:ascii="宋体" w:hAnsi="宋体" w:eastAsia="宋体" w:cs="宋体"/>
          <w:color w:val="auto"/>
          <w:kern w:val="0"/>
          <w:sz w:val="24"/>
          <w:szCs w:val="24"/>
          <w:lang w:val="en-US" w:eastAsia="zh-CN" w:bidi="ar-SA"/>
        </w:rPr>
        <w:t xml:space="preserve">   </w:t>
      </w:r>
      <w:r>
        <w:rPr>
          <w:rFonts w:hint="eastAsia" w:ascii="黑体" w:hAnsi="黑体" w:eastAsia="黑体" w:cs="黑体"/>
          <w:color w:val="auto"/>
          <w:kern w:val="0"/>
          <w:sz w:val="24"/>
          <w:szCs w:val="24"/>
          <w:lang w:val="en-US" w:eastAsia="zh-CN" w:bidi="ar-SA"/>
        </w:rPr>
        <w:t>一、采购需求</w:t>
      </w:r>
    </w:p>
    <w:p w14:paraId="14EC735D">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1、本次车辆租赁供应商采购为两家，主要用于高速检测驻点试验室及外检项目生产用车，分为日租、和月租两种租赁形式，租赁费用均含车辆使用费及随车驾驶员劳务费；</w:t>
      </w:r>
    </w:p>
    <w:p w14:paraId="79C76C58">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2、常用车型一般为轿车、越野车等，要求车龄为5年以内购置车（车辆租赁服务合同签订之日算起），购车裸价不得低于10万元，证照齐全，车况良好，卫生整洁。根据车辆实际需要选择油料标号，不得无故要求添加高标号油料；</w:t>
      </w:r>
    </w:p>
    <w:p w14:paraId="142084DE">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3、随车专职驾驶员驾龄5年以上，年龄60岁以下，证照齐全，相貌端正，身体健康，无犯罪史、无传染病史、无纹身、懂礼貌、热爱本职工作，服从采购人工作安排；</w:t>
      </w:r>
    </w:p>
    <w:p w14:paraId="0B658DFE">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4、供应商应严格按照采购人的要求及时提供有效租赁车辆，以满足甲方项目生产需要，不得以无车等理由拒绝派车；</w:t>
      </w:r>
    </w:p>
    <w:p w14:paraId="0ABC6384">
      <w:pPr>
        <w:spacing w:line="440" w:lineRule="exact"/>
        <w:ind w:firstLine="367" w:firstLineChars="175"/>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5、出租人所提供车辆无法投入正常使用或随车专职驾驶员无法提供正常服务时，应按采购人要求及时提供替换车辆或随车专职驾驶员；</w:t>
      </w:r>
    </w:p>
    <w:p w14:paraId="61624A46">
      <w:pPr>
        <w:spacing w:line="440" w:lineRule="exact"/>
        <w:ind w:firstLine="367" w:firstLineChars="175"/>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6、出租人提供的租赁车辆和随车专职驾驶员在租赁期间内所发生的交通事故或其他事故造成的一切后果，均由出租人自行承担，与采购人无关；</w:t>
      </w:r>
    </w:p>
    <w:p w14:paraId="3958E2A5">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7、同一车辆如每月连续日租超过24天，则自动转为月租，按月租单价计算租赁费用；</w:t>
      </w:r>
    </w:p>
    <w:p w14:paraId="072BDDAD">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8、日租车单日（1天）行驶公里数上限为280公里，超出部分按照每公里0.8元结算。连续多日（1天以上）租车的以日平均280公里为上限，超出部分按照每公里0.8元结算；</w:t>
      </w:r>
    </w:p>
    <w:p w14:paraId="34D7585C">
      <w:pPr>
        <w:snapToGrid/>
        <w:spacing w:line="440" w:lineRule="exact"/>
        <w:ind w:firstLine="367" w:firstLineChars="175"/>
        <w:jc w:val="left"/>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9、车辆租赁期间，采购人负责随车专职驾驶员的食宿、过路过桥费、加油费和停车费用。</w:t>
      </w:r>
    </w:p>
    <w:p w14:paraId="1DA81A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left"/>
        <w:textAlignment w:val="auto"/>
        <w:rPr>
          <w:rFonts w:hint="default"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二、采购清单</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790"/>
        <w:gridCol w:w="2190"/>
        <w:gridCol w:w="3145"/>
      </w:tblGrid>
      <w:tr w14:paraId="0D74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14:paraId="459D75D6">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序列</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BF6C618">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租用车型</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748AE83">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排量（L）</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2C94BF61">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备注</w:t>
            </w:r>
          </w:p>
        </w:tc>
      </w:tr>
      <w:tr w14:paraId="4BF4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14:paraId="6D40AC4D">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F6B8FA5">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轿车、越野车、20万以下商务车</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675255AF">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1.5—2.5</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281EF5DC">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车辆购入时间需为5年以内</w:t>
            </w:r>
          </w:p>
        </w:tc>
      </w:tr>
      <w:tr w14:paraId="2728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14:paraId="282048D5">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7153064F">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21万以上商务车（7座）</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588C4776">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34ACB9CD">
            <w:pPr>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车辆购入时间需为5年以内</w:t>
            </w:r>
          </w:p>
        </w:tc>
      </w:tr>
      <w:tr w14:paraId="424E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14:paraId="514DA33F">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5D48E8FD">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皮卡车</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5A6FBC98">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2.3—2.4</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0452BE2F">
            <w:pPr>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车辆购入时间需为5年以内</w:t>
            </w:r>
          </w:p>
        </w:tc>
      </w:tr>
      <w:tr w14:paraId="04D1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14:paraId="11BB7E92">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CF5FF9D">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轻巴车（10—18座）</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6D976653">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2.0—2.5</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2C0821FF">
            <w:pPr>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车辆购入时间需为5年以内</w:t>
            </w:r>
          </w:p>
        </w:tc>
      </w:tr>
      <w:tr w14:paraId="6E5C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14:paraId="558B2DC3">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5</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2B6FCF2C">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中巴车（20—23座）</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4905C58">
            <w:pPr>
              <w:pStyle w:val="46"/>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4.0</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3015E0E7">
            <w:pPr>
              <w:ind w:firstLine="0" w:firstLineChars="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车辆购入时间需为5年以内</w:t>
            </w:r>
          </w:p>
        </w:tc>
      </w:tr>
    </w:tbl>
    <w:p w14:paraId="59A91F9E">
      <w:pPr>
        <w:pStyle w:val="2"/>
        <w:rPr>
          <w:rFonts w:hint="eastAsia"/>
          <w:color w:val="auto"/>
          <w:lang w:val="en-US" w:eastAsia="zh-CN"/>
        </w:rPr>
      </w:pPr>
    </w:p>
    <w:p w14:paraId="54066CBD">
      <w:pPr>
        <w:pStyle w:val="2"/>
        <w:rPr>
          <w:color w:val="auto"/>
        </w:rPr>
      </w:pPr>
    </w:p>
    <w:p w14:paraId="2B30FB98">
      <w:pPr>
        <w:pStyle w:val="3"/>
        <w:outlineLvl w:val="9"/>
        <w:rPr>
          <w:color w:val="auto"/>
        </w:rPr>
      </w:pPr>
    </w:p>
    <w:p w14:paraId="123C57B7">
      <w:pPr>
        <w:rPr>
          <w:color w:val="auto"/>
        </w:rPr>
      </w:pPr>
    </w:p>
    <w:p w14:paraId="1239C2AF">
      <w:pPr>
        <w:pStyle w:val="2"/>
        <w:rPr>
          <w:color w:val="auto"/>
        </w:rPr>
      </w:pPr>
    </w:p>
    <w:p w14:paraId="5549C2C1">
      <w:pPr>
        <w:pStyle w:val="3"/>
        <w:outlineLvl w:val="9"/>
        <w:rPr>
          <w:color w:val="auto"/>
        </w:rPr>
      </w:pPr>
    </w:p>
    <w:p w14:paraId="09757742">
      <w:pPr>
        <w:rPr>
          <w:color w:val="auto"/>
        </w:rPr>
      </w:pPr>
    </w:p>
    <w:p w14:paraId="604F1449">
      <w:pPr>
        <w:pStyle w:val="2"/>
        <w:rPr>
          <w:color w:val="auto"/>
        </w:rPr>
      </w:pPr>
    </w:p>
    <w:p w14:paraId="01D6458F">
      <w:pPr>
        <w:pStyle w:val="3"/>
        <w:outlineLvl w:val="9"/>
        <w:rPr>
          <w:color w:val="auto"/>
        </w:rPr>
      </w:pPr>
    </w:p>
    <w:p w14:paraId="27FE15F5">
      <w:pPr>
        <w:rPr>
          <w:color w:val="auto"/>
        </w:rPr>
      </w:pPr>
    </w:p>
    <w:p w14:paraId="717B2A3E">
      <w:pPr>
        <w:pStyle w:val="2"/>
        <w:rPr>
          <w:color w:val="auto"/>
        </w:rPr>
      </w:pPr>
    </w:p>
    <w:bookmarkEnd w:id="148"/>
    <w:p w14:paraId="693A158C">
      <w:pPr>
        <w:pStyle w:val="4"/>
        <w:numPr>
          <w:ilvl w:val="0"/>
          <w:numId w:val="4"/>
        </w:numPr>
        <w:spacing w:before="240" w:after="240"/>
        <w:ind w:left="402"/>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响应文件格式</w:t>
      </w:r>
    </w:p>
    <w:p w14:paraId="3E4FA3D3">
      <w:pPr>
        <w:pStyle w:val="3"/>
        <w:keepNext w:val="0"/>
        <w:keepLines w:val="0"/>
        <w:pageBreakBefore w:val="0"/>
        <w:kinsoku/>
        <w:wordWrap/>
        <w:overflowPunct/>
        <w:topLinePunct w:val="0"/>
        <w:autoSpaceDE/>
        <w:autoSpaceDN/>
        <w:bidi w:val="0"/>
        <w:adjustRightInd/>
        <w:snapToGrid/>
        <w:jc w:val="right"/>
        <w:textAlignment w:val="auto"/>
        <w:outlineLvl w:val="9"/>
        <w:rPr>
          <w:color w:val="auto"/>
        </w:rPr>
      </w:pPr>
      <w:r>
        <w:rPr>
          <w:rFonts w:hint="eastAsia"/>
          <w:color w:val="auto"/>
        </w:rPr>
        <w:br w:type="page"/>
      </w:r>
      <w:r>
        <w:rPr>
          <w:rFonts w:hint="eastAsia"/>
          <w:color w:val="auto"/>
        </w:rPr>
        <w:t>正本/副本</w:t>
      </w:r>
    </w:p>
    <w:p w14:paraId="146FA3E6">
      <w:pPr>
        <w:keepNext w:val="0"/>
        <w:keepLines w:val="0"/>
        <w:pageBreakBefore w:val="0"/>
        <w:kinsoku/>
        <w:wordWrap/>
        <w:overflowPunct/>
        <w:topLinePunct w:val="0"/>
        <w:autoSpaceDE/>
        <w:autoSpaceDN/>
        <w:bidi w:val="0"/>
        <w:adjustRightInd/>
        <w:snapToGrid/>
        <w:textAlignment w:val="auto"/>
        <w:outlineLvl w:val="9"/>
        <w:rPr>
          <w:color w:val="auto"/>
        </w:rPr>
      </w:pPr>
    </w:p>
    <w:p w14:paraId="7015B665">
      <w:pPr>
        <w:keepNext w:val="0"/>
        <w:keepLines w:val="0"/>
        <w:pageBreakBefore w:val="0"/>
        <w:kinsoku/>
        <w:wordWrap/>
        <w:overflowPunct/>
        <w:topLinePunct w:val="0"/>
        <w:autoSpaceDE/>
        <w:autoSpaceDN/>
        <w:bidi w:val="0"/>
        <w:adjustRightInd/>
        <w:snapToGrid/>
        <w:textAlignment w:val="auto"/>
        <w:outlineLvl w:val="9"/>
        <w:rPr>
          <w:rFonts w:hint="eastAsia"/>
          <w:color w:val="auto"/>
          <w:lang w:val="en-US" w:eastAsia="zh-CN"/>
        </w:rPr>
      </w:pPr>
    </w:p>
    <w:p w14:paraId="64F7C38F">
      <w:pPr>
        <w:keepNext w:val="0"/>
        <w:keepLines w:val="0"/>
        <w:pageBreakBefore w:val="0"/>
        <w:kinsoku/>
        <w:wordWrap/>
        <w:overflowPunct/>
        <w:topLinePunct w:val="0"/>
        <w:autoSpaceDE/>
        <w:autoSpaceDN/>
        <w:bidi w:val="0"/>
        <w:adjustRightInd/>
        <w:snapToGrid/>
        <w:textAlignment w:val="auto"/>
        <w:outlineLvl w:val="9"/>
        <w:rPr>
          <w:rFonts w:hint="eastAsia"/>
          <w:color w:val="auto"/>
          <w:lang w:val="en-US" w:eastAsia="zh-CN"/>
        </w:rPr>
      </w:pPr>
    </w:p>
    <w:p w14:paraId="1E7F29C3">
      <w:pPr>
        <w:keepNext w:val="0"/>
        <w:keepLines w:val="0"/>
        <w:pageBreakBefore w:val="0"/>
        <w:kinsoku/>
        <w:wordWrap/>
        <w:overflowPunct/>
        <w:topLinePunct w:val="0"/>
        <w:autoSpaceDE/>
        <w:autoSpaceDN/>
        <w:bidi w:val="0"/>
        <w:adjustRightInd/>
        <w:snapToGrid/>
        <w:textAlignment w:val="auto"/>
        <w:outlineLvl w:val="9"/>
        <w:rPr>
          <w:rFonts w:hint="eastAsia"/>
          <w:color w:val="auto"/>
          <w:lang w:val="en-US" w:eastAsia="zh-CN"/>
        </w:rPr>
      </w:pPr>
    </w:p>
    <w:p w14:paraId="079BAA74">
      <w:pPr>
        <w:keepNext w:val="0"/>
        <w:keepLines w:val="0"/>
        <w:pageBreakBefore w:val="0"/>
        <w:kinsoku/>
        <w:wordWrap/>
        <w:overflowPunct/>
        <w:topLinePunct w:val="0"/>
        <w:autoSpaceDE/>
        <w:autoSpaceDN/>
        <w:bidi w:val="0"/>
        <w:adjustRightInd/>
        <w:snapToGrid/>
        <w:textAlignment w:val="auto"/>
        <w:outlineLvl w:val="9"/>
        <w:rPr>
          <w:rFonts w:hint="eastAsia"/>
          <w:color w:val="auto"/>
          <w:lang w:val="en-US" w:eastAsia="zh-CN"/>
        </w:rPr>
      </w:pPr>
    </w:p>
    <w:p w14:paraId="77E71F59">
      <w:pPr>
        <w:widowControl/>
        <w:jc w:val="both"/>
        <w:rPr>
          <w:rFonts w:ascii="Times New Roman" w:hAnsi="Times New Roman" w:eastAsia="宋体" w:cs="Times New Roman"/>
          <w:color w:val="auto"/>
          <w:sz w:val="24"/>
        </w:rPr>
      </w:pPr>
    </w:p>
    <w:p w14:paraId="0EC64A2E">
      <w:pPr>
        <w:keepNext w:val="0"/>
        <w:keepLines w:val="0"/>
        <w:pageBreakBefore w:val="0"/>
        <w:kinsoku/>
        <w:wordWrap/>
        <w:overflowPunct/>
        <w:topLinePunct w:val="0"/>
        <w:autoSpaceDE/>
        <w:autoSpaceDN/>
        <w:bidi w:val="0"/>
        <w:adjustRightInd/>
        <w:snapToGrid/>
        <w:spacing w:line="600" w:lineRule="auto"/>
        <w:jc w:val="center"/>
        <w:textAlignment w:val="auto"/>
        <w:outlineLvl w:val="9"/>
        <w:rPr>
          <w:color w:val="auto"/>
        </w:rPr>
      </w:pPr>
      <w:r>
        <w:rPr>
          <w:rFonts w:hint="eastAsia" w:ascii="Times New Roman" w:hAnsi="Times New Roman" w:eastAsia="宋体" w:cs="Times New Roman"/>
          <w:b/>
          <w:bCs/>
          <w:color w:val="auto"/>
          <w:sz w:val="44"/>
          <w:szCs w:val="44"/>
          <w:lang w:val="en-US" w:eastAsia="zh-CN"/>
        </w:rPr>
        <w:t>安徽省高速公路试验检测科研中心有限公司2025-2027年生产车辆租赁服务集中采购</w:t>
      </w:r>
    </w:p>
    <w:p w14:paraId="79231290">
      <w:pPr>
        <w:keepNext w:val="0"/>
        <w:keepLines w:val="0"/>
        <w:pageBreakBefore w:val="0"/>
        <w:kinsoku/>
        <w:wordWrap/>
        <w:overflowPunct/>
        <w:topLinePunct w:val="0"/>
        <w:autoSpaceDE/>
        <w:autoSpaceDN/>
        <w:bidi w:val="0"/>
        <w:adjustRightInd/>
        <w:snapToGrid/>
        <w:textAlignment w:val="auto"/>
        <w:outlineLvl w:val="9"/>
        <w:rPr>
          <w:color w:val="auto"/>
        </w:rPr>
      </w:pPr>
    </w:p>
    <w:p w14:paraId="3BF4364A">
      <w:pPr>
        <w:keepNext w:val="0"/>
        <w:keepLines w:val="0"/>
        <w:pageBreakBefore w:val="0"/>
        <w:kinsoku/>
        <w:wordWrap/>
        <w:overflowPunct/>
        <w:topLinePunct w:val="0"/>
        <w:autoSpaceDE/>
        <w:autoSpaceDN/>
        <w:bidi w:val="0"/>
        <w:adjustRightInd/>
        <w:snapToGrid/>
        <w:textAlignment w:val="auto"/>
        <w:outlineLvl w:val="9"/>
        <w:rPr>
          <w:color w:val="auto"/>
        </w:rPr>
      </w:pPr>
    </w:p>
    <w:p w14:paraId="2E502C63">
      <w:pPr>
        <w:keepNext w:val="0"/>
        <w:keepLines w:val="0"/>
        <w:pageBreakBefore w:val="0"/>
        <w:kinsoku/>
        <w:wordWrap/>
        <w:overflowPunct/>
        <w:topLinePunct w:val="0"/>
        <w:autoSpaceDE/>
        <w:autoSpaceDN/>
        <w:bidi w:val="0"/>
        <w:adjustRightInd/>
        <w:snapToGrid/>
        <w:textAlignment w:val="auto"/>
        <w:outlineLvl w:val="9"/>
        <w:rPr>
          <w:color w:val="auto"/>
        </w:rPr>
      </w:pPr>
    </w:p>
    <w:p w14:paraId="3AF6F86A">
      <w:pPr>
        <w:keepNext w:val="0"/>
        <w:keepLines w:val="0"/>
        <w:pageBreakBefore w:val="0"/>
        <w:kinsoku/>
        <w:wordWrap/>
        <w:overflowPunct/>
        <w:topLinePunct w:val="0"/>
        <w:autoSpaceDE/>
        <w:autoSpaceDN/>
        <w:bidi w:val="0"/>
        <w:adjustRightInd/>
        <w:snapToGrid/>
        <w:textAlignment w:val="auto"/>
        <w:outlineLvl w:val="9"/>
        <w:rPr>
          <w:color w:val="auto"/>
        </w:rPr>
      </w:pPr>
    </w:p>
    <w:p w14:paraId="7001A99B">
      <w:pPr>
        <w:keepNext w:val="0"/>
        <w:keepLines w:val="0"/>
        <w:pageBreakBefore w:val="0"/>
        <w:kinsoku/>
        <w:wordWrap/>
        <w:overflowPunct/>
        <w:topLinePunct w:val="0"/>
        <w:autoSpaceDE/>
        <w:autoSpaceDN/>
        <w:bidi w:val="0"/>
        <w:adjustRightInd/>
        <w:snapToGrid/>
        <w:textAlignment w:val="auto"/>
        <w:outlineLvl w:val="9"/>
        <w:rPr>
          <w:color w:val="auto"/>
        </w:rPr>
      </w:pPr>
    </w:p>
    <w:p w14:paraId="1519B03F">
      <w:pPr>
        <w:keepNext w:val="0"/>
        <w:keepLines w:val="0"/>
        <w:pageBreakBefore w:val="0"/>
        <w:widowControl w:val="0"/>
        <w:kinsoku/>
        <w:wordWrap/>
        <w:overflowPunct/>
        <w:topLinePunct w:val="0"/>
        <w:autoSpaceDE/>
        <w:autoSpaceDN/>
        <w:bidi w:val="0"/>
        <w:adjustRightInd/>
        <w:snapToGrid/>
        <w:textAlignment w:val="auto"/>
        <w:outlineLvl w:val="9"/>
        <w:rPr>
          <w:color w:val="auto"/>
        </w:rPr>
      </w:pPr>
    </w:p>
    <w:p w14:paraId="4DDC3CBF">
      <w:pPr>
        <w:keepNext w:val="0"/>
        <w:keepLines w:val="0"/>
        <w:pageBreakBefore w:val="0"/>
        <w:widowControl w:val="0"/>
        <w:kinsoku/>
        <w:wordWrap/>
        <w:overflowPunct/>
        <w:topLinePunct w:val="0"/>
        <w:autoSpaceDE/>
        <w:autoSpaceDN/>
        <w:bidi w:val="0"/>
        <w:adjustRightInd/>
        <w:snapToGrid/>
        <w:textAlignment w:val="auto"/>
        <w:outlineLvl w:val="9"/>
        <w:rPr>
          <w:color w:val="auto"/>
        </w:rPr>
      </w:pPr>
    </w:p>
    <w:p w14:paraId="72825D95">
      <w:pPr>
        <w:keepNext w:val="0"/>
        <w:keepLines w:val="0"/>
        <w:pageBreakBefore w:val="0"/>
        <w:widowControl w:val="0"/>
        <w:kinsoku/>
        <w:wordWrap/>
        <w:overflowPunct/>
        <w:topLinePunct w:val="0"/>
        <w:autoSpaceDE/>
        <w:autoSpaceDN/>
        <w:bidi w:val="0"/>
        <w:adjustRightInd/>
        <w:snapToGrid/>
        <w:textAlignment w:val="auto"/>
        <w:outlineLvl w:val="9"/>
        <w:rPr>
          <w:color w:val="auto"/>
        </w:rPr>
      </w:pPr>
    </w:p>
    <w:p w14:paraId="60B631E5">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黑体" w:cs="Times New Roman"/>
          <w:color w:val="auto"/>
          <w:sz w:val="50"/>
          <w:szCs w:val="50"/>
        </w:rPr>
      </w:pPr>
      <w:bookmarkStart w:id="149" w:name="_Toc14496_WPSOffice_Level1"/>
      <w:bookmarkStart w:id="150" w:name="_Toc27552_WPSOffice_Level1"/>
      <w:bookmarkStart w:id="151" w:name="_Toc1914_WPSOffice_Level1"/>
      <w:bookmarkStart w:id="152" w:name="_Toc17394_WPSOffice_Level1"/>
      <w:r>
        <w:rPr>
          <w:rFonts w:ascii="Times New Roman" w:hAnsi="Times New Roman" w:eastAsia="黑体" w:cs="Times New Roman"/>
          <w:color w:val="auto"/>
          <w:sz w:val="50"/>
          <w:szCs w:val="50"/>
        </w:rPr>
        <w:t>响  应  文  件</w:t>
      </w:r>
      <w:bookmarkEnd w:id="149"/>
      <w:bookmarkEnd w:id="150"/>
      <w:bookmarkEnd w:id="151"/>
      <w:bookmarkEnd w:id="152"/>
    </w:p>
    <w:p w14:paraId="293DF71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335DBEE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06EFB4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6707D94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72F995B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53712DD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5E90EE8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6E99F18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4A023BD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0"/>
          <w:szCs w:val="20"/>
        </w:rPr>
      </w:pPr>
    </w:p>
    <w:p w14:paraId="20878B5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cs="Times New Roman"/>
          <w:color w:val="auto"/>
          <w:sz w:val="28"/>
          <w:szCs w:val="28"/>
        </w:rPr>
      </w:pPr>
      <w:bookmarkStart w:id="153" w:name="_Toc5520_WPSOffice_Level2"/>
      <w:bookmarkStart w:id="154"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53"/>
      <w:bookmarkEnd w:id="154"/>
    </w:p>
    <w:p w14:paraId="0B267F2D">
      <w:pPr>
        <w:keepNext w:val="0"/>
        <w:keepLines w:val="0"/>
        <w:pageBreakBefore w:val="0"/>
        <w:widowControl w:val="0"/>
        <w:kinsoku/>
        <w:wordWrap/>
        <w:overflowPunct/>
        <w:topLinePunct w:val="0"/>
        <w:autoSpaceDE/>
        <w:autoSpaceDN/>
        <w:bidi w:val="0"/>
        <w:adjustRightInd/>
        <w:snapToGrid/>
        <w:spacing w:line="440" w:lineRule="exact"/>
        <w:ind w:firstLine="2158" w:firstLineChars="771"/>
        <w:textAlignment w:val="auto"/>
        <w:outlineLvl w:val="9"/>
        <w:rPr>
          <w:rFonts w:ascii="Times New Roman" w:hAnsi="Times New Roman" w:eastAsia="黑体" w:cs="Times New Roman"/>
          <w:color w:val="auto"/>
          <w:sz w:val="28"/>
          <w:szCs w:val="28"/>
        </w:rPr>
      </w:pPr>
    </w:p>
    <w:p w14:paraId="3174EE6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cs="Times New Roman"/>
          <w:color w:val="auto"/>
          <w:sz w:val="28"/>
          <w:szCs w:val="28"/>
        </w:rPr>
      </w:pPr>
      <w:bookmarkStart w:id="155" w:name="_Toc31577_WPSOffice_Level2"/>
      <w:bookmarkStart w:id="156" w:name="_Toc20076_WPSOffice_Level2"/>
      <w:r>
        <w:rPr>
          <w:rFonts w:hint="eastAsia" w:ascii="Times New Roman" w:hAnsi="Times New Roman" w:eastAsia="黑体" w:cs="Times New Roman"/>
          <w:color w:val="auto"/>
          <w:sz w:val="28"/>
          <w:szCs w:val="28"/>
          <w:u w:val="single"/>
          <w:lang w:val="en-US" w:eastAsia="zh-CN"/>
        </w:rPr>
        <w:t xml:space="preserve">      </w:t>
      </w:r>
      <w:r>
        <w:rPr>
          <w:rFonts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u w:val="single"/>
          <w:lang w:val="en-US" w:eastAsia="zh-CN"/>
        </w:rPr>
        <w:t xml:space="preserve">    </w:t>
      </w:r>
      <w:r>
        <w:rPr>
          <w:rFonts w:ascii="Times New Roman" w:hAnsi="Times New Roman" w:eastAsia="黑体" w:cs="Times New Roman"/>
          <w:color w:val="auto"/>
          <w:sz w:val="28"/>
          <w:szCs w:val="28"/>
        </w:rPr>
        <w:t>月</w:t>
      </w:r>
      <w:r>
        <w:rPr>
          <w:rFonts w:hint="eastAsia" w:ascii="Times New Roman" w:hAnsi="Times New Roman" w:eastAsia="黑体" w:cs="Times New Roman"/>
          <w:color w:val="auto"/>
          <w:sz w:val="28"/>
          <w:szCs w:val="28"/>
          <w:u w:val="single"/>
          <w:lang w:val="en-US" w:eastAsia="zh-CN"/>
        </w:rPr>
        <w:t xml:space="preserve">    </w:t>
      </w:r>
      <w:r>
        <w:rPr>
          <w:rFonts w:ascii="Times New Roman" w:hAnsi="Times New Roman" w:eastAsia="黑体" w:cs="Times New Roman"/>
          <w:color w:val="auto"/>
          <w:sz w:val="28"/>
          <w:szCs w:val="28"/>
        </w:rPr>
        <w:t>日</w:t>
      </w:r>
      <w:bookmarkEnd w:id="155"/>
      <w:bookmarkEnd w:id="156"/>
    </w:p>
    <w:p w14:paraId="6C6E451C">
      <w:pPr>
        <w:pStyle w:val="2"/>
        <w:keepNext w:val="0"/>
        <w:keepLines w:val="0"/>
        <w:pageBreakBefore w:val="0"/>
        <w:widowControl w:val="0"/>
        <w:kinsoku/>
        <w:wordWrap/>
        <w:overflowPunct/>
        <w:topLinePunct w:val="0"/>
        <w:autoSpaceDE/>
        <w:autoSpaceDN/>
        <w:bidi w:val="0"/>
        <w:adjustRightInd/>
        <w:snapToGrid/>
        <w:textAlignment w:val="auto"/>
        <w:outlineLvl w:val="9"/>
        <w:rPr>
          <w:color w:val="auto"/>
        </w:rPr>
      </w:pPr>
      <w:bookmarkStart w:id="157" w:name="_Toc22351_WPSOffice_Level2"/>
      <w:bookmarkStart w:id="158" w:name="_Toc21974_WPSOffice_Level2"/>
      <w:r>
        <w:rPr>
          <w:color w:val="auto"/>
        </w:rPr>
        <w:br w:type="page"/>
      </w:r>
    </w:p>
    <w:p w14:paraId="4B93AF3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目     录</w:t>
      </w:r>
      <w:bookmarkEnd w:id="157"/>
      <w:bookmarkEnd w:id="158"/>
    </w:p>
    <w:p w14:paraId="5C44A0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cs="Times New Roman"/>
          <w:color w:val="auto"/>
          <w:sz w:val="24"/>
        </w:rPr>
      </w:pPr>
    </w:p>
    <w:p w14:paraId="3B906F9B">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ascii="Times New Roman" w:hAnsi="Times New Roman" w:eastAsia="黑体" w:cs="Times New Roman"/>
          <w:color w:val="auto"/>
          <w:sz w:val="24"/>
        </w:rPr>
      </w:pPr>
      <w:bookmarkStart w:id="159" w:name="_Toc23368_WPSOffice_Level1"/>
      <w:bookmarkStart w:id="160" w:name="_Toc6353_WPSOffice_Level1"/>
      <w:bookmarkStart w:id="161" w:name="_Toc30529_WPSOffice_Level1"/>
      <w:bookmarkStart w:id="162" w:name="_Toc11424_WPSOffice_Level1"/>
      <w:bookmarkStart w:id="163" w:name="_Toc12670_WPSOffice_Level1"/>
      <w:r>
        <w:rPr>
          <w:rFonts w:ascii="Times New Roman" w:hAnsi="Times New Roman" w:eastAsia="黑体" w:cs="Times New Roman"/>
          <w:color w:val="auto"/>
          <w:sz w:val="24"/>
        </w:rPr>
        <w:t>一、报价函</w:t>
      </w:r>
      <w:bookmarkEnd w:id="159"/>
      <w:bookmarkEnd w:id="160"/>
      <w:bookmarkEnd w:id="161"/>
      <w:bookmarkEnd w:id="162"/>
    </w:p>
    <w:p w14:paraId="0B800F79">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ascii="Times New Roman" w:hAnsi="Times New Roman" w:eastAsia="黑体" w:cs="Times New Roman"/>
          <w:color w:val="auto"/>
          <w:sz w:val="24"/>
        </w:rPr>
      </w:pPr>
      <w:bookmarkStart w:id="164" w:name="_Toc31927_WPSOffice_Level1"/>
      <w:bookmarkStart w:id="165" w:name="_Toc5317_WPSOffice_Level1"/>
      <w:bookmarkStart w:id="166" w:name="_Toc21229_WPSOffice_Level1"/>
      <w:bookmarkStart w:id="167" w:name="_Toc32729_WPSOffice_Level1"/>
      <w:r>
        <w:rPr>
          <w:rFonts w:ascii="Times New Roman" w:hAnsi="Times New Roman" w:eastAsia="黑体" w:cs="Times New Roman"/>
          <w:color w:val="auto"/>
          <w:sz w:val="24"/>
        </w:rPr>
        <w:t>二、法定代表人身份证明及授权委托书</w:t>
      </w:r>
      <w:bookmarkEnd w:id="164"/>
      <w:bookmarkEnd w:id="165"/>
      <w:bookmarkEnd w:id="166"/>
      <w:bookmarkEnd w:id="167"/>
    </w:p>
    <w:p w14:paraId="1291A378">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ascii="Times New Roman" w:hAnsi="Times New Roman" w:eastAsia="黑体" w:cs="Times New Roman"/>
          <w:color w:val="auto"/>
          <w:sz w:val="24"/>
        </w:rPr>
      </w:pPr>
      <w:bookmarkStart w:id="168" w:name="_Toc23356_WPSOffice_Level1"/>
      <w:bookmarkStart w:id="169" w:name="_Toc4728_WPSOffice_Level1"/>
      <w:bookmarkStart w:id="170" w:name="_Toc29085_WPSOffice_Level1"/>
      <w:bookmarkStart w:id="171" w:name="_Toc25965_WPSOffice_Level1"/>
      <w:r>
        <w:rPr>
          <w:rFonts w:hint="eastAsia" w:ascii="Times New Roman" w:hAnsi="Times New Roman" w:eastAsia="黑体" w:cs="Times New Roman"/>
          <w:color w:val="auto"/>
          <w:sz w:val="24"/>
        </w:rPr>
        <w:t>三</w:t>
      </w:r>
      <w:r>
        <w:rPr>
          <w:rFonts w:ascii="Times New Roman" w:hAnsi="Times New Roman" w:eastAsia="黑体" w:cs="Times New Roman"/>
          <w:color w:val="auto"/>
          <w:sz w:val="24"/>
        </w:rPr>
        <w:t>、</w:t>
      </w:r>
      <w:bookmarkEnd w:id="168"/>
      <w:bookmarkEnd w:id="169"/>
      <w:bookmarkEnd w:id="170"/>
      <w:bookmarkEnd w:id="171"/>
      <w:r>
        <w:rPr>
          <w:rFonts w:hint="eastAsia" w:ascii="Times New Roman" w:hAnsi="Times New Roman" w:eastAsia="黑体" w:cs="Times New Roman"/>
          <w:color w:val="auto"/>
          <w:sz w:val="24"/>
        </w:rPr>
        <w:t>报价清单</w:t>
      </w:r>
    </w:p>
    <w:p w14:paraId="1DC6073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imes New Roman" w:hAnsi="Times New Roman" w:eastAsia="黑体" w:cs="Times New Roman"/>
          <w:color w:val="auto"/>
          <w:sz w:val="24"/>
        </w:rPr>
      </w:pPr>
      <w:bookmarkStart w:id="172" w:name="_Toc23744_WPSOffice_Level1"/>
      <w:bookmarkStart w:id="173" w:name="_Toc18964_WPSOffice_Level1"/>
      <w:bookmarkStart w:id="174" w:name="_Toc10608_WPSOffice_Level1"/>
      <w:bookmarkStart w:id="175" w:name="_Toc7453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72"/>
      <w:bookmarkEnd w:id="173"/>
      <w:bookmarkEnd w:id="174"/>
      <w:bookmarkEnd w:id="175"/>
      <w:r>
        <w:rPr>
          <w:rFonts w:hint="eastAsia" w:ascii="Times New Roman" w:hAnsi="Times New Roman" w:eastAsia="黑体" w:cs="Times New Roman"/>
          <w:color w:val="auto"/>
          <w:sz w:val="24"/>
        </w:rPr>
        <w:t>供应商基本情况</w:t>
      </w:r>
    </w:p>
    <w:p w14:paraId="26F5C324">
      <w:pPr>
        <w:spacing w:line="440" w:lineRule="exact"/>
        <w:ind w:left="0" w:leftChars="0"/>
        <w:outlineLvl w:val="0"/>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五</w:t>
      </w:r>
      <w:r>
        <w:rPr>
          <w:rFonts w:hint="default" w:ascii="Times New Roman" w:hAnsi="Times New Roman" w:eastAsia="黑体" w:cs="Times New Roman"/>
          <w:color w:val="auto"/>
          <w:sz w:val="24"/>
        </w:rPr>
        <w:t>、</w:t>
      </w:r>
      <w:r>
        <w:rPr>
          <w:rFonts w:hint="default" w:ascii="Times New Roman" w:hAnsi="Times New Roman" w:eastAsia="黑体" w:cs="Times New Roman"/>
          <w:color w:val="auto"/>
          <w:sz w:val="24"/>
          <w:lang w:val="en-US" w:eastAsia="zh-CN"/>
        </w:rPr>
        <w:t>近年类似业绩情况</w:t>
      </w:r>
    </w:p>
    <w:p w14:paraId="09CFFC7B">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imes New Roman" w:hAnsi="Times New Roman" w:eastAsia="黑体" w:cs="Times New Roman"/>
          <w:color w:val="auto"/>
          <w:sz w:val="24"/>
          <w:lang w:val="en-US" w:eastAsia="zh-CN"/>
        </w:rPr>
      </w:pPr>
      <w:bookmarkStart w:id="176" w:name="_Toc16988_WPSOffice_Level1"/>
      <w:bookmarkStart w:id="177" w:name="_Toc5885_WPSOffice_Level1"/>
      <w:r>
        <w:rPr>
          <w:rFonts w:hint="eastAsia" w:ascii="Times New Roman" w:hAnsi="Times New Roman" w:eastAsia="黑体" w:cs="Times New Roman"/>
          <w:color w:val="auto"/>
          <w:sz w:val="24"/>
          <w:lang w:val="en-US" w:eastAsia="zh-CN"/>
        </w:rPr>
        <w:t>六</w:t>
      </w:r>
      <w:r>
        <w:rPr>
          <w:rFonts w:hint="eastAsia" w:ascii="Times New Roman" w:hAnsi="Times New Roman" w:eastAsia="黑体" w:cs="Times New Roman"/>
          <w:color w:val="auto"/>
          <w:sz w:val="24"/>
        </w:rPr>
        <w:t>、</w:t>
      </w:r>
      <w:bookmarkEnd w:id="163"/>
      <w:bookmarkEnd w:id="176"/>
      <w:bookmarkEnd w:id="177"/>
      <w:r>
        <w:rPr>
          <w:rFonts w:hint="eastAsia" w:ascii="Times New Roman" w:hAnsi="Times New Roman" w:eastAsia="黑体" w:cs="Times New Roman"/>
          <w:color w:val="auto"/>
          <w:sz w:val="24"/>
          <w:lang w:val="en-US" w:eastAsia="zh-CN"/>
        </w:rPr>
        <w:t>信誉情况</w:t>
      </w:r>
    </w:p>
    <w:p w14:paraId="74C1BF55">
      <w:pPr>
        <w:spacing w:line="440" w:lineRule="exact"/>
        <w:outlineLvl w:val="0"/>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七、出租车辆清单</w:t>
      </w:r>
    </w:p>
    <w:p w14:paraId="10F3752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八、其他资料</w:t>
      </w:r>
    </w:p>
    <w:p w14:paraId="69C43F96">
      <w:pPr>
        <w:keepNext w:val="0"/>
        <w:keepLines w:val="0"/>
        <w:pageBreakBefore w:val="0"/>
        <w:widowControl w:val="0"/>
        <w:kinsoku/>
        <w:wordWrap/>
        <w:overflowPunct/>
        <w:topLinePunct w:val="0"/>
        <w:autoSpaceDE/>
        <w:autoSpaceDN/>
        <w:bidi w:val="0"/>
        <w:adjustRightInd/>
        <w:snapToGrid/>
        <w:spacing w:line="440" w:lineRule="exact"/>
        <w:ind w:left="1619" w:leftChars="771"/>
        <w:textAlignment w:val="auto"/>
        <w:outlineLvl w:val="9"/>
        <w:rPr>
          <w:rFonts w:ascii="Times New Roman" w:hAnsi="Times New Roman" w:eastAsia="黑体" w:cs="Times New Roman"/>
          <w:color w:val="auto"/>
          <w:sz w:val="24"/>
        </w:rPr>
      </w:pPr>
    </w:p>
    <w:p w14:paraId="64B4855A">
      <w:pPr>
        <w:spacing w:line="440" w:lineRule="exact"/>
        <w:ind w:left="1619" w:leftChars="771"/>
        <w:rPr>
          <w:rFonts w:ascii="Times New Roman" w:hAnsi="Times New Roman" w:eastAsia="黑体" w:cs="Times New Roman"/>
          <w:color w:val="auto"/>
          <w:sz w:val="24"/>
        </w:rPr>
      </w:pPr>
    </w:p>
    <w:p w14:paraId="48B6A208">
      <w:pPr>
        <w:keepNext w:val="0"/>
        <w:keepLines w:val="0"/>
        <w:pageBreakBefore w:val="0"/>
        <w:kinsoku/>
        <w:wordWrap/>
        <w:overflowPunct/>
        <w:bidi w:val="0"/>
        <w:adjustRightInd/>
        <w:spacing w:line="360" w:lineRule="auto"/>
        <w:jc w:val="center"/>
        <w:outlineLvl w:val="0"/>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78" w:name="_Toc1687_WPSOffice_Level1"/>
      <w:bookmarkStart w:id="179" w:name="_Toc30031_WPSOffice_Level1"/>
      <w:bookmarkStart w:id="180" w:name="_Toc18312_WPSOffice_Level1"/>
      <w:bookmarkStart w:id="181" w:name="_Toc2765_WPSOffice_Level1"/>
      <w:bookmarkStart w:id="182" w:name="_Toc25394_WPSOffice_Level1"/>
      <w:r>
        <w:rPr>
          <w:rFonts w:ascii="Times New Roman" w:hAnsi="Times New Roman" w:eastAsia="黑体" w:cs="Times New Roman"/>
          <w:color w:val="auto"/>
          <w:sz w:val="28"/>
          <w:szCs w:val="28"/>
        </w:rPr>
        <w:t>一、报价函</w:t>
      </w:r>
      <w:bookmarkEnd w:id="178"/>
      <w:bookmarkEnd w:id="179"/>
      <w:bookmarkEnd w:id="180"/>
      <w:bookmarkEnd w:id="181"/>
      <w:bookmarkEnd w:id="182"/>
    </w:p>
    <w:p w14:paraId="278432D5">
      <w:pPr>
        <w:keepNext w:val="0"/>
        <w:keepLines w:val="0"/>
        <w:pageBreakBefore w:val="0"/>
        <w:kinsoku/>
        <w:wordWrap/>
        <w:overflowPunct/>
        <w:bidi w:val="0"/>
        <w:adjustRightInd/>
        <w:spacing w:line="360" w:lineRule="auto"/>
        <w:outlineLvl w:val="9"/>
        <w:rPr>
          <w:rFonts w:hint="eastAsia" w:ascii="Times New Roman" w:hAnsi="Times New Roman" w:cs="Times New Roman"/>
          <w:color w:val="auto"/>
          <w:sz w:val="24"/>
          <w:u w:val="single"/>
          <w:lang w:val="en-US" w:eastAsia="zh-CN"/>
        </w:rPr>
      </w:pPr>
      <w:r>
        <w:rPr>
          <w:rFonts w:ascii="Times New Roman" w:hAnsi="Times New Roman" w:cs="Times New Roman"/>
          <w:color w:val="auto"/>
          <w:sz w:val="24"/>
        </w:rPr>
        <w:t>(采购人名称)：</w:t>
      </w:r>
      <w:r>
        <w:rPr>
          <w:rFonts w:hint="eastAsia" w:ascii="Times New Roman" w:hAnsi="Times New Roman" w:cs="Times New Roman"/>
          <w:color w:val="auto"/>
          <w:sz w:val="24"/>
          <w:u w:val="single"/>
          <w:lang w:val="en-US" w:eastAsia="zh-CN"/>
        </w:rPr>
        <w:t xml:space="preserve">                  </w:t>
      </w:r>
    </w:p>
    <w:p w14:paraId="11AFB778">
      <w:pPr>
        <w:keepNext w:val="0"/>
        <w:keepLines w:val="0"/>
        <w:pageBreakBefore w:val="0"/>
        <w:kinsoku/>
        <w:wordWrap/>
        <w:overflowPunct/>
        <w:bidi w:val="0"/>
        <w:adjustRightInd/>
        <w:spacing w:line="360" w:lineRule="auto"/>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(项目名称)     </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w:t>
      </w:r>
      <w:r>
        <w:rPr>
          <w:rFonts w:hint="eastAsia" w:ascii="Times New Roman" w:hAnsi="Times New Roman" w:cs="Times New Roman"/>
          <w:color w:val="auto"/>
          <w:sz w:val="24"/>
          <w:highlight w:val="none"/>
          <w:lang w:eastAsia="zh-CN"/>
        </w:rPr>
        <w:t>报价</w:t>
      </w:r>
      <w:r>
        <w:rPr>
          <w:rFonts w:hint="eastAsia" w:ascii="Times New Roman" w:hAnsi="Times New Roman" w:cs="Times New Roman"/>
          <w:color w:val="auto"/>
          <w:sz w:val="24"/>
          <w:highlight w:val="none"/>
          <w:lang w:val="en-US" w:eastAsia="zh-CN"/>
        </w:rPr>
        <w:t>费率</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none"/>
          <w:lang w:val="en-US" w:eastAsia="zh-CN"/>
        </w:rPr>
        <w:t>%</w:t>
      </w:r>
      <w:r>
        <w:rPr>
          <w:rFonts w:hint="eastAsia"/>
          <w:color w:val="auto"/>
          <w:sz w:val="24"/>
        </w:rPr>
        <w:t>（保留小数点后一位）</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采购要求</w:t>
      </w:r>
      <w:r>
        <w:rPr>
          <w:rFonts w:hint="default" w:ascii="Times New Roman" w:hAnsi="Times New Roman" w:eastAsia="宋体" w:cs="Times New Roman"/>
          <w:color w:val="auto"/>
          <w:sz w:val="24"/>
          <w:highlight w:val="none"/>
        </w:rPr>
        <w:t>达到</w:t>
      </w:r>
      <w:r>
        <w:rPr>
          <w:rFonts w:hint="default"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安全目标</w:t>
      </w:r>
      <w:r>
        <w:rPr>
          <w:rFonts w:hint="default" w:ascii="Times New Roman" w:hAnsi="Times New Roman" w:eastAsia="宋体" w:cs="Times New Roman"/>
          <w:color w:val="auto"/>
          <w:sz w:val="24"/>
          <w:highlight w:val="none"/>
          <w:lang w:val="en-US" w:eastAsia="zh-CN"/>
        </w:rPr>
        <w:t>达到</w:t>
      </w:r>
      <w:r>
        <w:rPr>
          <w:rFonts w:hint="default" w:ascii="Times New Roman" w:hAnsi="Times New Roman" w:eastAsia="宋体"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rPr>
        <w:t>。</w:t>
      </w:r>
    </w:p>
    <w:p w14:paraId="09FA69F6">
      <w:pPr>
        <w:keepNext w:val="0"/>
        <w:keepLines w:val="0"/>
        <w:pageBreakBefore w:val="0"/>
        <w:kinsoku/>
        <w:wordWrap/>
        <w:overflowPunct/>
        <w:bidi w:val="0"/>
        <w:adjustRightInd/>
        <w:spacing w:line="360" w:lineRule="auto"/>
        <w:ind w:firstLine="480" w:firstLineChars="200"/>
        <w:outlineLvl w:val="9"/>
        <w:rPr>
          <w:rFonts w:ascii="Times New Roman" w:hAnsi="Times New Roman" w:cs="Times New Roman"/>
          <w:color w:val="auto"/>
          <w:sz w:val="24"/>
        </w:rPr>
      </w:pPr>
      <w:r>
        <w:rPr>
          <w:rFonts w:ascii="Times New Roman" w:hAnsi="Times New Roman" w:cs="Times New Roman"/>
          <w:color w:val="auto"/>
          <w:sz w:val="24"/>
        </w:rPr>
        <w:t>2．我方承诺在响应有效期内不修改、撤销响应文件。</w:t>
      </w:r>
    </w:p>
    <w:p w14:paraId="5C3D7E75">
      <w:pPr>
        <w:keepNext w:val="0"/>
        <w:keepLines w:val="0"/>
        <w:pageBreakBefore w:val="0"/>
        <w:kinsoku/>
        <w:wordWrap/>
        <w:overflowPunct/>
        <w:bidi w:val="0"/>
        <w:adjustRightInd/>
        <w:spacing w:line="360" w:lineRule="auto"/>
        <w:ind w:firstLine="480" w:firstLineChars="200"/>
        <w:outlineLvl w:val="9"/>
        <w:rPr>
          <w:rFonts w:ascii="Times New Roman" w:hAnsi="Times New Roman" w:cs="Times New Roman"/>
          <w:color w:val="auto"/>
          <w:sz w:val="24"/>
        </w:rPr>
      </w:pPr>
      <w:r>
        <w:rPr>
          <w:rFonts w:hint="eastAsia" w:ascii="Times New Roman" w:hAnsi="Times New Roman" w:cs="Times New Roman"/>
          <w:color w:val="auto"/>
          <w:sz w:val="24"/>
          <w:lang w:val="en-US" w:eastAsia="zh-CN"/>
        </w:rPr>
        <w:t>3</w:t>
      </w:r>
      <w:r>
        <w:rPr>
          <w:rFonts w:ascii="Times New Roman" w:hAnsi="Times New Roman" w:cs="Times New Roman"/>
          <w:color w:val="auto"/>
          <w:sz w:val="24"/>
        </w:rPr>
        <w:t>．如我方成交：</w:t>
      </w:r>
    </w:p>
    <w:p w14:paraId="2EE6DD92">
      <w:pPr>
        <w:keepNext w:val="0"/>
        <w:keepLines w:val="0"/>
        <w:pageBreakBefore w:val="0"/>
        <w:kinsoku/>
        <w:wordWrap/>
        <w:overflowPunct/>
        <w:bidi w:val="0"/>
        <w:adjustRightInd/>
        <w:spacing w:line="360" w:lineRule="auto"/>
        <w:ind w:firstLine="480" w:firstLineChars="200"/>
        <w:outlineLvl w:val="9"/>
        <w:rPr>
          <w:rFonts w:ascii="Times New Roman" w:hAnsi="Times New Roman" w:cs="Times New Roman"/>
          <w:color w:val="auto"/>
          <w:sz w:val="24"/>
        </w:rPr>
      </w:pPr>
      <w:r>
        <w:rPr>
          <w:rFonts w:ascii="Times New Roman" w:hAnsi="Times New Roman" w:cs="Times New Roman"/>
          <w:color w:val="auto"/>
          <w:sz w:val="24"/>
        </w:rPr>
        <w:t>(1)我方承诺在收到成交通知书后，在成交通知书规定的期限内与你方签订合同。</w:t>
      </w:r>
    </w:p>
    <w:p w14:paraId="22FEF156">
      <w:pPr>
        <w:keepNext w:val="0"/>
        <w:keepLines w:val="0"/>
        <w:pageBreakBefore w:val="0"/>
        <w:kinsoku/>
        <w:wordWrap/>
        <w:overflowPunct/>
        <w:bidi w:val="0"/>
        <w:adjustRightInd/>
        <w:spacing w:line="360" w:lineRule="auto"/>
        <w:ind w:firstLine="480" w:firstLineChars="200"/>
        <w:outlineLvl w:val="9"/>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w:t>
      </w:r>
      <w:r>
        <w:rPr>
          <w:color w:val="auto"/>
          <w:sz w:val="24"/>
        </w:rPr>
        <w:t>我方承诺按照</w:t>
      </w:r>
      <w:r>
        <w:rPr>
          <w:rFonts w:hint="eastAsia" w:ascii="Times New Roman" w:hAnsi="Times New Roman"/>
          <w:color w:val="auto"/>
          <w:sz w:val="24"/>
        </w:rPr>
        <w:t>响应</w:t>
      </w:r>
      <w:r>
        <w:rPr>
          <w:color w:val="auto"/>
          <w:sz w:val="24"/>
        </w:rPr>
        <w:t>文件规定向你方递交履约担保。</w:t>
      </w:r>
    </w:p>
    <w:p w14:paraId="1AB3010C">
      <w:pPr>
        <w:keepNext w:val="0"/>
        <w:keepLines w:val="0"/>
        <w:pageBreakBefore w:val="0"/>
        <w:kinsoku/>
        <w:wordWrap/>
        <w:overflowPunct/>
        <w:bidi w:val="0"/>
        <w:adjustRightInd/>
        <w:spacing w:line="360" w:lineRule="auto"/>
        <w:ind w:firstLine="480" w:firstLineChars="200"/>
        <w:outlineLvl w:val="9"/>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3</w:t>
      </w:r>
      <w:r>
        <w:rPr>
          <w:rFonts w:ascii="Times New Roman" w:hAnsi="Times New Roman" w:cs="Times New Roman"/>
          <w:color w:val="auto"/>
          <w:sz w:val="24"/>
        </w:rPr>
        <w:t>)我方承诺在合同约定的期限内完成全部合同任务。</w:t>
      </w:r>
    </w:p>
    <w:p w14:paraId="5F64BD30">
      <w:pPr>
        <w:keepNext w:val="0"/>
        <w:keepLines w:val="0"/>
        <w:pageBreakBefore w:val="0"/>
        <w:kinsoku/>
        <w:wordWrap/>
        <w:overflowPunct/>
        <w:bidi w:val="0"/>
        <w:adjustRightInd/>
        <w:spacing w:line="360" w:lineRule="auto"/>
        <w:ind w:firstLine="480" w:firstLineChars="200"/>
        <w:outlineLvl w:val="9"/>
        <w:rPr>
          <w:rFonts w:ascii="Times New Roman" w:hAnsi="Times New Roman" w:cs="Times New Roman"/>
          <w:color w:val="auto"/>
          <w:sz w:val="24"/>
        </w:rPr>
      </w:pPr>
      <w:r>
        <w:rPr>
          <w:rFonts w:hint="eastAsia" w:ascii="Times New Roman" w:hAnsi="Times New Roman" w:cs="Times New Roman"/>
          <w:color w:val="auto"/>
          <w:sz w:val="24"/>
          <w:lang w:val="en-US" w:eastAsia="zh-CN"/>
        </w:rPr>
        <w:t>4</w:t>
      </w:r>
      <w:r>
        <w:rPr>
          <w:rFonts w:ascii="Times New Roman" w:hAnsi="Times New Roman" w:cs="Times New Roman"/>
          <w:color w:val="auto"/>
          <w:sz w:val="24"/>
        </w:rPr>
        <w:t>．我方在此声明，所递交的响应文件及有关资料内容完整、真实和准确。</w:t>
      </w:r>
    </w:p>
    <w:p w14:paraId="0C74BBCD">
      <w:pPr>
        <w:keepNext w:val="0"/>
        <w:keepLines w:val="0"/>
        <w:pageBreakBefore w:val="0"/>
        <w:kinsoku/>
        <w:wordWrap/>
        <w:overflowPunct/>
        <w:bidi w:val="0"/>
        <w:adjustRightInd/>
        <w:spacing w:line="360" w:lineRule="auto"/>
        <w:ind w:firstLine="480" w:firstLineChars="200"/>
        <w:outlineLvl w:val="9"/>
        <w:rPr>
          <w:rFonts w:ascii="Times New Roman" w:hAnsi="Times New Roman" w:cs="Times New Roman"/>
          <w:color w:val="auto"/>
          <w:sz w:val="24"/>
        </w:rPr>
      </w:pPr>
      <w:r>
        <w:rPr>
          <w:rFonts w:hint="eastAsia" w:ascii="Times New Roman" w:hAnsi="Times New Roman" w:cs="Times New Roman"/>
          <w:color w:val="auto"/>
          <w:sz w:val="24"/>
          <w:lang w:val="en-US" w:eastAsia="zh-CN"/>
        </w:rPr>
        <w:t>5</w:t>
      </w:r>
      <w:r>
        <w:rPr>
          <w:rFonts w:ascii="Times New Roman" w:hAnsi="Times New Roman" w:cs="Times New Roman"/>
          <w:color w:val="auto"/>
          <w:sz w:val="24"/>
        </w:rPr>
        <w:t>．在合同协议书正式签署生效之前，本报价函连同你方的成交通知书将构成我们双方之间共同遵守的文件，对双方具有约束力。</w:t>
      </w:r>
    </w:p>
    <w:p w14:paraId="1F979ECE">
      <w:pPr>
        <w:keepNext w:val="0"/>
        <w:keepLines w:val="0"/>
        <w:pageBreakBefore w:val="0"/>
        <w:kinsoku/>
        <w:wordWrap/>
        <w:overflowPunct/>
        <w:bidi w:val="0"/>
        <w:adjustRightInd/>
        <w:spacing w:line="400" w:lineRule="exact"/>
        <w:jc w:val="center"/>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p>
    <w:p w14:paraId="419427B6">
      <w:pPr>
        <w:keepNext w:val="0"/>
        <w:keepLines w:val="0"/>
        <w:pageBreakBefore w:val="0"/>
        <w:kinsoku/>
        <w:wordWrap/>
        <w:overflowPunct/>
        <w:bidi w:val="0"/>
        <w:adjustRightInd/>
        <w:spacing w:line="400" w:lineRule="exact"/>
        <w:jc w:val="center"/>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p>
    <w:p w14:paraId="27E6EDE6">
      <w:pPr>
        <w:keepNext w:val="0"/>
        <w:keepLines w:val="0"/>
        <w:pageBreakBefore w:val="0"/>
        <w:kinsoku/>
        <w:wordWrap/>
        <w:overflowPunct/>
        <w:bidi w:val="0"/>
        <w:adjustRightInd/>
        <w:spacing w:line="400" w:lineRule="exact"/>
        <w:jc w:val="center"/>
        <w:outlineLvl w:val="1"/>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供应商：</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(盖单位章)</w:t>
      </w:r>
    </w:p>
    <w:p w14:paraId="1CC60544">
      <w:pPr>
        <w:pStyle w:val="2"/>
        <w:keepNext w:val="0"/>
        <w:keepLines w:val="0"/>
        <w:pageBreakBefore w:val="0"/>
        <w:kinsoku/>
        <w:wordWrap/>
        <w:overflowPunct/>
        <w:bidi w:val="0"/>
        <w:adjustRightInd/>
        <w:outlineLvl w:val="9"/>
        <w:rPr>
          <w:color w:val="auto"/>
        </w:rPr>
      </w:pPr>
    </w:p>
    <w:p w14:paraId="2C03093C">
      <w:pPr>
        <w:keepNext w:val="0"/>
        <w:keepLines w:val="0"/>
        <w:pageBreakBefore w:val="0"/>
        <w:kinsoku/>
        <w:wordWrap/>
        <w:overflowPunct/>
        <w:bidi w:val="0"/>
        <w:adjustRightInd/>
        <w:spacing w:line="400" w:lineRule="exact"/>
        <w:jc w:val="center"/>
        <w:outlineLvl w:val="1"/>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法定代表人</w:t>
      </w:r>
      <w:r>
        <w:rPr>
          <w:rFonts w:hint="eastAsia" w:ascii="Times New Roman" w:hAnsi="Times New Roman" w:cs="Times New Roman"/>
          <w:color w:val="auto"/>
          <w:sz w:val="24"/>
        </w:rPr>
        <w:t>或委托代理人</w:t>
      </w:r>
      <w:r>
        <w:rPr>
          <w:rFonts w:ascii="Times New Roman" w:hAnsi="Times New Roman" w:cs="Times New Roman"/>
          <w:color w:val="auto"/>
          <w:sz w:val="24"/>
        </w:rPr>
        <w:t>：</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rPr>
        <w:t>签名</w:t>
      </w:r>
      <w:r>
        <w:rPr>
          <w:rFonts w:ascii="Times New Roman" w:hAnsi="Times New Roman" w:cs="Times New Roman"/>
          <w:color w:val="auto"/>
          <w:sz w:val="24"/>
        </w:rPr>
        <w:t>)</w:t>
      </w:r>
    </w:p>
    <w:p w14:paraId="69F630C3">
      <w:pPr>
        <w:keepNext w:val="0"/>
        <w:keepLines w:val="0"/>
        <w:pageBreakBefore w:val="0"/>
        <w:kinsoku/>
        <w:wordWrap/>
        <w:overflowPunct/>
        <w:bidi w:val="0"/>
        <w:adjustRightInd/>
        <w:spacing w:line="400" w:lineRule="exact"/>
        <w:jc w:val="center"/>
        <w:outlineLvl w:val="9"/>
        <w:rPr>
          <w:rFonts w:ascii="Times New Roman" w:hAnsi="Times New Roman" w:cs="Times New Roman"/>
          <w:color w:val="auto"/>
          <w:sz w:val="24"/>
        </w:rPr>
      </w:pPr>
    </w:p>
    <w:p w14:paraId="4F42594A">
      <w:pPr>
        <w:keepNext w:val="0"/>
        <w:keepLines w:val="0"/>
        <w:pageBreakBefore w:val="0"/>
        <w:kinsoku/>
        <w:wordWrap/>
        <w:overflowPunct/>
        <w:bidi w:val="0"/>
        <w:adjustRightInd/>
        <w:spacing w:line="400" w:lineRule="exact"/>
        <w:jc w:val="center"/>
        <w:outlineLvl w:val="1"/>
        <w:rPr>
          <w:rFonts w:hint="default" w:ascii="Times New Roman" w:hAnsi="Times New Roman" w:eastAsia="宋体" w:cs="Times New Roman"/>
          <w:color w:val="auto"/>
          <w:sz w:val="24"/>
          <w:u w:val="single"/>
          <w:lang w:val="en-US" w:eastAsia="zh-CN"/>
        </w:rPr>
      </w:pPr>
      <w:r>
        <w:rPr>
          <w:rFonts w:ascii="Times New Roman" w:hAnsi="Times New Roman" w:cs="Times New Roman"/>
          <w:color w:val="auto"/>
          <w:sz w:val="24"/>
        </w:rPr>
        <w:t>地址：</w:t>
      </w:r>
      <w:r>
        <w:rPr>
          <w:rFonts w:hint="eastAsia" w:ascii="Times New Roman" w:hAnsi="Times New Roman" w:cs="Times New Roman"/>
          <w:color w:val="auto"/>
          <w:sz w:val="24"/>
          <w:u w:val="single"/>
          <w:lang w:val="en-US" w:eastAsia="zh-CN"/>
        </w:rPr>
        <w:t xml:space="preserve">                                     </w:t>
      </w:r>
    </w:p>
    <w:p w14:paraId="5C80F4F6">
      <w:pPr>
        <w:keepNext w:val="0"/>
        <w:keepLines w:val="0"/>
        <w:pageBreakBefore w:val="0"/>
        <w:kinsoku/>
        <w:wordWrap/>
        <w:overflowPunct/>
        <w:bidi w:val="0"/>
        <w:adjustRightInd/>
        <w:spacing w:line="400" w:lineRule="exact"/>
        <w:jc w:val="center"/>
        <w:outlineLvl w:val="9"/>
        <w:rPr>
          <w:rFonts w:ascii="Times New Roman" w:hAnsi="Times New Roman" w:cs="Times New Roman"/>
          <w:color w:val="auto"/>
          <w:sz w:val="24"/>
        </w:rPr>
      </w:pPr>
    </w:p>
    <w:p w14:paraId="4BA95AF7">
      <w:pPr>
        <w:keepNext w:val="0"/>
        <w:keepLines w:val="0"/>
        <w:pageBreakBefore w:val="0"/>
        <w:kinsoku/>
        <w:wordWrap/>
        <w:overflowPunct/>
        <w:bidi w:val="0"/>
        <w:adjustRightInd/>
        <w:spacing w:line="400" w:lineRule="exact"/>
        <w:jc w:val="center"/>
        <w:outlineLvl w:val="1"/>
        <w:rPr>
          <w:rFonts w:hint="default" w:ascii="Times New Roman" w:hAnsi="Times New Roman" w:eastAsia="宋体" w:cs="Times New Roman"/>
          <w:color w:val="auto"/>
          <w:sz w:val="24"/>
          <w:u w:val="single"/>
          <w:lang w:val="en-US" w:eastAsia="zh-CN"/>
        </w:rPr>
      </w:pPr>
      <w:r>
        <w:rPr>
          <w:rFonts w:ascii="Times New Roman" w:hAnsi="Times New Roman" w:cs="Times New Roman"/>
          <w:color w:val="auto"/>
          <w:sz w:val="24"/>
        </w:rPr>
        <w:t>电话：</w:t>
      </w:r>
      <w:r>
        <w:rPr>
          <w:rFonts w:hint="eastAsia" w:ascii="Times New Roman" w:hAnsi="Times New Roman" w:cs="Times New Roman"/>
          <w:color w:val="auto"/>
          <w:sz w:val="24"/>
          <w:u w:val="single"/>
          <w:lang w:val="en-US" w:eastAsia="zh-CN"/>
        </w:rPr>
        <w:t xml:space="preserve">                                     </w:t>
      </w:r>
    </w:p>
    <w:p w14:paraId="2A72F15D">
      <w:pPr>
        <w:keepNext w:val="0"/>
        <w:keepLines w:val="0"/>
        <w:pageBreakBefore w:val="0"/>
        <w:kinsoku/>
        <w:wordWrap/>
        <w:overflowPunct/>
        <w:bidi w:val="0"/>
        <w:adjustRightInd/>
        <w:spacing w:line="400" w:lineRule="exact"/>
        <w:jc w:val="center"/>
        <w:outlineLvl w:val="9"/>
        <w:rPr>
          <w:rFonts w:hint="eastAsia" w:ascii="Times New Roman" w:hAnsi="Times New Roman" w:cs="Times New Roman"/>
          <w:color w:val="auto"/>
          <w:sz w:val="24"/>
        </w:rPr>
      </w:pPr>
    </w:p>
    <w:p w14:paraId="14690FBE">
      <w:pPr>
        <w:keepNext w:val="0"/>
        <w:keepLines w:val="0"/>
        <w:pageBreakBefore w:val="0"/>
        <w:kinsoku/>
        <w:wordWrap/>
        <w:overflowPunct/>
        <w:bidi w:val="0"/>
        <w:adjustRightInd/>
        <w:spacing w:line="400" w:lineRule="exact"/>
        <w:jc w:val="center"/>
        <w:outlineLvl w:val="1"/>
        <w:rPr>
          <w:rFonts w:hint="default" w:ascii="Times New Roman" w:hAnsi="Times New Roman" w:eastAsia="宋体" w:cs="Times New Roman"/>
          <w:color w:val="auto"/>
          <w:sz w:val="24"/>
          <w:u w:val="single"/>
          <w:lang w:val="en-US" w:eastAsia="zh-CN"/>
        </w:rPr>
      </w:pPr>
      <w:r>
        <w:rPr>
          <w:rFonts w:hint="eastAsia" w:ascii="Times New Roman" w:hAnsi="Times New Roman" w:cs="Times New Roman"/>
          <w:color w:val="auto"/>
          <w:sz w:val="24"/>
          <w:lang w:val="en-US" w:eastAsia="zh-CN"/>
        </w:rPr>
        <w:t xml:space="preserve">    </w:t>
      </w:r>
      <w:r>
        <w:rPr>
          <w:rFonts w:hint="eastAsia" w:ascii="Times New Roman" w:hAnsi="Times New Roman" w:cs="Times New Roman"/>
          <w:color w:val="auto"/>
          <w:sz w:val="24"/>
        </w:rPr>
        <w:t>电子邮箱</w:t>
      </w:r>
      <w:r>
        <w:rPr>
          <w:rFonts w:ascii="Times New Roman" w:hAnsi="Times New Roman" w:cs="Times New Roman"/>
          <w:color w:val="auto"/>
          <w:sz w:val="24"/>
        </w:rPr>
        <w:t>：</w:t>
      </w:r>
      <w:r>
        <w:rPr>
          <w:rFonts w:hint="eastAsia" w:ascii="Times New Roman" w:hAnsi="Times New Roman" w:cs="Times New Roman"/>
          <w:color w:val="auto"/>
          <w:sz w:val="24"/>
          <w:u w:val="single"/>
          <w:lang w:val="en-US" w:eastAsia="zh-CN"/>
        </w:rPr>
        <w:t xml:space="preserve">                                 </w:t>
      </w:r>
    </w:p>
    <w:p w14:paraId="34F21491">
      <w:pPr>
        <w:keepNext w:val="0"/>
        <w:keepLines w:val="0"/>
        <w:pageBreakBefore w:val="0"/>
        <w:kinsoku/>
        <w:wordWrap/>
        <w:overflowPunct/>
        <w:bidi w:val="0"/>
        <w:adjustRightInd/>
        <w:spacing w:line="400" w:lineRule="exact"/>
        <w:jc w:val="center"/>
        <w:outlineLvl w:val="9"/>
        <w:rPr>
          <w:rFonts w:ascii="Times New Roman" w:hAnsi="Times New Roman" w:cs="Times New Roman"/>
          <w:color w:val="auto"/>
          <w:sz w:val="24"/>
        </w:rPr>
      </w:pPr>
    </w:p>
    <w:p w14:paraId="34B5D366">
      <w:pPr>
        <w:keepNext w:val="0"/>
        <w:keepLines w:val="0"/>
        <w:pageBreakBefore w:val="0"/>
        <w:kinsoku/>
        <w:wordWrap/>
        <w:overflowPunct/>
        <w:bidi w:val="0"/>
        <w:adjustRightInd/>
        <w:spacing w:line="400" w:lineRule="exact"/>
        <w:jc w:val="center"/>
        <w:outlineLvl w:val="1"/>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年</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月</w:t>
      </w:r>
      <w:r>
        <w:rPr>
          <w:rFonts w:hint="eastAsia" w:ascii="Times New Roman" w:hAnsi="Times New Roman" w:cs="Times New Roman"/>
          <w:i w:val="0"/>
          <w:iCs w:val="0"/>
          <w:color w:val="auto"/>
          <w:sz w:val="24"/>
          <w:u w:val="single"/>
          <w:lang w:val="en-US" w:eastAsia="zh-CN"/>
        </w:rPr>
        <w:t xml:space="preserve">     </w:t>
      </w:r>
      <w:r>
        <w:rPr>
          <w:rFonts w:ascii="Times New Roman" w:hAnsi="Times New Roman" w:cs="Times New Roman"/>
          <w:color w:val="auto"/>
          <w:sz w:val="24"/>
        </w:rPr>
        <w:t>日</w:t>
      </w:r>
    </w:p>
    <w:p w14:paraId="546D2A17">
      <w:pPr>
        <w:keepNext w:val="0"/>
        <w:keepLines w:val="0"/>
        <w:pageBreakBefore w:val="0"/>
        <w:kinsoku/>
        <w:wordWrap/>
        <w:overflowPunct/>
        <w:bidi w:val="0"/>
        <w:adjustRightInd/>
        <w:jc w:val="center"/>
        <w:outlineLvl w:val="9"/>
        <w:rPr>
          <w:rFonts w:hint="default" w:ascii="Times New Roman" w:hAnsi="Times New Roman" w:eastAsia="黑体" w:cs="Times New Roman"/>
          <w:color w:val="auto"/>
          <w:sz w:val="20"/>
          <w:szCs w:val="20"/>
          <w:highlight w:val="none"/>
        </w:rPr>
      </w:pPr>
      <w:r>
        <w:rPr>
          <w:rFonts w:ascii="Times New Roman" w:hAnsi="Times New Roman" w:cs="Times New Roman"/>
          <w:color w:val="auto"/>
          <w:sz w:val="24"/>
        </w:rPr>
        <w:br w:type="page"/>
      </w:r>
    </w:p>
    <w:p w14:paraId="16B53603">
      <w:pPr>
        <w:keepNext w:val="0"/>
        <w:keepLines w:val="0"/>
        <w:pageBreakBefore w:val="0"/>
        <w:kinsoku/>
        <w:wordWrap/>
        <w:overflowPunct/>
        <w:bidi w:val="0"/>
        <w:adjustRightInd/>
        <w:spacing w:line="440" w:lineRule="exact"/>
        <w:jc w:val="center"/>
        <w:outlineLvl w:val="0"/>
        <w:rPr>
          <w:rFonts w:hint="default" w:ascii="Times New Roman" w:hAnsi="Times New Roman" w:eastAsia="黑体" w:cs="Times New Roman"/>
          <w:color w:val="auto"/>
          <w:sz w:val="28"/>
          <w:szCs w:val="28"/>
          <w:highlight w:val="none"/>
        </w:rPr>
      </w:pPr>
      <w:bookmarkStart w:id="183" w:name="_Toc14563_WPSOffice_Level1"/>
      <w:bookmarkStart w:id="184" w:name="_Toc8695_WPSOffice_Level1"/>
      <w:bookmarkStart w:id="185" w:name="_Toc18668_WPSOffice_Level1"/>
      <w:bookmarkStart w:id="186" w:name="_Toc16271_WPSOffice_Level1"/>
      <w:bookmarkStart w:id="187" w:name="_Toc32350_WPSOffice_Level1"/>
      <w:r>
        <w:rPr>
          <w:rFonts w:hint="default" w:ascii="Times New Roman" w:hAnsi="Times New Roman" w:eastAsia="黑体" w:cs="Times New Roman"/>
          <w:color w:val="auto"/>
          <w:sz w:val="28"/>
          <w:szCs w:val="28"/>
          <w:highlight w:val="none"/>
        </w:rPr>
        <w:t>二、法定代表人身份证明及授权委托书</w:t>
      </w:r>
      <w:bookmarkEnd w:id="183"/>
      <w:bookmarkEnd w:id="184"/>
      <w:bookmarkEnd w:id="185"/>
      <w:bookmarkEnd w:id="186"/>
      <w:bookmarkEnd w:id="187"/>
    </w:p>
    <w:p w14:paraId="3F7F4BF7">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0"/>
          <w:szCs w:val="20"/>
          <w:highlight w:val="none"/>
        </w:rPr>
      </w:pPr>
    </w:p>
    <w:p w14:paraId="7DDEAF50">
      <w:pPr>
        <w:keepNext w:val="0"/>
        <w:keepLines w:val="0"/>
        <w:pageBreakBefore w:val="0"/>
        <w:kinsoku/>
        <w:wordWrap/>
        <w:overflowPunct/>
        <w:bidi w:val="0"/>
        <w:adjustRightInd/>
        <w:spacing w:line="440" w:lineRule="exact"/>
        <w:jc w:val="center"/>
        <w:outlineLvl w:val="1"/>
        <w:rPr>
          <w:rFonts w:hint="default" w:ascii="Times New Roman" w:hAnsi="Times New Roman" w:cs="Times New Roman"/>
          <w:color w:val="auto"/>
          <w:sz w:val="28"/>
          <w:szCs w:val="28"/>
          <w:highlight w:val="none"/>
        </w:rPr>
      </w:pPr>
      <w:bookmarkStart w:id="188" w:name="_Toc20803_WPSOffice_Level2"/>
      <w:bookmarkStart w:id="189" w:name="_Toc5153_WPSOffice_Level2"/>
      <w:r>
        <w:rPr>
          <w:rFonts w:hint="default" w:ascii="Times New Roman" w:hAnsi="Times New Roman" w:eastAsia="黑体" w:cs="Times New Roman"/>
          <w:bCs/>
          <w:color w:val="auto"/>
          <w:sz w:val="28"/>
          <w:szCs w:val="28"/>
          <w:highlight w:val="none"/>
        </w:rPr>
        <w:t>2-1 法定代表人身份证明</w:t>
      </w:r>
      <w:bookmarkEnd w:id="188"/>
      <w:bookmarkEnd w:id="189"/>
    </w:p>
    <w:p w14:paraId="0DD2227F">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0"/>
          <w:szCs w:val="20"/>
          <w:highlight w:val="none"/>
        </w:rPr>
      </w:pPr>
    </w:p>
    <w:p w14:paraId="06534A97">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01F77902">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0025549B">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14:paraId="509FBFD9">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14:paraId="4FEE3F01">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14:paraId="4446DC0C">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14:paraId="38FB9339">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14:paraId="6C0136EC">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728B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noWrap w:val="0"/>
            <w:vAlign w:val="top"/>
          </w:tcPr>
          <w:p w14:paraId="116CA0E7">
            <w:pPr>
              <w:keepNext w:val="0"/>
              <w:keepLines w:val="0"/>
              <w:pageBreakBefore w:val="0"/>
              <w:kinsoku/>
              <w:wordWrap/>
              <w:overflowPunct/>
              <w:bidi w:val="0"/>
              <w:adjustRightInd/>
              <w:spacing w:line="440" w:lineRule="exact"/>
              <w:jc w:val="center"/>
              <w:outlineLvl w:val="9"/>
              <w:rPr>
                <w:rFonts w:hint="default" w:ascii="Times New Roman" w:hAnsi="Times New Roman" w:cs="Times New Roman"/>
                <w:color w:val="auto"/>
                <w:sz w:val="24"/>
                <w:highlight w:val="none"/>
                <w:vertAlign w:val="baseline"/>
              </w:rPr>
            </w:pPr>
          </w:p>
        </w:tc>
        <w:tc>
          <w:tcPr>
            <w:tcW w:w="4984" w:type="dxa"/>
            <w:noWrap w:val="0"/>
            <w:vAlign w:val="top"/>
          </w:tcPr>
          <w:p w14:paraId="7747B93D">
            <w:pPr>
              <w:keepNext w:val="0"/>
              <w:keepLines w:val="0"/>
              <w:pageBreakBefore w:val="0"/>
              <w:kinsoku/>
              <w:wordWrap/>
              <w:overflowPunct/>
              <w:bidi w:val="0"/>
              <w:adjustRightInd/>
              <w:spacing w:line="440" w:lineRule="exact"/>
              <w:jc w:val="center"/>
              <w:outlineLvl w:val="9"/>
              <w:rPr>
                <w:rFonts w:hint="default" w:ascii="Times New Roman" w:hAnsi="Times New Roman" w:cs="Times New Roman"/>
                <w:color w:val="auto"/>
                <w:sz w:val="24"/>
                <w:highlight w:val="none"/>
                <w:vertAlign w:val="baseline"/>
              </w:rPr>
            </w:pPr>
          </w:p>
        </w:tc>
      </w:tr>
    </w:tbl>
    <w:p w14:paraId="08A122D6">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67B15BE5">
      <w:pPr>
        <w:keepNext w:val="0"/>
        <w:keepLines w:val="0"/>
        <w:pageBreakBefore w:val="0"/>
        <w:kinsoku/>
        <w:wordWrap/>
        <w:overflow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6C3F00A1">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2D8384AC">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2C46D400">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47D6C1FB">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14:paraId="786CA880">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14:paraId="72B3ACDB">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14:paraId="210590FB">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14:paraId="0B0382B9">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14:paraId="66317888">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14:paraId="6FF660A5">
      <w:pPr>
        <w:keepNext w:val="0"/>
        <w:keepLines w:val="0"/>
        <w:pageBreakBefore w:val="0"/>
        <w:kinsoku/>
        <w:wordWrap/>
        <w:overflowPunct/>
        <w:bidi w:val="0"/>
        <w:adjustRightInd/>
        <w:spacing w:line="440" w:lineRule="exact"/>
        <w:jc w:val="center"/>
        <w:outlineLvl w:val="1"/>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90" w:name="_Toc12035_WPSOffice_Level2"/>
      <w:bookmarkStart w:id="191"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90"/>
      <w:bookmarkEnd w:id="191"/>
    </w:p>
    <w:p w14:paraId="041FEF94">
      <w:pPr>
        <w:keepNext w:val="0"/>
        <w:keepLines w:val="0"/>
        <w:pageBreakBefore w:val="0"/>
        <w:kinsoku/>
        <w:wordWrap/>
        <w:overflowPunct/>
        <w:bidi w:val="0"/>
        <w:adjustRightInd/>
        <w:spacing w:line="440" w:lineRule="exact"/>
        <w:outlineLvl w:val="9"/>
        <w:rPr>
          <w:rFonts w:hint="default" w:ascii="Times New Roman" w:hAnsi="Times New Roman" w:eastAsia="黑体" w:cs="Times New Roman"/>
          <w:color w:val="auto"/>
          <w:sz w:val="24"/>
          <w:highlight w:val="none"/>
        </w:rPr>
      </w:pPr>
    </w:p>
    <w:p w14:paraId="60BB5F90">
      <w:pPr>
        <w:keepNext w:val="0"/>
        <w:keepLines w:val="0"/>
        <w:pageBreakBefore w:val="0"/>
        <w:kinsoku/>
        <w:wordWrap/>
        <w:overflowPunct/>
        <w:topLine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14:paraId="54AABB5D">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14:paraId="7EE2B975">
      <w:pPr>
        <w:keepNext w:val="0"/>
        <w:keepLines w:val="0"/>
        <w:pageBreakBefore w:val="0"/>
        <w:kinsoku/>
        <w:wordWrap/>
        <w:overflow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14:paraId="38E569E6">
      <w:pPr>
        <w:keepNext w:val="0"/>
        <w:keepLines w:val="0"/>
        <w:pageBreakBefore w:val="0"/>
        <w:kinsoku/>
        <w:wordWrap/>
        <w:overflowPunct/>
        <w:topLine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5739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7" w:hRule="atLeast"/>
          <w:jc w:val="center"/>
        </w:trPr>
        <w:tc>
          <w:tcPr>
            <w:tcW w:w="4978" w:type="dxa"/>
            <w:noWrap w:val="0"/>
            <w:vAlign w:val="top"/>
          </w:tcPr>
          <w:p w14:paraId="666CEB9B">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vertAlign w:val="baseline"/>
              </w:rPr>
            </w:pPr>
          </w:p>
        </w:tc>
        <w:tc>
          <w:tcPr>
            <w:tcW w:w="4984" w:type="dxa"/>
            <w:noWrap w:val="0"/>
            <w:vAlign w:val="top"/>
          </w:tcPr>
          <w:p w14:paraId="1AF56626">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vertAlign w:val="baseline"/>
              </w:rPr>
            </w:pPr>
          </w:p>
        </w:tc>
      </w:tr>
    </w:tbl>
    <w:p w14:paraId="3EEC02C4">
      <w:pPr>
        <w:pStyle w:val="2"/>
        <w:keepNext w:val="0"/>
        <w:keepLines w:val="0"/>
        <w:pageBreakBefore w:val="0"/>
        <w:kinsoku/>
        <w:wordWrap/>
        <w:overflowPunct/>
        <w:bidi w:val="0"/>
        <w:adjustRightInd/>
        <w:outlineLvl w:val="9"/>
        <w:rPr>
          <w:rFonts w:hint="default" w:ascii="Times New Roman" w:hAnsi="Times New Roman" w:cs="Times New Roman"/>
          <w:color w:val="auto"/>
          <w:sz w:val="24"/>
          <w:highlight w:val="none"/>
        </w:rPr>
      </w:pPr>
    </w:p>
    <w:p w14:paraId="705DA358">
      <w:pPr>
        <w:pStyle w:val="3"/>
        <w:keepNext w:val="0"/>
        <w:keepLines w:val="0"/>
        <w:pageBreakBefore w:val="0"/>
        <w:kinsoku/>
        <w:wordWrap/>
        <w:overflowPunct/>
        <w:bidi w:val="0"/>
        <w:adjustRightInd/>
        <w:outlineLvl w:val="9"/>
        <w:rPr>
          <w:rFonts w:hint="default"/>
          <w:color w:val="auto"/>
        </w:rPr>
      </w:pPr>
    </w:p>
    <w:p w14:paraId="60A8F517">
      <w:pPr>
        <w:keepNext w:val="0"/>
        <w:keepLines w:val="0"/>
        <w:pageBreakBefore w:val="0"/>
        <w:kinsoku/>
        <w:wordWrap/>
        <w:overflowPunct/>
        <w:bidi w:val="0"/>
        <w:adjustRightInd/>
        <w:spacing w:line="440" w:lineRule="exact"/>
        <w:jc w:val="righ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605C46C7">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7506645A">
      <w:pPr>
        <w:keepNext w:val="0"/>
        <w:keepLines w:val="0"/>
        <w:pageBreakBefore w:val="0"/>
        <w:kinsoku/>
        <w:wordWrap/>
        <w:overflowPunct/>
        <w:bidi w:val="0"/>
        <w:adjustRightInd/>
        <w:spacing w:line="440" w:lineRule="exact"/>
        <w:jc w:val="righ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14:paraId="1B81A04E">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3C986FE4">
      <w:pPr>
        <w:keepNext w:val="0"/>
        <w:keepLines w:val="0"/>
        <w:pageBreakBefore w:val="0"/>
        <w:kinsoku/>
        <w:wordWrap/>
        <w:overflowPunct/>
        <w:bidi w:val="0"/>
        <w:adjustRightInd/>
        <w:spacing w:line="440" w:lineRule="exact"/>
        <w:ind w:firstLine="4080" w:firstLineChars="17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15818FBC">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1FDB65A1">
      <w:pPr>
        <w:keepNext w:val="0"/>
        <w:keepLines w:val="0"/>
        <w:pageBreakBefore w:val="0"/>
        <w:kinsoku/>
        <w:wordWrap/>
        <w:overflowPunct/>
        <w:bidi w:val="0"/>
        <w:adjustRightInd/>
        <w:spacing w:line="440" w:lineRule="exact"/>
        <w:jc w:val="righ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14:paraId="0EA6B882">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4126D6B0">
      <w:pPr>
        <w:keepNext w:val="0"/>
        <w:keepLines w:val="0"/>
        <w:pageBreakBefore w:val="0"/>
        <w:kinsoku/>
        <w:wordWrap/>
        <w:overflowPunct/>
        <w:bidi w:val="0"/>
        <w:adjustRightInd/>
        <w:spacing w:line="440" w:lineRule="exact"/>
        <w:ind w:firstLine="4080" w:firstLineChars="17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58F90BFE">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3BFE12AA">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14:paraId="6B51BAC0">
      <w:pPr>
        <w:keepNext w:val="0"/>
        <w:keepLines w:val="0"/>
        <w:pageBreakBefore w:val="0"/>
        <w:kinsoku/>
        <w:wordWrap/>
        <w:overflowPunct/>
        <w:bidi w:val="0"/>
        <w:adjustRightInd/>
        <w:spacing w:line="440" w:lineRule="exact"/>
        <w:ind w:firstLine="1800" w:firstLineChars="750"/>
        <w:jc w:val="right"/>
        <w:outlineLvl w:val="9"/>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0E7BBAEC">
      <w:pPr>
        <w:keepNext w:val="0"/>
        <w:keepLines w:val="0"/>
        <w:pageBreakBefore w:val="0"/>
        <w:numPr>
          <w:ilvl w:val="0"/>
          <w:numId w:val="5"/>
        </w:numPr>
        <w:kinsoku/>
        <w:wordWrap/>
        <w:overflowPunct/>
        <w:bidi w:val="0"/>
        <w:adjustRightInd/>
        <w:spacing w:line="440" w:lineRule="exact"/>
        <w:jc w:val="center"/>
        <w:outlineLvl w:val="0"/>
        <w:rPr>
          <w:rFonts w:hint="eastAsia" w:ascii="Times New Roman" w:hAnsi="Times New Roman" w:eastAsia="黑体" w:cs="Times New Roman"/>
          <w:color w:val="auto"/>
          <w:sz w:val="28"/>
          <w:szCs w:val="28"/>
          <w:highlight w:val="none"/>
          <w:lang w:eastAsia="zh-CN"/>
        </w:rPr>
      </w:pPr>
      <w:bookmarkStart w:id="192" w:name="_Toc31532_WPSOffice_Level1"/>
      <w:r>
        <w:rPr>
          <w:rFonts w:hint="eastAsia" w:ascii="Times New Roman" w:hAnsi="Times New Roman" w:eastAsia="黑体" w:cs="Times New Roman"/>
          <w:color w:val="auto"/>
          <w:sz w:val="28"/>
          <w:szCs w:val="28"/>
          <w:highlight w:val="none"/>
          <w:lang w:eastAsia="zh-CN"/>
        </w:rPr>
        <w:br w:type="page"/>
      </w:r>
      <w:r>
        <w:rPr>
          <w:rFonts w:hint="eastAsia" w:ascii="Times New Roman" w:hAnsi="Times New Roman" w:eastAsia="黑体" w:cs="Times New Roman"/>
          <w:color w:val="auto"/>
          <w:sz w:val="28"/>
          <w:szCs w:val="28"/>
          <w:highlight w:val="none"/>
          <w:lang w:eastAsia="zh-CN"/>
        </w:rPr>
        <w:t>报价清单</w:t>
      </w:r>
      <w:bookmarkEnd w:id="192"/>
      <w:bookmarkStart w:id="193" w:name="_Toc31445_WPSOffice_Level1"/>
      <w:bookmarkStart w:id="194" w:name="_Toc23545_WPSOffice_Level1"/>
      <w:bookmarkStart w:id="195" w:name="_Toc26477_WPSOffice_Level1"/>
      <w:bookmarkStart w:id="196" w:name="_Toc10436_WPSOffice_Level1"/>
      <w:bookmarkStart w:id="197" w:name="_Toc7738_WPSOffice_Level1"/>
    </w:p>
    <w:p w14:paraId="7D09CBCC">
      <w:pPr>
        <w:pStyle w:val="2"/>
        <w:rPr>
          <w:rFonts w:hint="eastAsia"/>
          <w:color w:val="auto"/>
          <w:lang w:eastAsia="zh-CN"/>
        </w:rPr>
      </w:pPr>
    </w:p>
    <w:tbl>
      <w:tblPr>
        <w:tblStyle w:val="22"/>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96"/>
        <w:gridCol w:w="1890"/>
        <w:gridCol w:w="1890"/>
        <w:gridCol w:w="1890"/>
        <w:gridCol w:w="983"/>
      </w:tblGrid>
      <w:tr w14:paraId="2CC6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l2br w:val="nil"/>
              <w:tr2bl w:val="nil"/>
            </w:tcBorders>
            <w:noWrap w:val="0"/>
            <w:vAlign w:val="center"/>
          </w:tcPr>
          <w:p w14:paraId="32CE4C97">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序列</w:t>
            </w:r>
          </w:p>
        </w:tc>
        <w:tc>
          <w:tcPr>
            <w:tcW w:w="2196" w:type="dxa"/>
            <w:tcBorders>
              <w:tl2br w:val="nil"/>
              <w:tr2bl w:val="nil"/>
            </w:tcBorders>
            <w:noWrap w:val="0"/>
            <w:vAlign w:val="center"/>
          </w:tcPr>
          <w:p w14:paraId="4AF3DDE3">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租用车型</w:t>
            </w:r>
          </w:p>
        </w:tc>
        <w:tc>
          <w:tcPr>
            <w:tcW w:w="1890" w:type="dxa"/>
            <w:tcBorders>
              <w:tl2br w:val="nil"/>
              <w:tr2bl w:val="nil"/>
            </w:tcBorders>
            <w:noWrap w:val="0"/>
            <w:vAlign w:val="center"/>
          </w:tcPr>
          <w:p w14:paraId="20820F44">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排量（L）</w:t>
            </w:r>
          </w:p>
        </w:tc>
        <w:tc>
          <w:tcPr>
            <w:tcW w:w="1890" w:type="dxa"/>
            <w:tcBorders>
              <w:tl2br w:val="nil"/>
              <w:tr2bl w:val="nil"/>
            </w:tcBorders>
            <w:noWrap w:val="0"/>
            <w:vAlign w:val="center"/>
          </w:tcPr>
          <w:p w14:paraId="3C895E2D">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日租基准单价（元）</w:t>
            </w:r>
          </w:p>
        </w:tc>
        <w:tc>
          <w:tcPr>
            <w:tcW w:w="1890" w:type="dxa"/>
            <w:tcBorders>
              <w:tl2br w:val="nil"/>
              <w:tr2bl w:val="nil"/>
            </w:tcBorders>
            <w:noWrap w:val="0"/>
            <w:vAlign w:val="center"/>
          </w:tcPr>
          <w:p w14:paraId="2C810B69">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月租基准单价（元）</w:t>
            </w:r>
          </w:p>
        </w:tc>
        <w:tc>
          <w:tcPr>
            <w:tcW w:w="983" w:type="dxa"/>
            <w:tcBorders>
              <w:tl2br w:val="nil"/>
              <w:tr2bl w:val="nil"/>
            </w:tcBorders>
            <w:noWrap w:val="0"/>
            <w:vAlign w:val="center"/>
          </w:tcPr>
          <w:p w14:paraId="45040AB6">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备注</w:t>
            </w:r>
          </w:p>
        </w:tc>
      </w:tr>
      <w:tr w14:paraId="3091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l2br w:val="nil"/>
              <w:tr2bl w:val="nil"/>
            </w:tcBorders>
            <w:noWrap w:val="0"/>
            <w:vAlign w:val="center"/>
          </w:tcPr>
          <w:p w14:paraId="4D1AD1E9">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1</w:t>
            </w:r>
          </w:p>
        </w:tc>
        <w:tc>
          <w:tcPr>
            <w:tcW w:w="2196" w:type="dxa"/>
            <w:tcBorders>
              <w:tl2br w:val="nil"/>
              <w:tr2bl w:val="nil"/>
            </w:tcBorders>
            <w:noWrap w:val="0"/>
            <w:vAlign w:val="center"/>
          </w:tcPr>
          <w:p w14:paraId="23BBB8C1">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轿车、越野车、20万以下商务车</w:t>
            </w:r>
          </w:p>
        </w:tc>
        <w:tc>
          <w:tcPr>
            <w:tcW w:w="1890" w:type="dxa"/>
            <w:tcBorders>
              <w:tl2br w:val="nil"/>
              <w:tr2bl w:val="nil"/>
            </w:tcBorders>
            <w:noWrap w:val="0"/>
            <w:vAlign w:val="center"/>
          </w:tcPr>
          <w:p w14:paraId="66728A14">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1.5—2.5</w:t>
            </w:r>
          </w:p>
        </w:tc>
        <w:tc>
          <w:tcPr>
            <w:tcW w:w="1890" w:type="dxa"/>
            <w:tcBorders>
              <w:tl2br w:val="nil"/>
              <w:tr2bl w:val="nil"/>
            </w:tcBorders>
            <w:noWrap w:val="0"/>
            <w:vAlign w:val="center"/>
          </w:tcPr>
          <w:p w14:paraId="33662ABD">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320.00</w:t>
            </w:r>
          </w:p>
        </w:tc>
        <w:tc>
          <w:tcPr>
            <w:tcW w:w="1890" w:type="dxa"/>
            <w:tcBorders>
              <w:tl2br w:val="nil"/>
              <w:tr2bl w:val="nil"/>
            </w:tcBorders>
            <w:noWrap w:val="0"/>
            <w:vAlign w:val="center"/>
          </w:tcPr>
          <w:p w14:paraId="5BDCA39E">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8300.00</w:t>
            </w:r>
          </w:p>
        </w:tc>
        <w:tc>
          <w:tcPr>
            <w:tcW w:w="983" w:type="dxa"/>
            <w:tcBorders>
              <w:tl2br w:val="nil"/>
              <w:tr2bl w:val="nil"/>
            </w:tcBorders>
            <w:noWrap w:val="0"/>
            <w:vAlign w:val="center"/>
          </w:tcPr>
          <w:p w14:paraId="588AF9AD">
            <w:pPr>
              <w:pStyle w:val="46"/>
              <w:ind w:firstLine="0" w:firstLineChars="0"/>
              <w:jc w:val="center"/>
              <w:rPr>
                <w:rFonts w:eastAsia="宋体"/>
                <w:color w:val="auto"/>
                <w:sz w:val="21"/>
                <w:szCs w:val="21"/>
              </w:rPr>
            </w:pPr>
          </w:p>
          <w:p w14:paraId="2D3B8C00">
            <w:pPr>
              <w:ind w:firstLine="0" w:firstLineChars="0"/>
              <w:jc w:val="center"/>
              <w:rPr>
                <w:rFonts w:eastAsia="宋体"/>
                <w:color w:val="auto"/>
                <w:sz w:val="21"/>
                <w:szCs w:val="21"/>
              </w:rPr>
            </w:pPr>
          </w:p>
        </w:tc>
      </w:tr>
      <w:tr w14:paraId="3B29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l2br w:val="nil"/>
              <w:tr2bl w:val="nil"/>
            </w:tcBorders>
            <w:noWrap w:val="0"/>
            <w:vAlign w:val="center"/>
          </w:tcPr>
          <w:p w14:paraId="5733E84C">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2</w:t>
            </w:r>
          </w:p>
        </w:tc>
        <w:tc>
          <w:tcPr>
            <w:tcW w:w="2196" w:type="dxa"/>
            <w:tcBorders>
              <w:tl2br w:val="nil"/>
              <w:tr2bl w:val="nil"/>
            </w:tcBorders>
            <w:noWrap w:val="0"/>
            <w:vAlign w:val="center"/>
          </w:tcPr>
          <w:p w14:paraId="18A9341D">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21万以上商务车（7座）</w:t>
            </w:r>
          </w:p>
        </w:tc>
        <w:tc>
          <w:tcPr>
            <w:tcW w:w="1890" w:type="dxa"/>
            <w:tcBorders>
              <w:tl2br w:val="nil"/>
              <w:tr2bl w:val="nil"/>
            </w:tcBorders>
            <w:noWrap w:val="0"/>
            <w:vAlign w:val="center"/>
          </w:tcPr>
          <w:p w14:paraId="202489CE">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2.0</w:t>
            </w:r>
          </w:p>
        </w:tc>
        <w:tc>
          <w:tcPr>
            <w:tcW w:w="1890" w:type="dxa"/>
            <w:tcBorders>
              <w:tl2br w:val="nil"/>
              <w:tr2bl w:val="nil"/>
            </w:tcBorders>
            <w:noWrap w:val="0"/>
            <w:vAlign w:val="center"/>
          </w:tcPr>
          <w:p w14:paraId="38D058ED">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355.00</w:t>
            </w:r>
          </w:p>
        </w:tc>
        <w:tc>
          <w:tcPr>
            <w:tcW w:w="1890" w:type="dxa"/>
            <w:tcBorders>
              <w:tl2br w:val="nil"/>
              <w:tr2bl w:val="nil"/>
            </w:tcBorders>
            <w:noWrap w:val="0"/>
            <w:vAlign w:val="center"/>
          </w:tcPr>
          <w:p w14:paraId="6BC0FE3C">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9100.00</w:t>
            </w:r>
          </w:p>
        </w:tc>
        <w:tc>
          <w:tcPr>
            <w:tcW w:w="983" w:type="dxa"/>
            <w:tcBorders>
              <w:tl2br w:val="nil"/>
              <w:tr2bl w:val="nil"/>
            </w:tcBorders>
            <w:noWrap w:val="0"/>
            <w:vAlign w:val="center"/>
          </w:tcPr>
          <w:p w14:paraId="55198E37">
            <w:pPr>
              <w:ind w:firstLine="0" w:firstLineChars="0"/>
              <w:jc w:val="center"/>
              <w:rPr>
                <w:color w:val="auto"/>
                <w:sz w:val="21"/>
                <w:szCs w:val="21"/>
              </w:rPr>
            </w:pPr>
          </w:p>
        </w:tc>
      </w:tr>
      <w:tr w14:paraId="2AA2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l2br w:val="nil"/>
              <w:tr2bl w:val="nil"/>
            </w:tcBorders>
            <w:noWrap w:val="0"/>
            <w:vAlign w:val="center"/>
          </w:tcPr>
          <w:p w14:paraId="6BB589D9">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3</w:t>
            </w:r>
          </w:p>
        </w:tc>
        <w:tc>
          <w:tcPr>
            <w:tcW w:w="2196" w:type="dxa"/>
            <w:tcBorders>
              <w:tl2br w:val="nil"/>
              <w:tr2bl w:val="nil"/>
            </w:tcBorders>
            <w:noWrap w:val="0"/>
            <w:vAlign w:val="center"/>
          </w:tcPr>
          <w:p w14:paraId="5C06E42A">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皮卡车</w:t>
            </w:r>
          </w:p>
        </w:tc>
        <w:tc>
          <w:tcPr>
            <w:tcW w:w="1890" w:type="dxa"/>
            <w:tcBorders>
              <w:tl2br w:val="nil"/>
              <w:tr2bl w:val="nil"/>
            </w:tcBorders>
            <w:noWrap w:val="0"/>
            <w:vAlign w:val="center"/>
          </w:tcPr>
          <w:p w14:paraId="66C79A8D">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2.3—2.4</w:t>
            </w:r>
          </w:p>
        </w:tc>
        <w:tc>
          <w:tcPr>
            <w:tcW w:w="1890" w:type="dxa"/>
            <w:tcBorders>
              <w:tl2br w:val="nil"/>
              <w:tr2bl w:val="nil"/>
            </w:tcBorders>
            <w:noWrap w:val="0"/>
            <w:vAlign w:val="center"/>
          </w:tcPr>
          <w:p w14:paraId="2F621820">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320.00</w:t>
            </w:r>
          </w:p>
        </w:tc>
        <w:tc>
          <w:tcPr>
            <w:tcW w:w="1890" w:type="dxa"/>
            <w:tcBorders>
              <w:tl2br w:val="nil"/>
              <w:tr2bl w:val="nil"/>
            </w:tcBorders>
            <w:noWrap w:val="0"/>
            <w:vAlign w:val="center"/>
          </w:tcPr>
          <w:p w14:paraId="287660CE">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8300.00</w:t>
            </w:r>
          </w:p>
        </w:tc>
        <w:tc>
          <w:tcPr>
            <w:tcW w:w="983" w:type="dxa"/>
            <w:tcBorders>
              <w:tl2br w:val="nil"/>
              <w:tr2bl w:val="nil"/>
            </w:tcBorders>
            <w:noWrap w:val="0"/>
            <w:vAlign w:val="center"/>
          </w:tcPr>
          <w:p w14:paraId="1FE0C3FF">
            <w:pPr>
              <w:ind w:firstLine="0" w:firstLineChars="0"/>
              <w:jc w:val="center"/>
              <w:rPr>
                <w:color w:val="auto"/>
                <w:sz w:val="21"/>
                <w:szCs w:val="21"/>
              </w:rPr>
            </w:pPr>
          </w:p>
        </w:tc>
      </w:tr>
      <w:tr w14:paraId="56E7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l2br w:val="nil"/>
              <w:tr2bl w:val="nil"/>
            </w:tcBorders>
            <w:noWrap w:val="0"/>
            <w:vAlign w:val="center"/>
          </w:tcPr>
          <w:p w14:paraId="60F3E805">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4</w:t>
            </w:r>
          </w:p>
        </w:tc>
        <w:tc>
          <w:tcPr>
            <w:tcW w:w="2196" w:type="dxa"/>
            <w:tcBorders>
              <w:tl2br w:val="nil"/>
              <w:tr2bl w:val="nil"/>
            </w:tcBorders>
            <w:noWrap w:val="0"/>
            <w:vAlign w:val="center"/>
          </w:tcPr>
          <w:p w14:paraId="7AE7B233">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轻巴车（10—18座）</w:t>
            </w:r>
          </w:p>
        </w:tc>
        <w:tc>
          <w:tcPr>
            <w:tcW w:w="1890" w:type="dxa"/>
            <w:tcBorders>
              <w:tl2br w:val="nil"/>
              <w:tr2bl w:val="nil"/>
            </w:tcBorders>
            <w:noWrap w:val="0"/>
            <w:vAlign w:val="center"/>
          </w:tcPr>
          <w:p w14:paraId="01119C30">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2.0—2.5</w:t>
            </w:r>
          </w:p>
        </w:tc>
        <w:tc>
          <w:tcPr>
            <w:tcW w:w="1890" w:type="dxa"/>
            <w:tcBorders>
              <w:tl2br w:val="nil"/>
              <w:tr2bl w:val="nil"/>
            </w:tcBorders>
            <w:noWrap w:val="0"/>
            <w:vAlign w:val="center"/>
          </w:tcPr>
          <w:p w14:paraId="3DAC713A">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540.00</w:t>
            </w:r>
          </w:p>
        </w:tc>
        <w:tc>
          <w:tcPr>
            <w:tcW w:w="1890" w:type="dxa"/>
            <w:tcBorders>
              <w:tl2br w:val="nil"/>
              <w:tr2bl w:val="nil"/>
            </w:tcBorders>
            <w:noWrap w:val="0"/>
            <w:vAlign w:val="center"/>
          </w:tcPr>
          <w:p w14:paraId="5F3FABE0">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12700.00</w:t>
            </w:r>
          </w:p>
        </w:tc>
        <w:tc>
          <w:tcPr>
            <w:tcW w:w="983" w:type="dxa"/>
            <w:tcBorders>
              <w:tl2br w:val="nil"/>
              <w:tr2bl w:val="nil"/>
            </w:tcBorders>
            <w:noWrap w:val="0"/>
            <w:vAlign w:val="center"/>
          </w:tcPr>
          <w:p w14:paraId="7F556544">
            <w:pPr>
              <w:ind w:firstLine="0" w:firstLineChars="0"/>
              <w:jc w:val="center"/>
              <w:rPr>
                <w:color w:val="auto"/>
                <w:sz w:val="21"/>
                <w:szCs w:val="21"/>
              </w:rPr>
            </w:pPr>
          </w:p>
        </w:tc>
      </w:tr>
      <w:tr w14:paraId="6590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l2br w:val="nil"/>
              <w:tr2bl w:val="nil"/>
            </w:tcBorders>
            <w:noWrap w:val="0"/>
            <w:vAlign w:val="center"/>
          </w:tcPr>
          <w:p w14:paraId="2BA78C0E">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5</w:t>
            </w:r>
          </w:p>
        </w:tc>
        <w:tc>
          <w:tcPr>
            <w:tcW w:w="2196" w:type="dxa"/>
            <w:tcBorders>
              <w:tl2br w:val="nil"/>
              <w:tr2bl w:val="nil"/>
            </w:tcBorders>
            <w:noWrap w:val="0"/>
            <w:vAlign w:val="center"/>
          </w:tcPr>
          <w:p w14:paraId="552FD86C">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中巴车（20—23座）</w:t>
            </w:r>
          </w:p>
        </w:tc>
        <w:tc>
          <w:tcPr>
            <w:tcW w:w="1890" w:type="dxa"/>
            <w:tcBorders>
              <w:tl2br w:val="nil"/>
              <w:tr2bl w:val="nil"/>
            </w:tcBorders>
            <w:noWrap w:val="0"/>
            <w:vAlign w:val="center"/>
          </w:tcPr>
          <w:p w14:paraId="65DA771B">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4.0</w:t>
            </w:r>
          </w:p>
        </w:tc>
        <w:tc>
          <w:tcPr>
            <w:tcW w:w="1890" w:type="dxa"/>
            <w:tcBorders>
              <w:tl2br w:val="nil"/>
              <w:tr2bl w:val="nil"/>
            </w:tcBorders>
            <w:noWrap w:val="0"/>
            <w:vAlign w:val="center"/>
          </w:tcPr>
          <w:p w14:paraId="7B26AAF9">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690.00</w:t>
            </w:r>
          </w:p>
        </w:tc>
        <w:tc>
          <w:tcPr>
            <w:tcW w:w="1890" w:type="dxa"/>
            <w:tcBorders>
              <w:tl2br w:val="nil"/>
              <w:tr2bl w:val="nil"/>
            </w:tcBorders>
            <w:noWrap w:val="0"/>
            <w:vAlign w:val="center"/>
          </w:tcPr>
          <w:p w14:paraId="7351F5E5">
            <w:pPr>
              <w:pStyle w:val="46"/>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14800.00</w:t>
            </w:r>
          </w:p>
        </w:tc>
        <w:tc>
          <w:tcPr>
            <w:tcW w:w="983" w:type="dxa"/>
            <w:tcBorders>
              <w:tl2br w:val="nil"/>
              <w:tr2bl w:val="nil"/>
            </w:tcBorders>
            <w:noWrap w:val="0"/>
            <w:vAlign w:val="center"/>
          </w:tcPr>
          <w:p w14:paraId="7BDE7800">
            <w:pPr>
              <w:ind w:firstLine="0" w:firstLineChars="0"/>
              <w:jc w:val="center"/>
              <w:rPr>
                <w:color w:val="auto"/>
                <w:sz w:val="21"/>
                <w:szCs w:val="21"/>
              </w:rPr>
            </w:pPr>
          </w:p>
        </w:tc>
      </w:tr>
      <w:tr w14:paraId="4AE0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0" w:type="dxa"/>
            <w:gridSpan w:val="2"/>
            <w:tcBorders>
              <w:tl2br w:val="nil"/>
              <w:tr2bl w:val="nil"/>
            </w:tcBorders>
            <w:noWrap w:val="0"/>
            <w:vAlign w:val="center"/>
          </w:tcPr>
          <w:p w14:paraId="0FCCEBBE">
            <w:pPr>
              <w:pStyle w:val="46"/>
              <w:ind w:firstLine="0" w:firstLineChars="0"/>
              <w:jc w:val="center"/>
              <w:rPr>
                <w:color w:val="auto"/>
                <w:sz w:val="21"/>
                <w:szCs w:val="21"/>
              </w:rPr>
            </w:pPr>
            <w:r>
              <w:rPr>
                <w:rFonts w:hint="eastAsia" w:ascii="Times New Roman" w:hAnsi="Times New Roman" w:eastAsia="宋体" w:cs="Times New Roman"/>
                <w:color w:val="auto"/>
                <w:kern w:val="2"/>
                <w:sz w:val="21"/>
                <w:szCs w:val="21"/>
                <w:highlight w:val="none"/>
                <w:u w:val="none"/>
                <w:lang w:val="en-US" w:eastAsia="zh-CN" w:bidi="ar-SA"/>
              </w:rPr>
              <w:t>报价费率</w:t>
            </w:r>
          </w:p>
        </w:tc>
        <w:tc>
          <w:tcPr>
            <w:tcW w:w="6653" w:type="dxa"/>
            <w:gridSpan w:val="4"/>
            <w:tcBorders>
              <w:tl2br w:val="nil"/>
              <w:tr2bl w:val="nil"/>
            </w:tcBorders>
            <w:noWrap w:val="0"/>
            <w:vAlign w:val="center"/>
          </w:tcPr>
          <w:p w14:paraId="22A552CE">
            <w:pPr>
              <w:pStyle w:val="46"/>
              <w:ind w:firstLine="0" w:firstLineChars="0"/>
              <w:jc w:val="center"/>
              <w:rPr>
                <w:color w:val="auto"/>
                <w:sz w:val="21"/>
                <w:szCs w:val="21"/>
              </w:rPr>
            </w:pPr>
            <w:r>
              <w:rPr>
                <w:rFonts w:hint="eastAsia" w:ascii="宋体" w:hAnsi="宋体"/>
                <w:color w:val="auto"/>
                <w:sz w:val="21"/>
                <w:szCs w:val="21"/>
                <w:u w:val="single"/>
                <w:lang w:val="en-US" w:eastAsia="zh-CN"/>
              </w:rPr>
              <w:t xml:space="preserve">           </w:t>
            </w:r>
            <w:r>
              <w:rPr>
                <w:rFonts w:hint="eastAsia" w:ascii="宋体" w:hAnsi="宋体"/>
                <w:color w:val="auto"/>
                <w:sz w:val="21"/>
                <w:szCs w:val="21"/>
              </w:rPr>
              <w:t>﹪</w:t>
            </w:r>
          </w:p>
        </w:tc>
      </w:tr>
    </w:tbl>
    <w:p w14:paraId="74047C13">
      <w:pPr>
        <w:ind w:firstLine="0" w:firstLineChars="0"/>
        <w:jc w:val="left"/>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备注：</w:t>
      </w:r>
    </w:p>
    <w:p w14:paraId="794A49D6">
      <w:pPr>
        <w:spacing w:line="360" w:lineRule="auto"/>
        <w:ind w:firstLine="0" w:firstLineChars="0"/>
        <w:jc w:val="left"/>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1、采购人提供的车辆，要求车辆购入时间需为5年以内，购车裸价不得低于1</w:t>
      </w:r>
      <w:r>
        <w:rPr>
          <w:rFonts w:hint="eastAsia" w:ascii="Times New Roman" w:hAnsi="Times New Roman" w:eastAsia="黑体" w:cs="Times New Roman"/>
          <w:color w:val="auto"/>
          <w:kern w:val="2"/>
          <w:sz w:val="21"/>
          <w:szCs w:val="21"/>
          <w:highlight w:val="none"/>
          <w:u w:val="none"/>
          <w:lang w:val="en-US" w:eastAsia="zh-CN" w:bidi="ar-SA"/>
        </w:rPr>
        <w:t>0</w:t>
      </w:r>
      <w:r>
        <w:rPr>
          <w:rFonts w:hint="default" w:ascii="Times New Roman" w:hAnsi="Times New Roman" w:eastAsia="黑体" w:cs="Times New Roman"/>
          <w:color w:val="auto"/>
          <w:kern w:val="2"/>
          <w:sz w:val="21"/>
          <w:szCs w:val="21"/>
          <w:highlight w:val="none"/>
          <w:u w:val="none"/>
          <w:lang w:val="en-US" w:eastAsia="zh-CN" w:bidi="ar-SA"/>
        </w:rPr>
        <w:t>万元。以上报价均含车辆使用费及随车驾驶员劳务费；</w:t>
      </w:r>
    </w:p>
    <w:p w14:paraId="4B43A169">
      <w:pPr>
        <w:spacing w:line="360" w:lineRule="auto"/>
        <w:ind w:firstLine="0" w:firstLineChars="0"/>
        <w:jc w:val="left"/>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2、日租车单日（1天）行驶公里数上限为280公里，超出部分按照每公里0.8元结算。连续多日（1天以上）租车的以日平均280公里为上限，超出部分按照每公里0.8元结算；</w:t>
      </w:r>
    </w:p>
    <w:p w14:paraId="6A88A1E7">
      <w:pPr>
        <w:spacing w:line="360" w:lineRule="auto"/>
        <w:ind w:firstLine="0" w:firstLineChars="0"/>
        <w:jc w:val="left"/>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3、车辆租赁期间，采购人负责驾驶员的食宿、过路过桥费、加油费和停车费用；</w:t>
      </w:r>
    </w:p>
    <w:p w14:paraId="5E6AB16E">
      <w:pPr>
        <w:spacing w:line="360" w:lineRule="auto"/>
        <w:ind w:firstLine="0" w:firstLineChars="0"/>
        <w:jc w:val="left"/>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4、报价费率（%）=结算单价/基准单价×100%。例：基准单价为320元，结算单价（折扣单价）为256元，则报价费率为80.0%。</w:t>
      </w:r>
    </w:p>
    <w:p w14:paraId="0B597D3F">
      <w:pPr>
        <w:spacing w:line="360" w:lineRule="auto"/>
        <w:ind w:firstLine="0" w:firstLineChars="0"/>
        <w:jc w:val="left"/>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2"/>
          <w:sz w:val="21"/>
          <w:szCs w:val="21"/>
          <w:highlight w:val="none"/>
          <w:u w:val="none"/>
          <w:lang w:val="en-US" w:eastAsia="zh-CN" w:bidi="ar-SA"/>
        </w:rPr>
        <w:t>5、本次报价只接受费率报价，最高上限为100%（报价费率用百分数表示，保留1位小数，如：85.3%、90.0%）。</w:t>
      </w:r>
    </w:p>
    <w:p w14:paraId="6B48C2DC">
      <w:pPr>
        <w:spacing w:line="360" w:lineRule="auto"/>
        <w:ind w:firstLine="0" w:firstLineChars="0"/>
        <w:jc w:val="left"/>
        <w:rPr>
          <w:rFonts w:hint="eastAsia" w:ascii="Times New Roman" w:hAnsi="Times New Roman" w:eastAsia="黑体" w:cs="Times New Roman"/>
          <w:color w:val="auto"/>
          <w:kern w:val="2"/>
          <w:sz w:val="21"/>
          <w:szCs w:val="21"/>
          <w:highlight w:val="none"/>
          <w:u w:val="none"/>
          <w:lang w:val="en-US" w:eastAsia="zh-CN" w:bidi="ar-SA"/>
        </w:rPr>
      </w:pPr>
      <w:r>
        <w:rPr>
          <w:rFonts w:hint="eastAsia" w:ascii="Times New Roman" w:hAnsi="Times New Roman" w:eastAsia="黑体" w:cs="Times New Roman"/>
          <w:color w:val="auto"/>
          <w:kern w:val="2"/>
          <w:sz w:val="21"/>
          <w:szCs w:val="21"/>
          <w:highlight w:val="none"/>
          <w:u w:val="none"/>
          <w:lang w:val="en-US" w:eastAsia="zh-CN" w:bidi="ar-SA"/>
        </w:rPr>
        <w:t>6、采购人如因项目开展需要，采用整年租（12个月）方式，实际结算金额按月租单价打九折计算。</w:t>
      </w:r>
    </w:p>
    <w:p w14:paraId="22467CB7">
      <w:pPr>
        <w:keepNext w:val="0"/>
        <w:keepLines w:val="0"/>
        <w:pageBreakBefore w:val="0"/>
        <w:kinsoku/>
        <w:wordWrap/>
        <w:overflowPunct/>
        <w:topLinePunct/>
        <w:bidi w:val="0"/>
        <w:adjustRightInd/>
        <w:spacing w:line="440" w:lineRule="exact"/>
        <w:jc w:val="center"/>
        <w:outlineLvl w:val="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br w:type="page"/>
      </w:r>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98" w:name="_Toc2807_WPSOffice_Level2"/>
      <w:bookmarkStart w:id="19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93"/>
      <w:bookmarkEnd w:id="194"/>
      <w:bookmarkEnd w:id="195"/>
      <w:bookmarkEnd w:id="196"/>
      <w:bookmarkEnd w:id="197"/>
      <w:bookmarkEnd w:id="198"/>
      <w:bookmarkEnd w:id="199"/>
    </w:p>
    <w:p w14:paraId="18EA7239">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 w:val="23"/>
          <w:szCs w:val="23"/>
          <w:highlight w:val="none"/>
        </w:rPr>
      </w:pP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6"/>
        <w:gridCol w:w="1257"/>
        <w:gridCol w:w="2510"/>
        <w:gridCol w:w="1253"/>
        <w:gridCol w:w="2724"/>
      </w:tblGrid>
      <w:tr w14:paraId="4E99B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3F91D460">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0C4BE4FC">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r w14:paraId="16776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49EF70B1">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1891" w:type="pct"/>
            <w:gridSpan w:val="2"/>
            <w:tcBorders>
              <w:top w:val="single" w:color="auto" w:sz="4" w:space="0"/>
              <w:left w:val="single" w:color="auto" w:sz="4" w:space="0"/>
              <w:bottom w:val="single" w:color="auto" w:sz="4" w:space="0"/>
              <w:right w:val="single" w:color="auto" w:sz="4" w:space="0"/>
            </w:tcBorders>
            <w:noWrap w:val="0"/>
            <w:vAlign w:val="center"/>
          </w:tcPr>
          <w:p w14:paraId="3AAB5022">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61649939">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3ED2BF23">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r w14:paraId="4DF56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restart"/>
            <w:tcBorders>
              <w:top w:val="single" w:color="auto" w:sz="4" w:space="0"/>
              <w:left w:val="single" w:color="auto" w:sz="4" w:space="0"/>
              <w:bottom w:val="single" w:color="auto" w:sz="4" w:space="0"/>
              <w:right w:val="single" w:color="auto" w:sz="4" w:space="0"/>
            </w:tcBorders>
            <w:noWrap w:val="0"/>
            <w:vAlign w:val="center"/>
          </w:tcPr>
          <w:p w14:paraId="256796F0">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6557A3AD">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7F11039F">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7D263BCD">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1775404E">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r w14:paraId="12A85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continue"/>
            <w:tcBorders>
              <w:top w:val="single" w:color="auto" w:sz="4" w:space="0"/>
              <w:left w:val="single" w:color="auto" w:sz="4" w:space="0"/>
              <w:bottom w:val="single" w:color="auto" w:sz="4" w:space="0"/>
              <w:right w:val="single" w:color="auto" w:sz="4" w:space="0"/>
            </w:tcBorders>
            <w:noWrap w:val="0"/>
            <w:vAlign w:val="center"/>
          </w:tcPr>
          <w:p w14:paraId="22E1578C">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631" w:type="pct"/>
            <w:tcBorders>
              <w:top w:val="single" w:color="auto" w:sz="4" w:space="0"/>
              <w:left w:val="single" w:color="auto" w:sz="4" w:space="0"/>
              <w:bottom w:val="single" w:color="auto" w:sz="4" w:space="0"/>
              <w:right w:val="single" w:color="auto" w:sz="4" w:space="0"/>
            </w:tcBorders>
            <w:noWrap w:val="0"/>
            <w:vAlign w:val="center"/>
          </w:tcPr>
          <w:p w14:paraId="01493B1F">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DA2B6D2">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17ED2D2D">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4F8BC5F0">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r w14:paraId="5A8E6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64CF901C">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3C89A89B">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B6D6B63">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513F738C">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c>
          <w:tcPr>
            <w:tcW w:w="1366" w:type="pct"/>
            <w:tcBorders>
              <w:top w:val="single" w:color="auto" w:sz="4" w:space="0"/>
              <w:left w:val="single" w:color="auto" w:sz="4" w:space="0"/>
              <w:bottom w:val="single" w:color="auto" w:sz="4" w:space="0"/>
              <w:right w:val="single" w:color="auto" w:sz="4" w:space="0"/>
            </w:tcBorders>
            <w:noWrap w:val="0"/>
            <w:vAlign w:val="center"/>
          </w:tcPr>
          <w:p w14:paraId="3DA93BE0">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r w14:paraId="0390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4637F8B8">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3A53962F">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r w14:paraId="5B77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3D841069">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3A841551">
            <w:pPr>
              <w:keepNext w:val="0"/>
              <w:keepLines w:val="0"/>
              <w:pageBreakBefore w:val="0"/>
              <w:kinsoku/>
              <w:wordWrap/>
              <w:overflowPunct/>
              <w:topLinePunct/>
              <w:bidi w:val="0"/>
              <w:adjustRightInd/>
              <w:spacing w:line="440" w:lineRule="exact"/>
              <w:outlineLvl w:val="9"/>
              <w:rPr>
                <w:rFonts w:hint="default" w:ascii="Times New Roman" w:hAnsi="Times New Roman" w:cs="Times New Roman"/>
                <w:color w:val="auto"/>
                <w:szCs w:val="21"/>
                <w:highlight w:val="none"/>
              </w:rPr>
            </w:pPr>
          </w:p>
          <w:p w14:paraId="2673FA18">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p w14:paraId="4E0BB5F0">
            <w:pPr>
              <w:keepNext w:val="0"/>
              <w:keepLines w:val="0"/>
              <w:pageBreakBefore w:val="0"/>
              <w:kinsoku/>
              <w:wordWrap/>
              <w:overflowPunct/>
              <w:topLinePunct/>
              <w:bidi w:val="0"/>
              <w:adjustRightInd/>
              <w:spacing w:line="440" w:lineRule="exact"/>
              <w:outlineLvl w:val="9"/>
              <w:rPr>
                <w:rFonts w:hint="default" w:ascii="Times New Roman" w:hAnsi="Times New Roman" w:cs="Times New Roman"/>
                <w:color w:val="auto"/>
                <w:szCs w:val="21"/>
                <w:highlight w:val="none"/>
              </w:rPr>
            </w:pPr>
          </w:p>
        </w:tc>
      </w:tr>
      <w:tr w14:paraId="48E55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56118E35">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55374ECF">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color w:val="auto"/>
                <w:szCs w:val="21"/>
                <w:highlight w:val="none"/>
              </w:rPr>
            </w:pPr>
          </w:p>
        </w:tc>
      </w:tr>
    </w:tbl>
    <w:p w14:paraId="1AF04D4C">
      <w:pPr>
        <w:keepNext w:val="0"/>
        <w:keepLines w:val="0"/>
        <w:pageBreakBefore w:val="0"/>
        <w:widowControl/>
        <w:kinsoku/>
        <w:wordWrap/>
        <w:overflowPunct/>
        <w:autoSpaceDE w:val="0"/>
        <w:autoSpaceDN w:val="0"/>
        <w:bidi w:val="0"/>
        <w:adjustRightInd/>
        <w:spacing w:line="360" w:lineRule="atLeast"/>
        <w:ind w:left="180"/>
        <w:textAlignment w:val="bottom"/>
        <w:outlineLvl w:val="9"/>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14:paraId="7D74D573">
      <w:pPr>
        <w:keepNext w:val="0"/>
        <w:keepLines w:val="0"/>
        <w:pageBreakBefore w:val="0"/>
        <w:widowControl/>
        <w:kinsoku/>
        <w:wordWrap/>
        <w:overflowPunct/>
        <w:autoSpaceDE w:val="0"/>
        <w:autoSpaceDN w:val="0"/>
        <w:bidi w:val="0"/>
        <w:adjustRightInd/>
        <w:spacing w:line="360" w:lineRule="atLeast"/>
        <w:ind w:left="420" w:leftChars="200" w:firstLine="0" w:firstLineChars="0"/>
        <w:textAlignment w:val="bottom"/>
        <w:outlineLvl w:val="9"/>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在本表后应附企业法人营业执照、资格审查要求的其他证件复印件。</w:t>
      </w:r>
    </w:p>
    <w:p w14:paraId="00E66481">
      <w:pPr>
        <w:keepNext w:val="0"/>
        <w:keepLines w:val="0"/>
        <w:pageBreakBefore w:val="0"/>
        <w:widowControl/>
        <w:kinsoku/>
        <w:wordWrap/>
        <w:overflowPunct/>
        <w:autoSpaceDE w:val="0"/>
        <w:autoSpaceDN w:val="0"/>
        <w:bidi w:val="0"/>
        <w:adjustRightInd/>
        <w:spacing w:line="360" w:lineRule="atLeast"/>
        <w:ind w:left="420" w:leftChars="200" w:firstLine="0" w:firstLineChars="0"/>
        <w:textAlignment w:val="bottom"/>
        <w:outlineLvl w:val="9"/>
        <w:rPr>
          <w:rFonts w:hint="default" w:ascii="Times New Roman" w:hAnsi="Times New Roman" w:eastAsia="黑体" w:cs="Times New Roman"/>
          <w:color w:val="auto"/>
          <w:szCs w:val="21"/>
          <w:highlight w:val="none"/>
        </w:rPr>
      </w:pPr>
    </w:p>
    <w:p w14:paraId="193F92BC">
      <w:pPr>
        <w:keepNext w:val="0"/>
        <w:keepLines w:val="0"/>
        <w:pageBreakBefore w:val="0"/>
        <w:widowControl/>
        <w:kinsoku/>
        <w:wordWrap/>
        <w:overflowPunct/>
        <w:autoSpaceDE/>
        <w:autoSpaceDN/>
        <w:bidi w:val="0"/>
        <w:adjustRightInd/>
        <w:spacing w:line="240" w:lineRule="auto"/>
        <w:ind w:left="0" w:leftChars="0" w:firstLine="0" w:firstLineChars="0"/>
        <w:textAlignment w:val="auto"/>
        <w:outlineLvl w:val="9"/>
        <w:rPr>
          <w:rFonts w:hint="eastAsia"/>
          <w:color w:val="auto"/>
          <w:lang w:val="en-US" w:eastAsia="zh-CN"/>
        </w:rPr>
      </w:pPr>
      <w:bookmarkStart w:id="200" w:name="_Toc3893_WPSOffice_Level1"/>
      <w:bookmarkStart w:id="201" w:name="_Toc12019_WPSOffice_Level1"/>
      <w:bookmarkStart w:id="202" w:name="_Toc32222_WPSOffice_Level1"/>
      <w:bookmarkStart w:id="203" w:name="_Toc9267_WPSOffice_Level1"/>
      <w:bookmarkStart w:id="204" w:name="_Toc5403_WPSOffice_Level1"/>
    </w:p>
    <w:p w14:paraId="783EDE94">
      <w:pPr>
        <w:pStyle w:val="2"/>
        <w:rPr>
          <w:rFonts w:hint="eastAsia"/>
          <w:color w:val="auto"/>
          <w:lang w:val="en-US" w:eastAsia="zh-CN"/>
        </w:rPr>
      </w:pPr>
    </w:p>
    <w:p w14:paraId="08DC060A">
      <w:pPr>
        <w:pStyle w:val="3"/>
        <w:rPr>
          <w:rFonts w:hint="eastAsia"/>
          <w:color w:val="auto"/>
          <w:lang w:val="en-US" w:eastAsia="zh-CN"/>
        </w:rPr>
      </w:pPr>
    </w:p>
    <w:p w14:paraId="7E9ABF23">
      <w:pPr>
        <w:rPr>
          <w:rFonts w:hint="eastAsia"/>
          <w:color w:val="auto"/>
          <w:lang w:val="en-US" w:eastAsia="zh-CN"/>
        </w:rPr>
      </w:pPr>
    </w:p>
    <w:p w14:paraId="75DB0ABF">
      <w:pPr>
        <w:pStyle w:val="2"/>
        <w:rPr>
          <w:rFonts w:hint="eastAsia"/>
          <w:color w:val="auto"/>
          <w:lang w:val="en-US" w:eastAsia="zh-CN"/>
        </w:rPr>
      </w:pPr>
    </w:p>
    <w:p w14:paraId="697E6693">
      <w:pPr>
        <w:pStyle w:val="3"/>
        <w:rPr>
          <w:rFonts w:hint="eastAsia"/>
          <w:color w:val="auto"/>
          <w:lang w:val="en-US" w:eastAsia="zh-CN"/>
        </w:rPr>
      </w:pPr>
    </w:p>
    <w:p w14:paraId="21F90DEA">
      <w:pPr>
        <w:rPr>
          <w:rFonts w:hint="eastAsia"/>
          <w:color w:val="auto"/>
          <w:lang w:val="en-US" w:eastAsia="zh-CN"/>
        </w:rPr>
      </w:pPr>
    </w:p>
    <w:p w14:paraId="6770B680">
      <w:pPr>
        <w:pStyle w:val="2"/>
        <w:rPr>
          <w:rFonts w:hint="eastAsia"/>
          <w:color w:val="auto"/>
          <w:lang w:val="en-US" w:eastAsia="zh-CN"/>
        </w:rPr>
      </w:pPr>
    </w:p>
    <w:p w14:paraId="42FAB1C0">
      <w:pPr>
        <w:pStyle w:val="3"/>
        <w:rPr>
          <w:rFonts w:hint="eastAsia"/>
          <w:color w:val="auto"/>
          <w:lang w:val="en-US" w:eastAsia="zh-CN"/>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518BA21">
      <w:pPr>
        <w:pStyle w:val="12"/>
        <w:spacing w:line="240" w:lineRule="atLeast"/>
        <w:ind w:left="560" w:leftChars="0" w:right="-512" w:rightChars="-244" w:hanging="560" w:hangingChars="200"/>
        <w:jc w:val="center"/>
        <w:outlineLvl w:val="0"/>
        <w:rPr>
          <w:rFonts w:hint="default" w:ascii="Times New Roman" w:hAnsi="Times New Roman" w:cs="Times New Roman"/>
          <w:color w:val="000000"/>
          <w:sz w:val="28"/>
          <w:szCs w:val="28"/>
        </w:rPr>
      </w:pPr>
      <w:bookmarkStart w:id="205" w:name="_Toc3772_WPSOffice_Level1"/>
      <w:bookmarkStart w:id="206" w:name="_Toc5072_WPSOffice_Level1"/>
      <w:bookmarkStart w:id="207" w:name="_Toc19004_WPSOffice_Level1"/>
      <w:bookmarkStart w:id="208" w:name="_Toc18547_WPSOffice_Level1"/>
      <w:bookmarkStart w:id="209" w:name="_Toc14741"/>
      <w:bookmarkStart w:id="210" w:name="_Toc20943_WPSOffice_Level1"/>
      <w:r>
        <w:rPr>
          <w:rFonts w:hint="default" w:ascii="Times New Roman" w:hAnsi="Times New Roman" w:eastAsia="黑体" w:cs="Times New Roman"/>
          <w:color w:val="000000"/>
          <w:sz w:val="28"/>
          <w:szCs w:val="28"/>
        </w:rPr>
        <w:t>五、近年</w:t>
      </w:r>
      <w:r>
        <w:rPr>
          <w:rFonts w:hint="default" w:ascii="Times New Roman" w:hAnsi="Times New Roman" w:eastAsia="黑体" w:cs="Times New Roman"/>
          <w:color w:val="000000"/>
          <w:sz w:val="28"/>
          <w:szCs w:val="28"/>
          <w:lang w:eastAsia="zh-CN"/>
        </w:rPr>
        <w:t>类似</w:t>
      </w:r>
      <w:r>
        <w:rPr>
          <w:rFonts w:hint="default" w:ascii="Times New Roman" w:hAnsi="Times New Roman" w:eastAsia="黑体" w:cs="Times New Roman"/>
          <w:color w:val="000000"/>
          <w:sz w:val="28"/>
          <w:szCs w:val="28"/>
        </w:rPr>
        <w:t>业绩情况</w:t>
      </w:r>
      <w:bookmarkEnd w:id="205"/>
      <w:bookmarkEnd w:id="206"/>
      <w:bookmarkEnd w:id="207"/>
      <w:bookmarkEnd w:id="208"/>
      <w:bookmarkEnd w:id="209"/>
      <w:bookmarkEnd w:id="210"/>
    </w:p>
    <w:tbl>
      <w:tblPr>
        <w:tblStyle w:val="22"/>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7225"/>
      </w:tblGrid>
      <w:tr w14:paraId="42FC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41" w:type="pct"/>
            <w:noWrap w:val="0"/>
            <w:vAlign w:val="center"/>
          </w:tcPr>
          <w:p w14:paraId="67906827">
            <w:pPr>
              <w:topLinePunct/>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项目名称</w:t>
            </w:r>
          </w:p>
        </w:tc>
        <w:tc>
          <w:tcPr>
            <w:tcW w:w="3658" w:type="pct"/>
            <w:noWrap w:val="0"/>
            <w:vAlign w:val="center"/>
          </w:tcPr>
          <w:p w14:paraId="1F632CD0">
            <w:pPr>
              <w:topLinePunct/>
              <w:spacing w:line="360" w:lineRule="auto"/>
              <w:jc w:val="center"/>
              <w:rPr>
                <w:rFonts w:hint="default" w:ascii="Times New Roman" w:hAnsi="Times New Roman" w:cs="Times New Roman"/>
                <w:color w:val="000000"/>
                <w:szCs w:val="21"/>
              </w:rPr>
            </w:pPr>
          </w:p>
        </w:tc>
      </w:tr>
      <w:tr w14:paraId="1F6C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41" w:type="pct"/>
            <w:noWrap w:val="0"/>
            <w:vAlign w:val="center"/>
          </w:tcPr>
          <w:p w14:paraId="34CD4038">
            <w:pPr>
              <w:topLinePunct/>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项目所在地</w:t>
            </w:r>
          </w:p>
        </w:tc>
        <w:tc>
          <w:tcPr>
            <w:tcW w:w="3658" w:type="pct"/>
            <w:noWrap w:val="0"/>
            <w:vAlign w:val="center"/>
          </w:tcPr>
          <w:p w14:paraId="4F061539">
            <w:pPr>
              <w:topLinePunct/>
              <w:spacing w:line="360" w:lineRule="auto"/>
              <w:jc w:val="center"/>
              <w:rPr>
                <w:rFonts w:hint="default" w:ascii="Times New Roman" w:hAnsi="Times New Roman" w:cs="Times New Roman"/>
                <w:color w:val="000000"/>
                <w:szCs w:val="21"/>
              </w:rPr>
            </w:pPr>
          </w:p>
        </w:tc>
      </w:tr>
      <w:tr w14:paraId="27EE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41" w:type="pct"/>
            <w:noWrap w:val="0"/>
            <w:vAlign w:val="center"/>
          </w:tcPr>
          <w:p w14:paraId="47633B24">
            <w:pPr>
              <w:topLinePunct/>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业主名称</w:t>
            </w:r>
          </w:p>
        </w:tc>
        <w:tc>
          <w:tcPr>
            <w:tcW w:w="3658" w:type="pct"/>
            <w:noWrap w:val="0"/>
            <w:vAlign w:val="center"/>
          </w:tcPr>
          <w:p w14:paraId="1141663D">
            <w:pPr>
              <w:topLinePunct/>
              <w:spacing w:line="360" w:lineRule="auto"/>
              <w:jc w:val="center"/>
              <w:rPr>
                <w:rFonts w:hint="default" w:ascii="Times New Roman" w:hAnsi="Times New Roman" w:cs="Times New Roman"/>
                <w:color w:val="000000"/>
                <w:szCs w:val="21"/>
              </w:rPr>
            </w:pPr>
          </w:p>
        </w:tc>
      </w:tr>
      <w:tr w14:paraId="5D3B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41" w:type="pct"/>
            <w:noWrap w:val="0"/>
            <w:vAlign w:val="center"/>
          </w:tcPr>
          <w:p w14:paraId="1F413AFE">
            <w:pPr>
              <w:topLinePunct/>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业主地址</w:t>
            </w:r>
          </w:p>
        </w:tc>
        <w:tc>
          <w:tcPr>
            <w:tcW w:w="3658" w:type="pct"/>
            <w:noWrap w:val="0"/>
            <w:vAlign w:val="center"/>
          </w:tcPr>
          <w:p w14:paraId="4289F4C4">
            <w:pPr>
              <w:topLinePunct/>
              <w:spacing w:line="360" w:lineRule="auto"/>
              <w:jc w:val="center"/>
              <w:rPr>
                <w:rFonts w:hint="default" w:ascii="Times New Roman" w:hAnsi="Times New Roman" w:cs="Times New Roman"/>
                <w:color w:val="000000"/>
                <w:szCs w:val="21"/>
              </w:rPr>
            </w:pPr>
          </w:p>
        </w:tc>
      </w:tr>
      <w:tr w14:paraId="0D0D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1" w:type="pct"/>
            <w:noWrap w:val="0"/>
            <w:vAlign w:val="center"/>
          </w:tcPr>
          <w:p w14:paraId="6932A584">
            <w:pPr>
              <w:topLinePunct/>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业主电话</w:t>
            </w:r>
          </w:p>
        </w:tc>
        <w:tc>
          <w:tcPr>
            <w:tcW w:w="3658" w:type="pct"/>
            <w:noWrap w:val="0"/>
            <w:vAlign w:val="center"/>
          </w:tcPr>
          <w:p w14:paraId="79278B5F">
            <w:pPr>
              <w:topLinePunct/>
              <w:spacing w:line="360" w:lineRule="auto"/>
              <w:jc w:val="center"/>
              <w:rPr>
                <w:rFonts w:hint="default" w:ascii="Times New Roman" w:hAnsi="Times New Roman" w:cs="Times New Roman"/>
                <w:color w:val="000000"/>
                <w:szCs w:val="21"/>
              </w:rPr>
            </w:pPr>
          </w:p>
        </w:tc>
      </w:tr>
      <w:tr w14:paraId="2977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41" w:type="pct"/>
            <w:noWrap w:val="0"/>
            <w:vAlign w:val="center"/>
          </w:tcPr>
          <w:p w14:paraId="0EE67B38">
            <w:pPr>
              <w:topLinePunct/>
              <w:spacing w:line="360" w:lineRule="auto"/>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eastAsia="zh-CN"/>
              </w:rPr>
              <w:t>服务期限</w:t>
            </w:r>
          </w:p>
        </w:tc>
        <w:tc>
          <w:tcPr>
            <w:tcW w:w="3658" w:type="pct"/>
            <w:noWrap w:val="0"/>
            <w:vAlign w:val="center"/>
          </w:tcPr>
          <w:p w14:paraId="4D500A54">
            <w:pPr>
              <w:topLinePunct/>
              <w:spacing w:line="360" w:lineRule="auto"/>
              <w:jc w:val="center"/>
              <w:rPr>
                <w:rFonts w:hint="default" w:ascii="Times New Roman" w:hAnsi="Times New Roman" w:cs="Times New Roman"/>
                <w:color w:val="000000"/>
                <w:szCs w:val="21"/>
              </w:rPr>
            </w:pPr>
          </w:p>
        </w:tc>
      </w:tr>
      <w:tr w14:paraId="060B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41" w:type="pct"/>
            <w:noWrap w:val="0"/>
            <w:vAlign w:val="center"/>
          </w:tcPr>
          <w:p w14:paraId="61592942">
            <w:pPr>
              <w:topLinePunct/>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备注</w:t>
            </w:r>
          </w:p>
        </w:tc>
        <w:tc>
          <w:tcPr>
            <w:tcW w:w="3658" w:type="pct"/>
            <w:noWrap w:val="0"/>
            <w:vAlign w:val="center"/>
          </w:tcPr>
          <w:p w14:paraId="47536636">
            <w:pPr>
              <w:topLinePunct/>
              <w:spacing w:line="360" w:lineRule="auto"/>
              <w:jc w:val="center"/>
              <w:rPr>
                <w:rFonts w:hint="default" w:ascii="Times New Roman" w:hAnsi="Times New Roman" w:cs="Times New Roman"/>
                <w:color w:val="000000"/>
                <w:szCs w:val="21"/>
              </w:rPr>
            </w:pPr>
          </w:p>
        </w:tc>
      </w:tr>
    </w:tbl>
    <w:p w14:paraId="67EAD706">
      <w:pPr>
        <w:widowControl/>
        <w:autoSpaceDE w:val="0"/>
        <w:autoSpaceDN w:val="0"/>
        <w:spacing w:line="360" w:lineRule="atLeast"/>
        <w:textAlignment w:val="bottom"/>
        <w:rPr>
          <w:rFonts w:hint="default" w:ascii="Times New Roman" w:hAnsi="Times New Roman" w:eastAsia="黑体" w:cs="Times New Roman"/>
          <w:color w:val="000000"/>
          <w:szCs w:val="21"/>
        </w:rPr>
      </w:pPr>
      <w:bookmarkStart w:id="211" w:name="_Toc28553"/>
      <w:r>
        <w:rPr>
          <w:rFonts w:hint="default" w:ascii="Times New Roman" w:hAnsi="Times New Roman" w:eastAsia="黑体" w:cs="Times New Roman"/>
          <w:color w:val="000000"/>
          <w:szCs w:val="21"/>
        </w:rPr>
        <w:t>注：</w:t>
      </w:r>
      <w:bookmarkEnd w:id="211"/>
    </w:p>
    <w:p w14:paraId="0038FDAB">
      <w:pPr>
        <w:widowControl/>
        <w:autoSpaceDE w:val="0"/>
        <w:autoSpaceDN w:val="0"/>
        <w:spacing w:line="360" w:lineRule="atLeast"/>
        <w:ind w:left="420" w:leftChars="200"/>
        <w:textAlignment w:val="bottom"/>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1、每张表格只填写一个项目，并标明序号。</w:t>
      </w:r>
    </w:p>
    <w:p w14:paraId="427ABABF">
      <w:pPr>
        <w:widowControl/>
        <w:autoSpaceDE w:val="0"/>
        <w:autoSpaceDN w:val="0"/>
        <w:spacing w:line="360" w:lineRule="atLeast"/>
        <w:ind w:left="420" w:leftChars="200"/>
        <w:textAlignment w:val="bottom"/>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lang w:val="en-US" w:eastAsia="zh-CN"/>
        </w:rPr>
        <w:t>2、</w:t>
      </w:r>
      <w:r>
        <w:rPr>
          <w:rFonts w:hint="default" w:ascii="Times New Roman" w:hAnsi="Times New Roman" w:eastAsia="黑体" w:cs="Times New Roman"/>
          <w:color w:val="000000"/>
          <w:szCs w:val="21"/>
        </w:rPr>
        <w:t>近三年（指</w:t>
      </w:r>
      <w:r>
        <w:rPr>
          <w:rFonts w:hint="eastAsia" w:ascii="Times New Roman" w:hAnsi="Times New Roman" w:eastAsia="黑体" w:cs="Times New Roman"/>
          <w:color w:val="000000"/>
          <w:szCs w:val="21"/>
          <w:lang w:val="en-US" w:eastAsia="zh-CN"/>
        </w:rPr>
        <w:t>2022</w:t>
      </w:r>
      <w:r>
        <w:rPr>
          <w:rFonts w:hint="default" w:ascii="Times New Roman" w:hAnsi="Times New Roman" w:eastAsia="黑体" w:cs="Times New Roman"/>
          <w:color w:val="000000"/>
          <w:szCs w:val="21"/>
        </w:rPr>
        <w:t>年01月01日至响应文件递交截止日期，以合同签订时间为准），投标人</w:t>
      </w:r>
      <w:r>
        <w:rPr>
          <w:rFonts w:hint="default" w:ascii="Times New Roman" w:hAnsi="Times New Roman" w:eastAsia="黑体" w:cs="Times New Roman"/>
          <w:color w:val="000000"/>
          <w:szCs w:val="21"/>
        </w:rPr>
        <w:t>至少</w:t>
      </w:r>
      <w:r>
        <w:rPr>
          <w:rFonts w:hint="default" w:ascii="Times New Roman" w:hAnsi="Times New Roman" w:eastAsia="黑体" w:cs="Times New Roman"/>
          <w:color w:val="000000"/>
          <w:szCs w:val="21"/>
        </w:rPr>
        <w:t>具备一个企事业单位车辆租赁服务业绩，且服务期限</w:t>
      </w:r>
      <w:r>
        <w:rPr>
          <w:rFonts w:hint="eastAsia" w:ascii="Times New Roman" w:hAnsi="Times New Roman" w:eastAsia="黑体" w:cs="Times New Roman"/>
          <w:color w:val="000000"/>
          <w:szCs w:val="21"/>
          <w:lang w:eastAsia="zh-CN"/>
        </w:rPr>
        <w:t>不少于</w:t>
      </w:r>
      <w:r>
        <w:rPr>
          <w:rFonts w:hint="default" w:ascii="Times New Roman" w:hAnsi="Times New Roman" w:eastAsia="黑体" w:cs="Times New Roman"/>
          <w:color w:val="000000"/>
          <w:szCs w:val="21"/>
        </w:rPr>
        <w:t>一年。（需附业绩合同彩色扫描件）</w:t>
      </w:r>
    </w:p>
    <w:p w14:paraId="00F93B5B">
      <w:pPr>
        <w:widowControl/>
        <w:autoSpaceDE w:val="0"/>
        <w:autoSpaceDN w:val="0"/>
        <w:spacing w:line="360" w:lineRule="atLeast"/>
        <w:ind w:left="420" w:leftChars="200"/>
        <w:textAlignment w:val="bottom"/>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3、如近年来，供应商法人机构发生合法变更或重组或法人名称变更时，应提供相关部门的合法批件或其他相关证明材料来证明其所附业绩的继承性。</w:t>
      </w:r>
    </w:p>
    <w:p w14:paraId="0D0F043C">
      <w:pPr>
        <w:rPr>
          <w:rFonts w:hint="eastAsia"/>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C9D8005">
      <w:pPr>
        <w:keepNext w:val="0"/>
        <w:keepLines w:val="0"/>
        <w:pageBreakBefore w:val="0"/>
        <w:tabs>
          <w:tab w:val="left" w:pos="3060"/>
        </w:tabs>
        <w:kinsoku/>
        <w:wordWrap/>
        <w:overflowPunct/>
        <w:topLinePunct/>
        <w:bidi w:val="0"/>
        <w:adjustRightInd/>
        <w:spacing w:line="440" w:lineRule="exact"/>
        <w:jc w:val="center"/>
        <w:outlineLvl w:val="0"/>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六、信誉情况</w:t>
      </w:r>
      <w:bookmarkEnd w:id="200"/>
      <w:bookmarkEnd w:id="201"/>
      <w:bookmarkEnd w:id="202"/>
      <w:bookmarkEnd w:id="203"/>
      <w:bookmarkEnd w:id="204"/>
    </w:p>
    <w:p w14:paraId="72B0C3E6">
      <w:pPr>
        <w:keepNext w:val="0"/>
        <w:keepLines w:val="0"/>
        <w:pageBreakBefore w:val="0"/>
        <w:kinsoku/>
        <w:wordWrap/>
        <w:overflowPunct/>
        <w:topLinePunct/>
        <w:bidi w:val="0"/>
        <w:adjustRightInd/>
        <w:spacing w:line="440" w:lineRule="exact"/>
        <w:outlineLvl w:val="9"/>
        <w:rPr>
          <w:rFonts w:hint="default" w:ascii="Times New Roman" w:hAnsi="Times New Roman" w:cs="Times New Roman"/>
          <w:bCs/>
          <w:color w:val="auto"/>
          <w:sz w:val="23"/>
          <w:szCs w:val="23"/>
          <w:highlight w:val="none"/>
        </w:rPr>
      </w:pPr>
    </w:p>
    <w:tbl>
      <w:tblPr>
        <w:tblStyle w:val="22"/>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5"/>
        <w:gridCol w:w="5018"/>
      </w:tblGrid>
      <w:tr w14:paraId="18C0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pct"/>
            <w:noWrap w:val="0"/>
            <w:vAlign w:val="center"/>
          </w:tcPr>
          <w:p w14:paraId="0FDCA723">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2564" w:type="pct"/>
            <w:noWrap w:val="0"/>
            <w:vAlign w:val="center"/>
          </w:tcPr>
          <w:p w14:paraId="4A87B2FD">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14:paraId="1E94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5" w:type="pct"/>
            <w:noWrap w:val="0"/>
            <w:vAlign w:val="center"/>
          </w:tcPr>
          <w:p w14:paraId="0DBE6D3C">
            <w:pPr>
              <w:keepNext w:val="0"/>
              <w:keepLines w:val="0"/>
              <w:pageBreakBefore w:val="0"/>
              <w:kinsoku/>
              <w:wordWrap/>
              <w:overflowPunct/>
              <w:topLinePunct/>
              <w:bidi w:val="0"/>
              <w:adjustRightInd/>
              <w:spacing w:line="440" w:lineRule="exact"/>
              <w:jc w:val="center"/>
              <w:outlineLvl w:val="9"/>
              <w:rPr>
                <w:rFonts w:hint="default" w:ascii="Times New Roman" w:hAnsi="Times New Roman" w:cs="Times New Roman"/>
                <w:bCs/>
                <w:color w:val="auto"/>
                <w:szCs w:val="21"/>
                <w:highlight w:val="none"/>
              </w:rPr>
            </w:pPr>
            <w:r>
              <w:rPr>
                <w:rFonts w:hint="default" w:ascii="Times New Roman" w:hAnsi="Times New Roman" w:eastAsia="宋体" w:cs="Times New Roman"/>
                <w:color w:val="auto"/>
                <w:sz w:val="21"/>
                <w:szCs w:val="21"/>
                <w:highlight w:val="none"/>
                <w:u w:val="none"/>
              </w:rPr>
              <w:t>被人民法院列入失信被执行人的竞标人不得参加竞标。（以“</w:t>
            </w:r>
            <w:r>
              <w:rPr>
                <w:rFonts w:hint="eastAsia" w:ascii="Times New Roman" w:hAnsi="Times New Roman" w:cs="Times New Roman"/>
                <w:color w:val="auto"/>
                <w:szCs w:val="22"/>
              </w:rPr>
              <w:t>中国执行信息公开网</w:t>
            </w:r>
            <w:r>
              <w:rPr>
                <w:rFonts w:hint="default" w:ascii="Times New Roman" w:hAnsi="Times New Roman" w:eastAsia="宋体" w:cs="Times New Roman"/>
                <w:color w:val="auto"/>
                <w:sz w:val="21"/>
                <w:szCs w:val="21"/>
                <w:highlight w:val="none"/>
                <w:u w:val="none"/>
              </w:rPr>
              <w:t>”官网</w:t>
            </w:r>
            <w:r>
              <w:rPr>
                <w:rFonts w:hint="eastAsia" w:ascii="Times New Roman" w:hAnsi="Times New Roman" w:cs="Times New Roman"/>
                <w:color w:val="auto"/>
                <w:szCs w:val="22"/>
              </w:rPr>
              <w:t>https://zxgk.court.gov.cn/</w:t>
            </w:r>
            <w:r>
              <w:rPr>
                <w:rFonts w:hint="default" w:ascii="Times New Roman" w:hAnsi="Times New Roman" w:eastAsia="宋体" w:cs="Times New Roman"/>
                <w:color w:val="auto"/>
                <w:sz w:val="21"/>
                <w:szCs w:val="21"/>
                <w:highlight w:val="none"/>
                <w:u w:val="none"/>
              </w:rPr>
              <w:t>查询为准</w:t>
            </w:r>
            <w:r>
              <w:rPr>
                <w:rFonts w:hint="default" w:ascii="Times New Roman" w:hAnsi="Times New Roman" w:cs="Times New Roman"/>
                <w:color w:val="auto"/>
                <w:sz w:val="21"/>
                <w:szCs w:val="21"/>
                <w:highlight w:val="none"/>
                <w:u w:val="none"/>
                <w:lang w:eastAsia="zh-CN"/>
              </w:rPr>
              <w:t>。</w:t>
            </w:r>
          </w:p>
        </w:tc>
        <w:tc>
          <w:tcPr>
            <w:tcW w:w="2564" w:type="pct"/>
            <w:noWrap w:val="0"/>
            <w:vAlign w:val="center"/>
          </w:tcPr>
          <w:p w14:paraId="062AAAEC">
            <w:pPr>
              <w:keepNext w:val="0"/>
              <w:keepLines w:val="0"/>
              <w:pageBreakBefore w:val="0"/>
              <w:kinsoku/>
              <w:wordWrap/>
              <w:overflowPunct/>
              <w:topLinePunct/>
              <w:bidi w:val="0"/>
              <w:adjustRightInd/>
              <w:spacing w:line="440" w:lineRule="exact"/>
              <w:jc w:val="center"/>
              <w:outlineLvl w:val="9"/>
              <w:rPr>
                <w:rFonts w:hint="eastAsia" w:ascii="Times New Roman" w:hAnsi="Times New Roman" w:eastAsia="仿宋_GB2312" w:cs="Times New Roman"/>
                <w:bCs/>
                <w:color w:val="auto"/>
                <w:szCs w:val="21"/>
                <w:highlight w:val="none"/>
                <w:lang w:eastAsia="zh-CN"/>
              </w:rPr>
            </w:pPr>
            <w:r>
              <w:rPr>
                <w:rFonts w:ascii="Times New Roman" w:hAnsi="Times New Roman" w:cs="Times New Roman"/>
                <w:color w:val="auto"/>
                <w:sz w:val="21"/>
                <w:szCs w:val="21"/>
              </w:rPr>
              <w:t>是</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 xml:space="preserve">     </w:t>
            </w:r>
            <w:r>
              <w:rPr>
                <w:rFonts w:ascii="Times New Roman" w:hAnsi="Times New Roman" w:cs="Times New Roman"/>
                <w:color w:val="auto"/>
                <w:sz w:val="21"/>
                <w:szCs w:val="21"/>
              </w:rPr>
              <w:t>否</w:t>
            </w:r>
            <w:r>
              <w:rPr>
                <w:rFonts w:hint="eastAsia" w:ascii="仿宋_GB2312" w:hAnsi="仿宋_GB2312" w:eastAsia="仿宋_GB2312" w:cs="仿宋_GB2312"/>
                <w:b/>
                <w:bCs/>
                <w:color w:val="auto"/>
                <w:sz w:val="21"/>
                <w:szCs w:val="21"/>
                <w:lang w:eastAsia="zh-CN"/>
              </w:rPr>
              <w:t>□</w:t>
            </w:r>
          </w:p>
        </w:tc>
      </w:tr>
    </w:tbl>
    <w:p w14:paraId="5A93B801">
      <w:pPr>
        <w:keepNext w:val="0"/>
        <w:keepLines w:val="0"/>
        <w:pageBreakBefore w:val="0"/>
        <w:kinsoku/>
        <w:wordWrap/>
        <w:overflowPunct/>
        <w:bidi w:val="0"/>
        <w:adjustRightInd/>
        <w:spacing w:line="440" w:lineRule="exact"/>
        <w:jc w:val="left"/>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highlight w:val="none"/>
          <w:lang w:val="en-US" w:eastAsia="zh-CN"/>
        </w:rPr>
        <w:t>注：</w:t>
      </w:r>
      <w:r>
        <w:rPr>
          <w:rFonts w:hint="eastAsia" w:ascii="黑体" w:hAnsi="黑体" w:eastAsia="黑体" w:cs="黑体"/>
          <w:color w:val="auto"/>
          <w:sz w:val="21"/>
          <w:szCs w:val="21"/>
        </w:rPr>
        <w:t>本表后需附</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中国执行信息公开网”网站（https://zxgk.court.gov.cn/）查询截图。</w:t>
      </w:r>
    </w:p>
    <w:p w14:paraId="2F60D841">
      <w:pPr>
        <w:keepNext w:val="0"/>
        <w:keepLines w:val="0"/>
        <w:pageBreakBefore w:val="0"/>
        <w:kinsoku/>
        <w:wordWrap/>
        <w:overflowPunct/>
        <w:bidi w:val="0"/>
        <w:adjustRightInd/>
        <w:spacing w:line="440" w:lineRule="exact"/>
        <w:jc w:val="left"/>
        <w:outlineLvl w:val="9"/>
        <w:rPr>
          <w:rFonts w:hint="default" w:ascii="Times New Roman" w:hAnsi="Times New Roman" w:cs="Times New Roman"/>
          <w:color w:val="auto"/>
          <w:sz w:val="24"/>
          <w:szCs w:val="24"/>
          <w:lang w:val="en-US" w:eastAsia="zh-CN"/>
        </w:rPr>
      </w:pPr>
    </w:p>
    <w:p w14:paraId="5F93B665">
      <w:pPr>
        <w:pStyle w:val="2"/>
        <w:keepNext w:val="0"/>
        <w:keepLines w:val="0"/>
        <w:pageBreakBefore w:val="0"/>
        <w:kinsoku/>
        <w:wordWrap/>
        <w:overflowPunct/>
        <w:bidi w:val="0"/>
        <w:adjustRightInd/>
        <w:jc w:val="right"/>
        <w:outlineLvl w:val="9"/>
        <w:rPr>
          <w:rFonts w:hint="default" w:ascii="Times New Roman" w:hAnsi="Times New Roman" w:cs="Times New Roman"/>
          <w:color w:val="auto"/>
          <w:sz w:val="24"/>
          <w:highlight w:val="none"/>
          <w:lang w:val="en-US" w:eastAsia="zh-CN"/>
        </w:rPr>
      </w:pPr>
    </w:p>
    <w:p w14:paraId="187D3A4E">
      <w:pPr>
        <w:keepNext w:val="0"/>
        <w:keepLines w:val="0"/>
        <w:pageBreakBefore w:val="0"/>
        <w:kinsoku/>
        <w:wordWrap/>
        <w:overflowPunct/>
        <w:bidi w:val="0"/>
        <w:adjustRightInd/>
        <w:spacing w:line="440" w:lineRule="exact"/>
        <w:jc w:val="righ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1BF3D02F">
      <w:pPr>
        <w:pStyle w:val="2"/>
        <w:keepNext w:val="0"/>
        <w:keepLines w:val="0"/>
        <w:pageBreakBefore w:val="0"/>
        <w:kinsoku/>
        <w:wordWrap/>
        <w:overflowPunct/>
        <w:bidi w:val="0"/>
        <w:adjustRightInd/>
        <w:jc w:val="right"/>
        <w:outlineLvl w:val="9"/>
        <w:rPr>
          <w:rFonts w:hint="default" w:eastAsia="宋体"/>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14:paraId="03D75CAE">
      <w:pPr>
        <w:pStyle w:val="2"/>
        <w:keepNext w:val="0"/>
        <w:keepLines w:val="0"/>
        <w:pageBreakBefore w:val="0"/>
        <w:kinsoku/>
        <w:wordWrap/>
        <w:overflowPunct/>
        <w:bidi w:val="0"/>
        <w:adjustRightInd/>
        <w:outlineLvl w:val="9"/>
        <w:rPr>
          <w:rFonts w:hint="default"/>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0DFD0B8">
      <w:pPr>
        <w:keepNext w:val="0"/>
        <w:keepLines w:val="0"/>
        <w:pageBreakBefore w:val="0"/>
        <w:tabs>
          <w:tab w:val="left" w:pos="3060"/>
        </w:tabs>
        <w:kinsoku/>
        <w:wordWrap/>
        <w:overflowPunct/>
        <w:topLinePunct/>
        <w:bidi w:val="0"/>
        <w:adjustRightInd/>
        <w:spacing w:line="440" w:lineRule="exact"/>
        <w:jc w:val="center"/>
        <w:outlineLvl w:val="0"/>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七、出租车辆清单</w:t>
      </w:r>
    </w:p>
    <w:p w14:paraId="4569E733">
      <w:pPr>
        <w:rPr>
          <w:rFonts w:hint="default"/>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0"/>
        <w:gridCol w:w="1495"/>
        <w:gridCol w:w="1495"/>
        <w:gridCol w:w="1495"/>
        <w:gridCol w:w="1495"/>
        <w:gridCol w:w="1495"/>
        <w:gridCol w:w="1498"/>
      </w:tblGrid>
      <w:tr w14:paraId="6B33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80" w:type="dxa"/>
            <w:noWrap w:val="0"/>
            <w:vAlign w:val="center"/>
          </w:tcPr>
          <w:p w14:paraId="16C9DA41">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序号</w:t>
            </w:r>
          </w:p>
        </w:tc>
        <w:tc>
          <w:tcPr>
            <w:tcW w:w="1495" w:type="dxa"/>
            <w:noWrap w:val="0"/>
            <w:vAlign w:val="center"/>
          </w:tcPr>
          <w:p w14:paraId="7B3ECC76">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车牌号</w:t>
            </w:r>
          </w:p>
        </w:tc>
        <w:tc>
          <w:tcPr>
            <w:tcW w:w="1495" w:type="dxa"/>
            <w:noWrap w:val="0"/>
            <w:vAlign w:val="center"/>
          </w:tcPr>
          <w:p w14:paraId="29CDBDA5">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车型</w:t>
            </w:r>
          </w:p>
        </w:tc>
        <w:tc>
          <w:tcPr>
            <w:tcW w:w="1495" w:type="dxa"/>
            <w:noWrap w:val="0"/>
            <w:vAlign w:val="center"/>
          </w:tcPr>
          <w:p w14:paraId="52819294">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购置价格</w:t>
            </w:r>
          </w:p>
        </w:tc>
        <w:tc>
          <w:tcPr>
            <w:tcW w:w="1495" w:type="dxa"/>
            <w:noWrap w:val="0"/>
            <w:vAlign w:val="center"/>
          </w:tcPr>
          <w:p w14:paraId="2A5E5038">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购置年份</w:t>
            </w:r>
          </w:p>
        </w:tc>
        <w:tc>
          <w:tcPr>
            <w:tcW w:w="1495" w:type="dxa"/>
            <w:noWrap w:val="0"/>
            <w:vAlign w:val="center"/>
          </w:tcPr>
          <w:p w14:paraId="032AC5E4">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车辆状况</w:t>
            </w:r>
          </w:p>
        </w:tc>
        <w:tc>
          <w:tcPr>
            <w:tcW w:w="1498" w:type="dxa"/>
            <w:noWrap w:val="0"/>
            <w:vAlign w:val="center"/>
          </w:tcPr>
          <w:p w14:paraId="63CF65FD">
            <w:pPr>
              <w:keepNext w:val="0"/>
              <w:keepLines w:val="0"/>
              <w:pageBreakBefore w:val="0"/>
              <w:kinsoku/>
              <w:wordWrap/>
              <w:overflowPunct/>
              <w:bidi w:val="0"/>
              <w:adjustRightInd/>
              <w:spacing w:line="400" w:lineRule="atLeast"/>
              <w:jc w:val="center"/>
              <w:outlineLvl w:val="0"/>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eastAsia="zh-CN"/>
              </w:rPr>
              <w:t>车辆属性（自有</w:t>
            </w:r>
            <w:r>
              <w:rPr>
                <w:rFonts w:hint="eastAsia" w:ascii="Times New Roman" w:hAnsi="Times New Roman" w:cs="Times New Roman"/>
                <w:color w:val="auto"/>
                <w:sz w:val="21"/>
                <w:szCs w:val="21"/>
                <w:highlight w:val="none"/>
                <w:vertAlign w:val="baseline"/>
                <w:lang w:val="en-US" w:eastAsia="zh-CN"/>
              </w:rPr>
              <w:t>/加盟挂靠</w:t>
            </w:r>
            <w:r>
              <w:rPr>
                <w:rFonts w:hint="eastAsia" w:ascii="Times New Roman" w:hAnsi="Times New Roman" w:cs="Times New Roman"/>
                <w:color w:val="auto"/>
                <w:sz w:val="21"/>
                <w:szCs w:val="21"/>
                <w:highlight w:val="none"/>
                <w:vertAlign w:val="baseline"/>
                <w:lang w:eastAsia="zh-CN"/>
              </w:rPr>
              <w:t>）</w:t>
            </w:r>
          </w:p>
        </w:tc>
      </w:tr>
      <w:tr w14:paraId="3879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jc w:val="center"/>
        </w:trPr>
        <w:tc>
          <w:tcPr>
            <w:tcW w:w="780" w:type="dxa"/>
            <w:noWrap w:val="0"/>
            <w:vAlign w:val="center"/>
          </w:tcPr>
          <w:p w14:paraId="45C1A120">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97962F9">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3C9921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15865006">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5C72B6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3C60704A">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31B360B1">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11B8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0" w:type="dxa"/>
            <w:noWrap w:val="0"/>
            <w:vAlign w:val="center"/>
          </w:tcPr>
          <w:p w14:paraId="1CD4A8FF">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96B5544">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08491EF9">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32FA4FEA">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39C2189B">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07C03C7C">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0BDCF2E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3A91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0" w:type="dxa"/>
            <w:noWrap w:val="0"/>
            <w:vAlign w:val="center"/>
          </w:tcPr>
          <w:p w14:paraId="509A3876">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264FA1CA">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627A599C">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52205D5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8DFEAAE">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7732DDBA">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469FA9B2">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6FA6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jc w:val="center"/>
        </w:trPr>
        <w:tc>
          <w:tcPr>
            <w:tcW w:w="780" w:type="dxa"/>
            <w:noWrap w:val="0"/>
            <w:vAlign w:val="center"/>
          </w:tcPr>
          <w:p w14:paraId="73CA863B">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5012D6B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6B1C245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2C63951E">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7104F271">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25A44622">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1465577B">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3AF4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jc w:val="center"/>
        </w:trPr>
        <w:tc>
          <w:tcPr>
            <w:tcW w:w="780" w:type="dxa"/>
            <w:noWrap w:val="0"/>
            <w:vAlign w:val="center"/>
          </w:tcPr>
          <w:p w14:paraId="62061A3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3096439A">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185BE3FA">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73293F25">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3EE2FD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11CE4A34">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2052C8E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1C33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0" w:type="dxa"/>
            <w:noWrap w:val="0"/>
            <w:vAlign w:val="center"/>
          </w:tcPr>
          <w:p w14:paraId="51B7A7F4">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64CFAB23">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572201C6">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0B57BFFE">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06E488B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2B76E92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57DEA816">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308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0" w:type="dxa"/>
            <w:noWrap w:val="0"/>
            <w:vAlign w:val="center"/>
          </w:tcPr>
          <w:p w14:paraId="6B2F14F5">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36609BB4">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5C9C9B95">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0C69D0CE">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06C8A10B">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36C87E37">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593ED0FC">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3FA1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0" w:type="dxa"/>
            <w:noWrap w:val="0"/>
            <w:vAlign w:val="center"/>
          </w:tcPr>
          <w:p w14:paraId="36F696B6">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3005E3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14ADAFAC">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1AAB15BD">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276AFB6D">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1C8F7BC0">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72E81210">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r w14:paraId="49D3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0" w:type="dxa"/>
            <w:noWrap w:val="0"/>
            <w:vAlign w:val="center"/>
          </w:tcPr>
          <w:p w14:paraId="5FFFB045">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5A856D5B">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71976188">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5CA72209">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71ACFF0F">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5" w:type="dxa"/>
            <w:noWrap w:val="0"/>
            <w:vAlign w:val="center"/>
          </w:tcPr>
          <w:p w14:paraId="4DBB2964">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c>
          <w:tcPr>
            <w:tcW w:w="1498" w:type="dxa"/>
            <w:noWrap w:val="0"/>
            <w:vAlign w:val="center"/>
          </w:tcPr>
          <w:p w14:paraId="7B19B0BB">
            <w:pPr>
              <w:keepNext w:val="0"/>
              <w:keepLines w:val="0"/>
              <w:pageBreakBefore w:val="0"/>
              <w:kinsoku/>
              <w:wordWrap/>
              <w:overflowPunct/>
              <w:bidi w:val="0"/>
              <w:adjustRightInd/>
              <w:spacing w:line="400" w:lineRule="atLeast"/>
              <w:jc w:val="center"/>
              <w:outlineLvl w:val="0"/>
              <w:rPr>
                <w:rFonts w:hint="default" w:ascii="Times New Roman" w:hAnsi="Times New Roman" w:cs="Times New Roman"/>
                <w:color w:val="auto"/>
                <w:sz w:val="21"/>
                <w:szCs w:val="21"/>
                <w:highlight w:val="none"/>
                <w:vertAlign w:val="baseline"/>
              </w:rPr>
            </w:pPr>
          </w:p>
        </w:tc>
      </w:tr>
    </w:tbl>
    <w:p w14:paraId="354637BE">
      <w:pPr>
        <w:keepNext w:val="0"/>
        <w:keepLines w:val="0"/>
        <w:pageBreakBefore w:val="0"/>
        <w:widowControl/>
        <w:kinsoku/>
        <w:wordWrap/>
        <w:overflowPunct/>
        <w:autoSpaceDE w:val="0"/>
        <w:autoSpaceDN w:val="0"/>
        <w:bidi w:val="0"/>
        <w:adjustRightInd/>
        <w:spacing w:line="360" w:lineRule="atLeast"/>
        <w:ind w:left="420" w:leftChars="200"/>
        <w:jc w:val="left"/>
        <w:textAlignment w:val="bottom"/>
        <w:outlineLvl w:val="9"/>
        <w:rPr>
          <w:rFonts w:hint="default" w:ascii="Times New Roman" w:hAnsi="Times New Roman" w:eastAsia="黑体" w:cs="Times New Roman"/>
          <w:color w:val="000000"/>
          <w:sz w:val="21"/>
          <w:szCs w:val="21"/>
          <w:highlight w:val="none"/>
          <w:lang w:eastAsia="zh-CN"/>
        </w:rPr>
      </w:pPr>
      <w:r>
        <w:rPr>
          <w:rFonts w:hint="default" w:ascii="Times New Roman" w:hAnsi="Times New Roman" w:eastAsia="黑体" w:cs="Times New Roman"/>
          <w:color w:val="000000"/>
          <w:sz w:val="21"/>
          <w:szCs w:val="21"/>
          <w:highlight w:val="none"/>
          <w:lang w:eastAsia="zh-CN"/>
        </w:rPr>
        <w:t>注：</w:t>
      </w:r>
    </w:p>
    <w:p w14:paraId="4BBBC1B9">
      <w:pPr>
        <w:keepNext w:val="0"/>
        <w:keepLines w:val="0"/>
        <w:pageBreakBefore w:val="0"/>
        <w:widowControl/>
        <w:kinsoku/>
        <w:wordWrap/>
        <w:overflowPunct/>
        <w:autoSpaceDE w:val="0"/>
        <w:autoSpaceDN w:val="0"/>
        <w:bidi w:val="0"/>
        <w:adjustRightInd/>
        <w:spacing w:line="360" w:lineRule="atLeast"/>
        <w:ind w:left="420" w:leftChars="200"/>
        <w:jc w:val="left"/>
        <w:textAlignment w:val="bottom"/>
        <w:outlineLvl w:val="9"/>
        <w:rPr>
          <w:rFonts w:hint="default" w:ascii="Times New Roman" w:hAnsi="Times New Roman" w:eastAsia="黑体" w:cs="Times New Roman"/>
          <w:color w:val="000000"/>
          <w:sz w:val="21"/>
          <w:szCs w:val="21"/>
          <w:highlight w:val="none"/>
          <w:lang w:eastAsia="zh-CN"/>
        </w:rPr>
      </w:pPr>
      <w:r>
        <w:rPr>
          <w:rFonts w:hint="default" w:ascii="Times New Roman" w:hAnsi="Times New Roman" w:eastAsia="黑体" w:cs="Times New Roman"/>
          <w:color w:val="000000"/>
          <w:sz w:val="21"/>
          <w:szCs w:val="21"/>
          <w:highlight w:val="none"/>
          <w:lang w:val="en-US" w:eastAsia="zh-CN"/>
        </w:rPr>
        <w:t>1、</w:t>
      </w:r>
      <w:r>
        <w:rPr>
          <w:rFonts w:hint="default" w:ascii="Times New Roman" w:hAnsi="Times New Roman" w:eastAsia="黑体" w:cs="Times New Roman"/>
          <w:color w:val="000000"/>
          <w:sz w:val="21"/>
          <w:szCs w:val="21"/>
          <w:highlight w:val="none"/>
          <w:lang w:eastAsia="zh-CN"/>
        </w:rPr>
        <w:t>投标人需根据自身情况如实填写上表，所填报车辆需满足第五章采购需求要求，采购人对所填信息真实性进行后审。</w:t>
      </w:r>
    </w:p>
    <w:p w14:paraId="1FB84E89">
      <w:pPr>
        <w:keepNext w:val="0"/>
        <w:keepLines w:val="0"/>
        <w:pageBreakBefore w:val="0"/>
        <w:widowControl/>
        <w:kinsoku/>
        <w:wordWrap/>
        <w:overflowPunct/>
        <w:autoSpaceDE w:val="0"/>
        <w:autoSpaceDN w:val="0"/>
        <w:bidi w:val="0"/>
        <w:adjustRightInd/>
        <w:spacing w:line="360" w:lineRule="atLeast"/>
        <w:ind w:left="420" w:leftChars="200"/>
        <w:jc w:val="left"/>
        <w:textAlignment w:val="bottom"/>
        <w:outlineLvl w:val="9"/>
        <w:rPr>
          <w:rFonts w:hint="default" w:ascii="Times New Roman" w:hAnsi="Times New Roman" w:eastAsia="黑体" w:cs="Times New Roman"/>
          <w:color w:val="000000"/>
          <w:sz w:val="21"/>
          <w:szCs w:val="21"/>
          <w:highlight w:val="none"/>
          <w:lang w:val="en-US" w:eastAsia="zh-CN"/>
        </w:rPr>
      </w:pPr>
      <w:r>
        <w:rPr>
          <w:rFonts w:hint="default" w:ascii="Times New Roman" w:hAnsi="Times New Roman" w:eastAsia="黑体" w:cs="Times New Roman"/>
          <w:color w:val="000000"/>
          <w:sz w:val="21"/>
          <w:szCs w:val="21"/>
          <w:highlight w:val="none"/>
          <w:lang w:val="en-US" w:eastAsia="zh-CN"/>
        </w:rPr>
        <w:t>2、表格行数可自行增删。</w:t>
      </w:r>
    </w:p>
    <w:p w14:paraId="1F9B14E1">
      <w:pPr>
        <w:keepNext w:val="0"/>
        <w:keepLines w:val="0"/>
        <w:pageBreakBefore w:val="0"/>
        <w:widowControl/>
        <w:kinsoku/>
        <w:wordWrap/>
        <w:overflowPunct/>
        <w:autoSpaceDE w:val="0"/>
        <w:autoSpaceDN w:val="0"/>
        <w:bidi w:val="0"/>
        <w:adjustRightInd/>
        <w:spacing w:line="360" w:lineRule="atLeast"/>
        <w:ind w:left="420" w:leftChars="200"/>
        <w:jc w:val="left"/>
        <w:textAlignment w:val="bottom"/>
        <w:outlineLvl w:val="9"/>
        <w:rPr>
          <w:rFonts w:hint="default" w:ascii="Times New Roman" w:hAnsi="Times New Roman" w:eastAsia="黑体" w:cs="Times New Roman"/>
          <w:color w:val="000000"/>
          <w:sz w:val="21"/>
          <w:szCs w:val="21"/>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9B189A">
      <w:pPr>
        <w:keepNext w:val="0"/>
        <w:keepLines w:val="0"/>
        <w:pageBreakBefore w:val="0"/>
        <w:widowControl/>
        <w:kinsoku/>
        <w:wordWrap/>
        <w:overflowPunct/>
        <w:autoSpaceDE w:val="0"/>
        <w:autoSpaceDN w:val="0"/>
        <w:bidi w:val="0"/>
        <w:adjustRightInd/>
        <w:spacing w:line="360" w:lineRule="atLeast"/>
        <w:ind w:left="420" w:leftChars="200"/>
        <w:jc w:val="center"/>
        <w:textAlignment w:val="bottom"/>
        <w:outlineLvl w:val="9"/>
        <w:rPr>
          <w:rFonts w:hint="default" w:ascii="Times New Roman" w:hAnsi="Times New Roman" w:eastAsia="黑体" w:cs="Times New Roman"/>
          <w:color w:val="auto"/>
          <w:sz w:val="28"/>
          <w:szCs w:val="28"/>
          <w:highlight w:val="none"/>
        </w:rPr>
      </w:pPr>
      <w:bookmarkStart w:id="212" w:name="_Toc22303_WPSOffice_Level1"/>
      <w:bookmarkStart w:id="213" w:name="_Toc2428_WPSOffice_Level1"/>
      <w:bookmarkStart w:id="214" w:name="_Toc13165_WPSOffice_Level1"/>
      <w:bookmarkStart w:id="215" w:name="_Toc11219_WPSOffice_Level1"/>
      <w:bookmarkStart w:id="216" w:name="_Toc15887_WPSOffice_Level1"/>
      <w:r>
        <w:rPr>
          <w:rFonts w:hint="default" w:ascii="Times New Roman" w:hAnsi="Times New Roman" w:eastAsia="黑体" w:cs="Times New Roman"/>
          <w:color w:val="auto"/>
          <w:sz w:val="28"/>
          <w:szCs w:val="28"/>
          <w:highlight w:val="none"/>
          <w:lang w:eastAsia="zh-CN"/>
        </w:rPr>
        <w:t>八</w:t>
      </w:r>
      <w:r>
        <w:rPr>
          <w:rFonts w:hint="default" w:ascii="Times New Roman" w:hAnsi="Times New Roman" w:eastAsia="黑体" w:cs="Times New Roman"/>
          <w:b w:val="0"/>
          <w:bCs w:val="0"/>
          <w:color w:val="auto"/>
          <w:sz w:val="28"/>
          <w:szCs w:val="28"/>
          <w:highlight w:val="none"/>
        </w:rPr>
        <w:t>、</w:t>
      </w:r>
      <w:r>
        <w:rPr>
          <w:rFonts w:hint="default" w:ascii="Times New Roman" w:hAnsi="Times New Roman" w:eastAsia="黑体" w:cs="Times New Roman"/>
          <w:b w:val="0"/>
          <w:bCs w:val="0"/>
          <w:color w:val="auto"/>
          <w:sz w:val="28"/>
          <w:szCs w:val="28"/>
          <w:highlight w:val="none"/>
        </w:rPr>
        <w:t>其它</w:t>
      </w:r>
      <w:bookmarkEnd w:id="212"/>
      <w:r>
        <w:rPr>
          <w:rFonts w:hint="default" w:ascii="Times New Roman" w:hAnsi="Times New Roman" w:eastAsia="黑体" w:cs="Times New Roman"/>
          <w:b w:val="0"/>
          <w:bCs w:val="0"/>
          <w:color w:val="auto"/>
          <w:sz w:val="28"/>
          <w:szCs w:val="28"/>
          <w:highlight w:val="none"/>
        </w:rPr>
        <w:t>材料</w:t>
      </w:r>
      <w:bookmarkEnd w:id="213"/>
      <w:bookmarkEnd w:id="214"/>
      <w:bookmarkEnd w:id="215"/>
      <w:bookmarkEnd w:id="216"/>
    </w:p>
    <w:p w14:paraId="3EC00D78">
      <w:pPr>
        <w:pStyle w:val="31"/>
        <w:keepNext w:val="0"/>
        <w:keepLines w:val="0"/>
        <w:pageBreakBefore w:val="0"/>
        <w:kinsoku/>
        <w:wordWrap/>
        <w:overflowPunct/>
        <w:bidi w:val="0"/>
        <w:adjustRightInd/>
        <w:jc w:val="left"/>
        <w:outlineLvl w:val="9"/>
        <w:rPr>
          <w:rFonts w:hint="default" w:ascii="Times New Roman" w:hAnsi="Times New Roman" w:eastAsia="宋体"/>
          <w:color w:val="auto"/>
          <w:kern w:val="2"/>
          <w:szCs w:val="24"/>
          <w:highlight w:val="none"/>
        </w:rPr>
      </w:pPr>
    </w:p>
    <w:p w14:paraId="5456CF69">
      <w:pPr>
        <w:pStyle w:val="31"/>
        <w:keepNext w:val="0"/>
        <w:keepLines w:val="0"/>
        <w:pageBreakBefore w:val="0"/>
        <w:kinsoku/>
        <w:wordWrap/>
        <w:overflowPunct/>
        <w:bidi w:val="0"/>
        <w:adjustRightInd/>
        <w:ind w:firstLine="480" w:firstLineChars="200"/>
        <w:jc w:val="left"/>
        <w:outlineLvl w:val="9"/>
        <w:rPr>
          <w:rFonts w:hint="eastAsia" w:ascii="Times New Roman" w:hAnsi="Times New Roman" w:eastAsia="宋体"/>
          <w:color w:val="auto"/>
          <w:kern w:val="2"/>
          <w:szCs w:val="24"/>
          <w:highlight w:val="none"/>
          <w:lang w:val="en-US" w:eastAsia="zh-CN"/>
        </w:rPr>
      </w:pPr>
      <w:r>
        <w:rPr>
          <w:rFonts w:hint="eastAsia" w:ascii="Times New Roman" w:hAnsi="Times New Roman" w:eastAsia="宋体"/>
          <w:color w:val="auto"/>
          <w:kern w:val="2"/>
          <w:szCs w:val="24"/>
          <w:highlight w:val="none"/>
          <w:lang w:val="en-US" w:eastAsia="zh-CN"/>
        </w:rPr>
        <w:t>注：供应商认为有必要提交的材料</w:t>
      </w:r>
      <w:r>
        <w:rPr>
          <w:rFonts w:hint="default" w:ascii="Times New Roman" w:hAnsi="Times New Roman" w:eastAsia="宋体"/>
          <w:color w:val="auto"/>
          <w:kern w:val="2"/>
          <w:szCs w:val="24"/>
          <w:highlight w:val="none"/>
          <w:lang w:val="en-US" w:eastAsia="zh-CN"/>
        </w:rPr>
        <w:t>等</w:t>
      </w:r>
      <w:r>
        <w:rPr>
          <w:rFonts w:hint="eastAsia" w:ascii="Times New Roman" w:hAnsi="Times New Roman" w:eastAsia="宋体"/>
          <w:color w:val="auto"/>
          <w:kern w:val="2"/>
          <w:szCs w:val="24"/>
          <w:highlight w:val="none"/>
          <w:lang w:val="en-US" w:eastAsia="zh-CN"/>
        </w:rPr>
        <w:t>。</w:t>
      </w:r>
    </w:p>
    <w:p w14:paraId="3525A127">
      <w:pPr>
        <w:pStyle w:val="31"/>
        <w:keepNext w:val="0"/>
        <w:keepLines w:val="0"/>
        <w:pageBreakBefore w:val="0"/>
        <w:kinsoku/>
        <w:wordWrap/>
        <w:overflowPunct/>
        <w:bidi w:val="0"/>
        <w:adjustRightInd/>
        <w:spacing w:line="360" w:lineRule="auto"/>
        <w:jc w:val="both"/>
        <w:outlineLvl w:val="9"/>
        <w:rPr>
          <w:rFonts w:hint="eastAsia" w:ascii="宋体" w:hAnsi="宋体" w:eastAsia="宋体" w:cs="宋体"/>
          <w:color w:val="auto"/>
          <w:sz w:val="24"/>
          <w:szCs w:val="24"/>
          <w:lang w:val="en-US" w:eastAsia="zh-CN"/>
        </w:rPr>
      </w:pPr>
    </w:p>
    <w:p w14:paraId="54DF2343">
      <w:pPr>
        <w:pStyle w:val="31"/>
        <w:keepNext w:val="0"/>
        <w:keepLines w:val="0"/>
        <w:pageBreakBefore w:val="0"/>
        <w:kinsoku/>
        <w:wordWrap/>
        <w:overflowPunct/>
        <w:bidi w:val="0"/>
        <w:adjustRightInd/>
        <w:outlineLvl w:val="9"/>
        <w:rPr>
          <w:rFonts w:hint="eastAsia"/>
          <w:color w:val="auto"/>
          <w:lang w:val="en-US" w:eastAsia="zh-CN"/>
        </w:rPr>
      </w:pPr>
    </w:p>
    <w:p w14:paraId="24760CD1"/>
    <w:p w14:paraId="38E6823D"/>
    <w:p w14:paraId="2EC5B24B"/>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DFC4">
    <w:pPr>
      <w:pStyle w:val="16"/>
    </w:pPr>
  </w:p>
  <w:p w14:paraId="108D224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3B2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05A39">
                          <w:pPr>
                            <w:pStyle w:val="16"/>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6E205A39">
                    <w:pPr>
                      <w:pStyle w:val="16"/>
                    </w:pPr>
                    <w:r>
                      <w:fldChar w:fldCharType="begin"/>
                    </w:r>
                    <w:r>
                      <w:instrText xml:space="preserve"> PAGE  \* MERGEFORMAT </w:instrText>
                    </w:r>
                    <w:r>
                      <w:fldChar w:fldCharType="separate"/>
                    </w:r>
                    <w:r>
                      <w:t>3</w:t>
                    </w:r>
                    <w:r>
                      <w:fldChar w:fldCharType="end"/>
                    </w:r>
                  </w:p>
                </w:txbxContent>
              </v:textbox>
            </v:shape>
          </w:pict>
        </mc:Fallback>
      </mc:AlternateContent>
    </w:r>
  </w:p>
  <w:p w14:paraId="4B80970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7532">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95FC3D">
                          <w:pPr>
                            <w:pStyle w:val="16"/>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fill on="f" focussize="0,0"/>
              <v:stroke on="f"/>
              <v:imagedata o:title=""/>
              <o:lock v:ext="edit" aspectratio="f"/>
              <v:textbox inset="0mm,0mm,0mm,0mm" style="mso-fit-shape-to-text:t;">
                <w:txbxContent>
                  <w:p w14:paraId="4D95FC3D">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31CF">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FD33D48"/>
    <w:multiLevelType w:val="singleLevel"/>
    <w:tmpl w:val="CFD33D48"/>
    <w:lvl w:ilvl="0" w:tentative="0">
      <w:start w:val="3"/>
      <w:numFmt w:val="chineseCounting"/>
      <w:suff w:val="nothing"/>
      <w:lvlText w:val="%1、"/>
      <w:lvlJc w:val="left"/>
      <w:rPr>
        <w:rFonts w:hint="eastAsia"/>
      </w:rPr>
    </w:lvl>
  </w:abstractNum>
  <w:abstractNum w:abstractNumId="2">
    <w:nsid w:val="F8A5BB34"/>
    <w:multiLevelType w:val="singleLevel"/>
    <w:tmpl w:val="F8A5BB34"/>
    <w:lvl w:ilvl="0" w:tentative="0">
      <w:start w:val="5"/>
      <w:numFmt w:val="chineseCounting"/>
      <w:suff w:val="space"/>
      <w:lvlText w:val="第%1章"/>
      <w:lvlJc w:val="left"/>
      <w:rPr>
        <w:rFonts w:hint="eastAsia"/>
      </w:rPr>
    </w:lvl>
  </w:abstractNum>
  <w:abstractNum w:abstractNumId="3">
    <w:nsid w:val="0D1AA059"/>
    <w:multiLevelType w:val="singleLevel"/>
    <w:tmpl w:val="0D1AA059"/>
    <w:lvl w:ilvl="0" w:tentative="0">
      <w:start w:val="1"/>
      <w:numFmt w:val="decimal"/>
      <w:suff w:val="nothing"/>
      <w:lvlText w:val="（%1）"/>
      <w:lvlJc w:val="left"/>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zQzMGNiMWRhYmJkNWNhNDQ5ODYxN2I0MjA4NDUifQ=="/>
  </w:docVars>
  <w:rsids>
    <w:rsidRoot w:val="003028B8"/>
    <w:rsid w:val="000D30EC"/>
    <w:rsid w:val="00126DE8"/>
    <w:rsid w:val="001460A6"/>
    <w:rsid w:val="001659E6"/>
    <w:rsid w:val="00286930"/>
    <w:rsid w:val="003028B8"/>
    <w:rsid w:val="003C6A6E"/>
    <w:rsid w:val="003E0BAA"/>
    <w:rsid w:val="004354DD"/>
    <w:rsid w:val="00466F51"/>
    <w:rsid w:val="004932B8"/>
    <w:rsid w:val="00512041"/>
    <w:rsid w:val="005B1C62"/>
    <w:rsid w:val="00601232"/>
    <w:rsid w:val="00774C23"/>
    <w:rsid w:val="007B6F9A"/>
    <w:rsid w:val="007F0E50"/>
    <w:rsid w:val="009A18F5"/>
    <w:rsid w:val="00AC1385"/>
    <w:rsid w:val="00AE1115"/>
    <w:rsid w:val="00AF0DA2"/>
    <w:rsid w:val="00B006AD"/>
    <w:rsid w:val="00B56F3C"/>
    <w:rsid w:val="00F43DE7"/>
    <w:rsid w:val="00FA1044"/>
    <w:rsid w:val="00FD2626"/>
    <w:rsid w:val="010634ED"/>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3E4BBF"/>
    <w:rsid w:val="03530EF0"/>
    <w:rsid w:val="03601717"/>
    <w:rsid w:val="03666726"/>
    <w:rsid w:val="036A6013"/>
    <w:rsid w:val="036B0042"/>
    <w:rsid w:val="038460EB"/>
    <w:rsid w:val="03921536"/>
    <w:rsid w:val="0392230E"/>
    <w:rsid w:val="03957CCA"/>
    <w:rsid w:val="03BA168E"/>
    <w:rsid w:val="03DE6BBF"/>
    <w:rsid w:val="03EA0F31"/>
    <w:rsid w:val="03EC548F"/>
    <w:rsid w:val="03FB6B06"/>
    <w:rsid w:val="03FD2384"/>
    <w:rsid w:val="041C4143"/>
    <w:rsid w:val="04233E93"/>
    <w:rsid w:val="04295DA0"/>
    <w:rsid w:val="042F0E97"/>
    <w:rsid w:val="04352FAD"/>
    <w:rsid w:val="04533F12"/>
    <w:rsid w:val="046B7205"/>
    <w:rsid w:val="047B3AB4"/>
    <w:rsid w:val="047C0CFA"/>
    <w:rsid w:val="047C234D"/>
    <w:rsid w:val="048328A9"/>
    <w:rsid w:val="04863891"/>
    <w:rsid w:val="049F1121"/>
    <w:rsid w:val="04A52713"/>
    <w:rsid w:val="04A61CAB"/>
    <w:rsid w:val="04B66E9B"/>
    <w:rsid w:val="04B76022"/>
    <w:rsid w:val="04D91B0C"/>
    <w:rsid w:val="04DF02F5"/>
    <w:rsid w:val="04EA65EC"/>
    <w:rsid w:val="04EB6AA2"/>
    <w:rsid w:val="04F54297"/>
    <w:rsid w:val="04F76AAC"/>
    <w:rsid w:val="04F95D73"/>
    <w:rsid w:val="050022AA"/>
    <w:rsid w:val="05162632"/>
    <w:rsid w:val="05474D67"/>
    <w:rsid w:val="057351EA"/>
    <w:rsid w:val="0576269F"/>
    <w:rsid w:val="05763F6A"/>
    <w:rsid w:val="057C20F9"/>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52AA9"/>
    <w:rsid w:val="06291D77"/>
    <w:rsid w:val="062929E2"/>
    <w:rsid w:val="06316315"/>
    <w:rsid w:val="064B1FD0"/>
    <w:rsid w:val="06510831"/>
    <w:rsid w:val="06521FF7"/>
    <w:rsid w:val="0655574A"/>
    <w:rsid w:val="066756C3"/>
    <w:rsid w:val="066E7995"/>
    <w:rsid w:val="0671119D"/>
    <w:rsid w:val="068C07A0"/>
    <w:rsid w:val="069C2279"/>
    <w:rsid w:val="06C75E0F"/>
    <w:rsid w:val="06CD2659"/>
    <w:rsid w:val="06D9617D"/>
    <w:rsid w:val="06E209B7"/>
    <w:rsid w:val="06EE5449"/>
    <w:rsid w:val="07091040"/>
    <w:rsid w:val="071D3AEF"/>
    <w:rsid w:val="071F775B"/>
    <w:rsid w:val="0725414F"/>
    <w:rsid w:val="073E4D0F"/>
    <w:rsid w:val="07612C2A"/>
    <w:rsid w:val="077050EF"/>
    <w:rsid w:val="07914D92"/>
    <w:rsid w:val="07B51055"/>
    <w:rsid w:val="07C74263"/>
    <w:rsid w:val="07C93DD2"/>
    <w:rsid w:val="07E31EF0"/>
    <w:rsid w:val="07E82B07"/>
    <w:rsid w:val="07ED1B1A"/>
    <w:rsid w:val="07F10BD9"/>
    <w:rsid w:val="07F33261"/>
    <w:rsid w:val="07FB3039"/>
    <w:rsid w:val="07FC2047"/>
    <w:rsid w:val="080A4F8B"/>
    <w:rsid w:val="08144141"/>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8F87BC1"/>
    <w:rsid w:val="09033D88"/>
    <w:rsid w:val="091033C7"/>
    <w:rsid w:val="0911242E"/>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62277"/>
    <w:rsid w:val="0A4C0A53"/>
    <w:rsid w:val="0A4F25F6"/>
    <w:rsid w:val="0A562E5C"/>
    <w:rsid w:val="0A595E3B"/>
    <w:rsid w:val="0A5D5C18"/>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C546F2"/>
    <w:rsid w:val="0BD75140"/>
    <w:rsid w:val="0BD821CA"/>
    <w:rsid w:val="0BE00F68"/>
    <w:rsid w:val="0C0A4650"/>
    <w:rsid w:val="0C122E87"/>
    <w:rsid w:val="0C142061"/>
    <w:rsid w:val="0C25115F"/>
    <w:rsid w:val="0C30164C"/>
    <w:rsid w:val="0C4909C1"/>
    <w:rsid w:val="0C54553C"/>
    <w:rsid w:val="0C6153DA"/>
    <w:rsid w:val="0C61547A"/>
    <w:rsid w:val="0C680BDD"/>
    <w:rsid w:val="0C715D36"/>
    <w:rsid w:val="0C72723E"/>
    <w:rsid w:val="0C8830F0"/>
    <w:rsid w:val="0C915D6B"/>
    <w:rsid w:val="0C9F0011"/>
    <w:rsid w:val="0CA8035A"/>
    <w:rsid w:val="0CAD361F"/>
    <w:rsid w:val="0CAD70A0"/>
    <w:rsid w:val="0CCA7A68"/>
    <w:rsid w:val="0CDE4D0D"/>
    <w:rsid w:val="0CDF23B6"/>
    <w:rsid w:val="0CE45ABA"/>
    <w:rsid w:val="0CE55D2A"/>
    <w:rsid w:val="0CEA1161"/>
    <w:rsid w:val="0D0E1A16"/>
    <w:rsid w:val="0D10137A"/>
    <w:rsid w:val="0D10611A"/>
    <w:rsid w:val="0D204464"/>
    <w:rsid w:val="0D245D5D"/>
    <w:rsid w:val="0D2A5D78"/>
    <w:rsid w:val="0D643C93"/>
    <w:rsid w:val="0D820DCE"/>
    <w:rsid w:val="0D8328E8"/>
    <w:rsid w:val="0D840310"/>
    <w:rsid w:val="0D935001"/>
    <w:rsid w:val="0D99433B"/>
    <w:rsid w:val="0DA75F7E"/>
    <w:rsid w:val="0DAE4A0C"/>
    <w:rsid w:val="0DB038D8"/>
    <w:rsid w:val="0DCE19B4"/>
    <w:rsid w:val="0DFE181D"/>
    <w:rsid w:val="0E10556B"/>
    <w:rsid w:val="0E14052A"/>
    <w:rsid w:val="0E1B588D"/>
    <w:rsid w:val="0E265F28"/>
    <w:rsid w:val="0E2873E9"/>
    <w:rsid w:val="0E2D3308"/>
    <w:rsid w:val="0E42539C"/>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53CFF"/>
    <w:rsid w:val="0EF81537"/>
    <w:rsid w:val="0EF83DB8"/>
    <w:rsid w:val="0F401FA4"/>
    <w:rsid w:val="0F4F57E8"/>
    <w:rsid w:val="0F6C3B60"/>
    <w:rsid w:val="0F6F6315"/>
    <w:rsid w:val="0F7150A0"/>
    <w:rsid w:val="0F7A125F"/>
    <w:rsid w:val="0FB81B5B"/>
    <w:rsid w:val="0FBC4E69"/>
    <w:rsid w:val="0FD00E8A"/>
    <w:rsid w:val="0FD02887"/>
    <w:rsid w:val="0FE65A61"/>
    <w:rsid w:val="10090199"/>
    <w:rsid w:val="10321533"/>
    <w:rsid w:val="10337DDD"/>
    <w:rsid w:val="103656D1"/>
    <w:rsid w:val="103C7917"/>
    <w:rsid w:val="103D08C2"/>
    <w:rsid w:val="10564A8B"/>
    <w:rsid w:val="1058602D"/>
    <w:rsid w:val="10795C93"/>
    <w:rsid w:val="108B3AFA"/>
    <w:rsid w:val="10B15280"/>
    <w:rsid w:val="10B463A5"/>
    <w:rsid w:val="10CF164C"/>
    <w:rsid w:val="10D50461"/>
    <w:rsid w:val="10E24CD8"/>
    <w:rsid w:val="10F15163"/>
    <w:rsid w:val="10F26CDC"/>
    <w:rsid w:val="10FE1D37"/>
    <w:rsid w:val="11163C77"/>
    <w:rsid w:val="112E0021"/>
    <w:rsid w:val="1139732F"/>
    <w:rsid w:val="114A7510"/>
    <w:rsid w:val="114C67B8"/>
    <w:rsid w:val="115A4908"/>
    <w:rsid w:val="115A53BC"/>
    <w:rsid w:val="11696085"/>
    <w:rsid w:val="117A2D8F"/>
    <w:rsid w:val="118060D4"/>
    <w:rsid w:val="118E75B9"/>
    <w:rsid w:val="1194155A"/>
    <w:rsid w:val="119C129E"/>
    <w:rsid w:val="119C1623"/>
    <w:rsid w:val="11AB3509"/>
    <w:rsid w:val="11B42B23"/>
    <w:rsid w:val="11B5299E"/>
    <w:rsid w:val="11C3745F"/>
    <w:rsid w:val="11C92B03"/>
    <w:rsid w:val="11DA02A7"/>
    <w:rsid w:val="11E52624"/>
    <w:rsid w:val="11E8124D"/>
    <w:rsid w:val="11F9333E"/>
    <w:rsid w:val="11FE31AD"/>
    <w:rsid w:val="121466AA"/>
    <w:rsid w:val="12224FD0"/>
    <w:rsid w:val="122B6577"/>
    <w:rsid w:val="12343761"/>
    <w:rsid w:val="123756D1"/>
    <w:rsid w:val="123B7167"/>
    <w:rsid w:val="124E5F2C"/>
    <w:rsid w:val="12597E87"/>
    <w:rsid w:val="125B3739"/>
    <w:rsid w:val="12606C21"/>
    <w:rsid w:val="126943EE"/>
    <w:rsid w:val="12865675"/>
    <w:rsid w:val="129A697A"/>
    <w:rsid w:val="12B9473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4D43B0"/>
    <w:rsid w:val="13594F2D"/>
    <w:rsid w:val="13714DE1"/>
    <w:rsid w:val="13A70B15"/>
    <w:rsid w:val="13B72E13"/>
    <w:rsid w:val="13BA32C6"/>
    <w:rsid w:val="13D86AEE"/>
    <w:rsid w:val="13DE4A24"/>
    <w:rsid w:val="14003B68"/>
    <w:rsid w:val="14074D78"/>
    <w:rsid w:val="14077165"/>
    <w:rsid w:val="140A4876"/>
    <w:rsid w:val="1411212C"/>
    <w:rsid w:val="141D07CE"/>
    <w:rsid w:val="14231FAC"/>
    <w:rsid w:val="14264818"/>
    <w:rsid w:val="14317E7A"/>
    <w:rsid w:val="145378D4"/>
    <w:rsid w:val="1463315F"/>
    <w:rsid w:val="14664519"/>
    <w:rsid w:val="146F09C5"/>
    <w:rsid w:val="147441B4"/>
    <w:rsid w:val="14745B8C"/>
    <w:rsid w:val="14805F43"/>
    <w:rsid w:val="14832530"/>
    <w:rsid w:val="14936D19"/>
    <w:rsid w:val="14991E4B"/>
    <w:rsid w:val="14DF65DE"/>
    <w:rsid w:val="14F33B67"/>
    <w:rsid w:val="150F7DCF"/>
    <w:rsid w:val="151346A4"/>
    <w:rsid w:val="151E62FD"/>
    <w:rsid w:val="151F03B5"/>
    <w:rsid w:val="153A48EA"/>
    <w:rsid w:val="153A65BE"/>
    <w:rsid w:val="15422B45"/>
    <w:rsid w:val="156009C5"/>
    <w:rsid w:val="156629A4"/>
    <w:rsid w:val="156A38D6"/>
    <w:rsid w:val="156C688A"/>
    <w:rsid w:val="1584295D"/>
    <w:rsid w:val="158735B1"/>
    <w:rsid w:val="15895244"/>
    <w:rsid w:val="159E013D"/>
    <w:rsid w:val="15A63FB3"/>
    <w:rsid w:val="15BA0961"/>
    <w:rsid w:val="15BC6BCB"/>
    <w:rsid w:val="15CC605B"/>
    <w:rsid w:val="15D32868"/>
    <w:rsid w:val="15EE1192"/>
    <w:rsid w:val="15FD0081"/>
    <w:rsid w:val="161713B9"/>
    <w:rsid w:val="162117F2"/>
    <w:rsid w:val="16247C45"/>
    <w:rsid w:val="163D38BD"/>
    <w:rsid w:val="164432FC"/>
    <w:rsid w:val="166867F9"/>
    <w:rsid w:val="16746A12"/>
    <w:rsid w:val="16763172"/>
    <w:rsid w:val="167E2633"/>
    <w:rsid w:val="168431DE"/>
    <w:rsid w:val="168C763B"/>
    <w:rsid w:val="1690501F"/>
    <w:rsid w:val="16B22F9A"/>
    <w:rsid w:val="16C0118F"/>
    <w:rsid w:val="16D147CF"/>
    <w:rsid w:val="16DB2D50"/>
    <w:rsid w:val="16DE5569"/>
    <w:rsid w:val="16E8299C"/>
    <w:rsid w:val="16F40010"/>
    <w:rsid w:val="16FB1042"/>
    <w:rsid w:val="17005FBC"/>
    <w:rsid w:val="17096A52"/>
    <w:rsid w:val="170A434D"/>
    <w:rsid w:val="170A608F"/>
    <w:rsid w:val="17176EC0"/>
    <w:rsid w:val="171A22E9"/>
    <w:rsid w:val="173213AE"/>
    <w:rsid w:val="1735048C"/>
    <w:rsid w:val="173C70F5"/>
    <w:rsid w:val="174206F3"/>
    <w:rsid w:val="17504FD3"/>
    <w:rsid w:val="1761165F"/>
    <w:rsid w:val="176B4C2E"/>
    <w:rsid w:val="17912DBB"/>
    <w:rsid w:val="179E2BB2"/>
    <w:rsid w:val="17A31E57"/>
    <w:rsid w:val="17A41A09"/>
    <w:rsid w:val="17BE7705"/>
    <w:rsid w:val="17DE1931"/>
    <w:rsid w:val="17E43CA4"/>
    <w:rsid w:val="17EE47C9"/>
    <w:rsid w:val="17FF683E"/>
    <w:rsid w:val="1803234F"/>
    <w:rsid w:val="181F5153"/>
    <w:rsid w:val="181F7B0D"/>
    <w:rsid w:val="184D7361"/>
    <w:rsid w:val="18611ADF"/>
    <w:rsid w:val="18660D83"/>
    <w:rsid w:val="18794D4F"/>
    <w:rsid w:val="188B3FAB"/>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58610F"/>
    <w:rsid w:val="1A613F40"/>
    <w:rsid w:val="1A6450AE"/>
    <w:rsid w:val="1A6F3D1D"/>
    <w:rsid w:val="1A725150"/>
    <w:rsid w:val="1A742AE7"/>
    <w:rsid w:val="1A851E5E"/>
    <w:rsid w:val="1A8C2F08"/>
    <w:rsid w:val="1A976D8E"/>
    <w:rsid w:val="1A9A00BD"/>
    <w:rsid w:val="1A9F3526"/>
    <w:rsid w:val="1AB60854"/>
    <w:rsid w:val="1AB62259"/>
    <w:rsid w:val="1AC82683"/>
    <w:rsid w:val="1ADB5923"/>
    <w:rsid w:val="1ADF24BC"/>
    <w:rsid w:val="1AFB2F34"/>
    <w:rsid w:val="1B111758"/>
    <w:rsid w:val="1B142E41"/>
    <w:rsid w:val="1B16359A"/>
    <w:rsid w:val="1B1C4A6C"/>
    <w:rsid w:val="1B1E770C"/>
    <w:rsid w:val="1B1F0131"/>
    <w:rsid w:val="1B2372F3"/>
    <w:rsid w:val="1B2709C3"/>
    <w:rsid w:val="1B2C2EBB"/>
    <w:rsid w:val="1B300A8F"/>
    <w:rsid w:val="1B3028D7"/>
    <w:rsid w:val="1B344A57"/>
    <w:rsid w:val="1B364075"/>
    <w:rsid w:val="1B387860"/>
    <w:rsid w:val="1B396534"/>
    <w:rsid w:val="1B5A266B"/>
    <w:rsid w:val="1B6F3157"/>
    <w:rsid w:val="1B745152"/>
    <w:rsid w:val="1B763A15"/>
    <w:rsid w:val="1B8B1071"/>
    <w:rsid w:val="1B941FF2"/>
    <w:rsid w:val="1BB91E00"/>
    <w:rsid w:val="1BBC3580"/>
    <w:rsid w:val="1BBE0387"/>
    <w:rsid w:val="1BC0329E"/>
    <w:rsid w:val="1BC863D0"/>
    <w:rsid w:val="1BEF1A51"/>
    <w:rsid w:val="1C01157A"/>
    <w:rsid w:val="1C1265E0"/>
    <w:rsid w:val="1C337FF5"/>
    <w:rsid w:val="1C3B4532"/>
    <w:rsid w:val="1C3F63C6"/>
    <w:rsid w:val="1C495A9B"/>
    <w:rsid w:val="1C4A4F18"/>
    <w:rsid w:val="1C4C62F2"/>
    <w:rsid w:val="1C4E5A1B"/>
    <w:rsid w:val="1C565AA2"/>
    <w:rsid w:val="1C6063BC"/>
    <w:rsid w:val="1C677760"/>
    <w:rsid w:val="1C7E40D0"/>
    <w:rsid w:val="1C8342C9"/>
    <w:rsid w:val="1C835541"/>
    <w:rsid w:val="1C9D2E24"/>
    <w:rsid w:val="1CA63F16"/>
    <w:rsid w:val="1CAA1D08"/>
    <w:rsid w:val="1CB63D17"/>
    <w:rsid w:val="1CBE15B8"/>
    <w:rsid w:val="1CC70AAE"/>
    <w:rsid w:val="1CE0619C"/>
    <w:rsid w:val="1CF93C71"/>
    <w:rsid w:val="1CF97B60"/>
    <w:rsid w:val="1D030883"/>
    <w:rsid w:val="1D1D75F2"/>
    <w:rsid w:val="1D2B549A"/>
    <w:rsid w:val="1D5039A9"/>
    <w:rsid w:val="1D670B14"/>
    <w:rsid w:val="1D924EB5"/>
    <w:rsid w:val="1D9F65B1"/>
    <w:rsid w:val="1DA002EB"/>
    <w:rsid w:val="1DB03AF5"/>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4B2B44"/>
    <w:rsid w:val="1E506677"/>
    <w:rsid w:val="1E5A2DA3"/>
    <w:rsid w:val="1E60103D"/>
    <w:rsid w:val="1E611165"/>
    <w:rsid w:val="1E64428E"/>
    <w:rsid w:val="1E6B2EDB"/>
    <w:rsid w:val="1E6C6427"/>
    <w:rsid w:val="1E7646AA"/>
    <w:rsid w:val="1E813BDB"/>
    <w:rsid w:val="1E897274"/>
    <w:rsid w:val="1E965D04"/>
    <w:rsid w:val="1EA26379"/>
    <w:rsid w:val="1EC13239"/>
    <w:rsid w:val="1ED352F2"/>
    <w:rsid w:val="1ED920BE"/>
    <w:rsid w:val="1EF7470E"/>
    <w:rsid w:val="1F05265B"/>
    <w:rsid w:val="1F073AFB"/>
    <w:rsid w:val="1F0E2E4B"/>
    <w:rsid w:val="1F1068A9"/>
    <w:rsid w:val="1F11207D"/>
    <w:rsid w:val="1F204C25"/>
    <w:rsid w:val="1F2579D0"/>
    <w:rsid w:val="1F2918BE"/>
    <w:rsid w:val="1F3309E4"/>
    <w:rsid w:val="1F3453AB"/>
    <w:rsid w:val="1F3C6344"/>
    <w:rsid w:val="1F5435CA"/>
    <w:rsid w:val="1F546D45"/>
    <w:rsid w:val="1F6A639E"/>
    <w:rsid w:val="1F8132C8"/>
    <w:rsid w:val="1FA02744"/>
    <w:rsid w:val="1FA40FE8"/>
    <w:rsid w:val="1FAC011C"/>
    <w:rsid w:val="1FC24714"/>
    <w:rsid w:val="1FC3402A"/>
    <w:rsid w:val="1FCC3990"/>
    <w:rsid w:val="1FD33427"/>
    <w:rsid w:val="1FE025A0"/>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C614F6"/>
    <w:rsid w:val="21D57E5D"/>
    <w:rsid w:val="220B38D3"/>
    <w:rsid w:val="220F27AB"/>
    <w:rsid w:val="222D4591"/>
    <w:rsid w:val="223029AE"/>
    <w:rsid w:val="223C6F5B"/>
    <w:rsid w:val="224B1241"/>
    <w:rsid w:val="22565E31"/>
    <w:rsid w:val="226C24D9"/>
    <w:rsid w:val="227540C8"/>
    <w:rsid w:val="229456A0"/>
    <w:rsid w:val="229C12D9"/>
    <w:rsid w:val="22C24B3A"/>
    <w:rsid w:val="22C438D9"/>
    <w:rsid w:val="22C90127"/>
    <w:rsid w:val="22D008F7"/>
    <w:rsid w:val="22D42D6B"/>
    <w:rsid w:val="22DF5D82"/>
    <w:rsid w:val="22E9418C"/>
    <w:rsid w:val="22FB7593"/>
    <w:rsid w:val="22FD581D"/>
    <w:rsid w:val="231A6446"/>
    <w:rsid w:val="23200D04"/>
    <w:rsid w:val="23252F62"/>
    <w:rsid w:val="2329015A"/>
    <w:rsid w:val="233D41F6"/>
    <w:rsid w:val="233E1D9D"/>
    <w:rsid w:val="234433F9"/>
    <w:rsid w:val="23540E64"/>
    <w:rsid w:val="235A23F9"/>
    <w:rsid w:val="23670ABB"/>
    <w:rsid w:val="23690BF3"/>
    <w:rsid w:val="237057D0"/>
    <w:rsid w:val="238A746E"/>
    <w:rsid w:val="23A70DB3"/>
    <w:rsid w:val="23BF0B99"/>
    <w:rsid w:val="23D003FB"/>
    <w:rsid w:val="23D42CAA"/>
    <w:rsid w:val="23E06FF0"/>
    <w:rsid w:val="23F26B67"/>
    <w:rsid w:val="241A5AEC"/>
    <w:rsid w:val="24321DFA"/>
    <w:rsid w:val="24530C8F"/>
    <w:rsid w:val="24636547"/>
    <w:rsid w:val="24717D47"/>
    <w:rsid w:val="249C788A"/>
    <w:rsid w:val="24B82B32"/>
    <w:rsid w:val="24BB6D5B"/>
    <w:rsid w:val="24CA7C09"/>
    <w:rsid w:val="24DC6375"/>
    <w:rsid w:val="24DF0B67"/>
    <w:rsid w:val="24E56496"/>
    <w:rsid w:val="24F755BB"/>
    <w:rsid w:val="24FA5375"/>
    <w:rsid w:val="25167458"/>
    <w:rsid w:val="251E581D"/>
    <w:rsid w:val="252A368C"/>
    <w:rsid w:val="253317B8"/>
    <w:rsid w:val="25333089"/>
    <w:rsid w:val="2537641D"/>
    <w:rsid w:val="253C3EF7"/>
    <w:rsid w:val="253F23A5"/>
    <w:rsid w:val="2558795E"/>
    <w:rsid w:val="255E089E"/>
    <w:rsid w:val="257720FE"/>
    <w:rsid w:val="257F5882"/>
    <w:rsid w:val="259869CF"/>
    <w:rsid w:val="25987884"/>
    <w:rsid w:val="259E1AE4"/>
    <w:rsid w:val="25BF330D"/>
    <w:rsid w:val="25C27A7C"/>
    <w:rsid w:val="25C64874"/>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573720"/>
    <w:rsid w:val="275B0EDA"/>
    <w:rsid w:val="27600BBF"/>
    <w:rsid w:val="27613BAA"/>
    <w:rsid w:val="276A2C20"/>
    <w:rsid w:val="276E6872"/>
    <w:rsid w:val="278E3101"/>
    <w:rsid w:val="27941CFF"/>
    <w:rsid w:val="279929FC"/>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61AE0"/>
    <w:rsid w:val="2A48150B"/>
    <w:rsid w:val="2A4C0A1A"/>
    <w:rsid w:val="2A4C6A3D"/>
    <w:rsid w:val="2A633D38"/>
    <w:rsid w:val="2A655AFF"/>
    <w:rsid w:val="2A715DEA"/>
    <w:rsid w:val="2A97631D"/>
    <w:rsid w:val="2AA4290E"/>
    <w:rsid w:val="2AB4054B"/>
    <w:rsid w:val="2AB56BF8"/>
    <w:rsid w:val="2AB843C9"/>
    <w:rsid w:val="2AD307BD"/>
    <w:rsid w:val="2AD373B2"/>
    <w:rsid w:val="2AEA4C38"/>
    <w:rsid w:val="2AFE46B0"/>
    <w:rsid w:val="2B0739B9"/>
    <w:rsid w:val="2B073FBC"/>
    <w:rsid w:val="2B0C18DB"/>
    <w:rsid w:val="2B22095A"/>
    <w:rsid w:val="2B392180"/>
    <w:rsid w:val="2B3C1D66"/>
    <w:rsid w:val="2B3E28EB"/>
    <w:rsid w:val="2B430D79"/>
    <w:rsid w:val="2B6E1F63"/>
    <w:rsid w:val="2B9215B2"/>
    <w:rsid w:val="2BA42C24"/>
    <w:rsid w:val="2BB1437E"/>
    <w:rsid w:val="2BB623FD"/>
    <w:rsid w:val="2BC566C7"/>
    <w:rsid w:val="2BC81736"/>
    <w:rsid w:val="2BE267D6"/>
    <w:rsid w:val="2BE3479D"/>
    <w:rsid w:val="2BF06232"/>
    <w:rsid w:val="2BFB3F34"/>
    <w:rsid w:val="2C0E0D00"/>
    <w:rsid w:val="2C19133D"/>
    <w:rsid w:val="2C1A1B3D"/>
    <w:rsid w:val="2C221397"/>
    <w:rsid w:val="2C523728"/>
    <w:rsid w:val="2C703ADA"/>
    <w:rsid w:val="2C81653D"/>
    <w:rsid w:val="2CB9247E"/>
    <w:rsid w:val="2CDB73CF"/>
    <w:rsid w:val="2CF42A2C"/>
    <w:rsid w:val="2D1547AA"/>
    <w:rsid w:val="2D1C0C8B"/>
    <w:rsid w:val="2D334831"/>
    <w:rsid w:val="2D404F0C"/>
    <w:rsid w:val="2D500625"/>
    <w:rsid w:val="2D511CF8"/>
    <w:rsid w:val="2D524590"/>
    <w:rsid w:val="2D707B2E"/>
    <w:rsid w:val="2D8E5DB3"/>
    <w:rsid w:val="2D9C231F"/>
    <w:rsid w:val="2D9F3C27"/>
    <w:rsid w:val="2DAB019F"/>
    <w:rsid w:val="2DB15F1B"/>
    <w:rsid w:val="2DE44B7D"/>
    <w:rsid w:val="2DE83586"/>
    <w:rsid w:val="2DE85A59"/>
    <w:rsid w:val="2DF83A39"/>
    <w:rsid w:val="2E00515D"/>
    <w:rsid w:val="2E115EC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C97183"/>
    <w:rsid w:val="2ED62883"/>
    <w:rsid w:val="2EDD72E4"/>
    <w:rsid w:val="2EE04406"/>
    <w:rsid w:val="2EE461BC"/>
    <w:rsid w:val="2EE642AD"/>
    <w:rsid w:val="2EFE5D0B"/>
    <w:rsid w:val="2F05447E"/>
    <w:rsid w:val="2F0D4BAD"/>
    <w:rsid w:val="2F3F6D21"/>
    <w:rsid w:val="2F427B64"/>
    <w:rsid w:val="2F4438E1"/>
    <w:rsid w:val="2F6231C8"/>
    <w:rsid w:val="2F6C766B"/>
    <w:rsid w:val="2F7A7771"/>
    <w:rsid w:val="2F842328"/>
    <w:rsid w:val="2F8E7570"/>
    <w:rsid w:val="2FA70B41"/>
    <w:rsid w:val="2FAE780E"/>
    <w:rsid w:val="2FE3603D"/>
    <w:rsid w:val="2FEA61C6"/>
    <w:rsid w:val="2FF46A33"/>
    <w:rsid w:val="30164ACC"/>
    <w:rsid w:val="301746AE"/>
    <w:rsid w:val="301A510E"/>
    <w:rsid w:val="30204B81"/>
    <w:rsid w:val="30446691"/>
    <w:rsid w:val="304A340C"/>
    <w:rsid w:val="30536DA5"/>
    <w:rsid w:val="30555F0B"/>
    <w:rsid w:val="305B18F9"/>
    <w:rsid w:val="306675DB"/>
    <w:rsid w:val="306F4A5C"/>
    <w:rsid w:val="30704F1E"/>
    <w:rsid w:val="30B74EB9"/>
    <w:rsid w:val="30BE49D8"/>
    <w:rsid w:val="30C419B0"/>
    <w:rsid w:val="30D21B3B"/>
    <w:rsid w:val="31130579"/>
    <w:rsid w:val="31150AF7"/>
    <w:rsid w:val="312977F5"/>
    <w:rsid w:val="3140510D"/>
    <w:rsid w:val="31490B16"/>
    <w:rsid w:val="31500AF0"/>
    <w:rsid w:val="3156060F"/>
    <w:rsid w:val="31606BA9"/>
    <w:rsid w:val="317A746C"/>
    <w:rsid w:val="317B5137"/>
    <w:rsid w:val="31A028FB"/>
    <w:rsid w:val="31B173FD"/>
    <w:rsid w:val="31B535AF"/>
    <w:rsid w:val="31E07E1A"/>
    <w:rsid w:val="31EA44FA"/>
    <w:rsid w:val="31F304A6"/>
    <w:rsid w:val="31F8681B"/>
    <w:rsid w:val="32091243"/>
    <w:rsid w:val="32236298"/>
    <w:rsid w:val="32270449"/>
    <w:rsid w:val="32294765"/>
    <w:rsid w:val="323B6914"/>
    <w:rsid w:val="32596727"/>
    <w:rsid w:val="327E7CD9"/>
    <w:rsid w:val="32931F82"/>
    <w:rsid w:val="32A92512"/>
    <w:rsid w:val="32AA7A12"/>
    <w:rsid w:val="32B56E69"/>
    <w:rsid w:val="32E24572"/>
    <w:rsid w:val="32E921A0"/>
    <w:rsid w:val="32F445A5"/>
    <w:rsid w:val="32FC5FC6"/>
    <w:rsid w:val="33053A94"/>
    <w:rsid w:val="330F4401"/>
    <w:rsid w:val="331E1E02"/>
    <w:rsid w:val="33260700"/>
    <w:rsid w:val="33353215"/>
    <w:rsid w:val="33435036"/>
    <w:rsid w:val="33472431"/>
    <w:rsid w:val="335D7B29"/>
    <w:rsid w:val="33653513"/>
    <w:rsid w:val="33680960"/>
    <w:rsid w:val="336B0B61"/>
    <w:rsid w:val="338C3ABE"/>
    <w:rsid w:val="33A2438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153E0"/>
    <w:rsid w:val="351529DC"/>
    <w:rsid w:val="351911D3"/>
    <w:rsid w:val="351C58FB"/>
    <w:rsid w:val="35240A2A"/>
    <w:rsid w:val="352C5D76"/>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52616D"/>
    <w:rsid w:val="366046B9"/>
    <w:rsid w:val="366135C0"/>
    <w:rsid w:val="36671AA6"/>
    <w:rsid w:val="366A5627"/>
    <w:rsid w:val="36710AA2"/>
    <w:rsid w:val="36AC26B2"/>
    <w:rsid w:val="36C81B5B"/>
    <w:rsid w:val="36CA4796"/>
    <w:rsid w:val="36D305E5"/>
    <w:rsid w:val="36EA7FF2"/>
    <w:rsid w:val="36F11D9A"/>
    <w:rsid w:val="37017235"/>
    <w:rsid w:val="373D169F"/>
    <w:rsid w:val="37467910"/>
    <w:rsid w:val="3747333B"/>
    <w:rsid w:val="374E143A"/>
    <w:rsid w:val="375145A6"/>
    <w:rsid w:val="37522485"/>
    <w:rsid w:val="375A185B"/>
    <w:rsid w:val="37613C52"/>
    <w:rsid w:val="376D6E4F"/>
    <w:rsid w:val="376F2885"/>
    <w:rsid w:val="377835C6"/>
    <w:rsid w:val="378A3526"/>
    <w:rsid w:val="37DD1744"/>
    <w:rsid w:val="37DD7F51"/>
    <w:rsid w:val="37F25243"/>
    <w:rsid w:val="380255AF"/>
    <w:rsid w:val="382C7212"/>
    <w:rsid w:val="38333626"/>
    <w:rsid w:val="383F0981"/>
    <w:rsid w:val="384E441A"/>
    <w:rsid w:val="38506C2F"/>
    <w:rsid w:val="387D32A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E137D6"/>
    <w:rsid w:val="3AF06CC1"/>
    <w:rsid w:val="3B09581A"/>
    <w:rsid w:val="3B183E18"/>
    <w:rsid w:val="3B2035BA"/>
    <w:rsid w:val="3B215631"/>
    <w:rsid w:val="3B2D6711"/>
    <w:rsid w:val="3B37372B"/>
    <w:rsid w:val="3B3B6D13"/>
    <w:rsid w:val="3B51309B"/>
    <w:rsid w:val="3B5C0992"/>
    <w:rsid w:val="3B7B5673"/>
    <w:rsid w:val="3B842F2C"/>
    <w:rsid w:val="3B883403"/>
    <w:rsid w:val="3B954F85"/>
    <w:rsid w:val="3B9C0E95"/>
    <w:rsid w:val="3BA96A60"/>
    <w:rsid w:val="3BB47304"/>
    <w:rsid w:val="3BBD0AD4"/>
    <w:rsid w:val="3BFD5C4B"/>
    <w:rsid w:val="3BFE5D03"/>
    <w:rsid w:val="3C0248C3"/>
    <w:rsid w:val="3C072215"/>
    <w:rsid w:val="3C090BBF"/>
    <w:rsid w:val="3C167592"/>
    <w:rsid w:val="3C170EB9"/>
    <w:rsid w:val="3C245FD2"/>
    <w:rsid w:val="3C250799"/>
    <w:rsid w:val="3C276162"/>
    <w:rsid w:val="3C2A1D4A"/>
    <w:rsid w:val="3C2B1BD6"/>
    <w:rsid w:val="3C2C17DF"/>
    <w:rsid w:val="3C396A58"/>
    <w:rsid w:val="3C432995"/>
    <w:rsid w:val="3C663D83"/>
    <w:rsid w:val="3C681D8A"/>
    <w:rsid w:val="3C714A0F"/>
    <w:rsid w:val="3C762FBC"/>
    <w:rsid w:val="3C80126B"/>
    <w:rsid w:val="3C9108DC"/>
    <w:rsid w:val="3CA427D7"/>
    <w:rsid w:val="3CA431D4"/>
    <w:rsid w:val="3CA86B29"/>
    <w:rsid w:val="3CAC710F"/>
    <w:rsid w:val="3CBD03A6"/>
    <w:rsid w:val="3CDC27C9"/>
    <w:rsid w:val="3CE068D8"/>
    <w:rsid w:val="3CF21AEE"/>
    <w:rsid w:val="3CF86810"/>
    <w:rsid w:val="3D09356D"/>
    <w:rsid w:val="3D0A22D5"/>
    <w:rsid w:val="3D0B5F2D"/>
    <w:rsid w:val="3D114B5C"/>
    <w:rsid w:val="3D133607"/>
    <w:rsid w:val="3D193B16"/>
    <w:rsid w:val="3D3F2810"/>
    <w:rsid w:val="3D484D37"/>
    <w:rsid w:val="3D495DF7"/>
    <w:rsid w:val="3D4F4851"/>
    <w:rsid w:val="3D591797"/>
    <w:rsid w:val="3D7C6D4A"/>
    <w:rsid w:val="3D851633"/>
    <w:rsid w:val="3D8726E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7905AB"/>
    <w:rsid w:val="3E981358"/>
    <w:rsid w:val="3E9926CE"/>
    <w:rsid w:val="3EAC39B4"/>
    <w:rsid w:val="3EC11BF7"/>
    <w:rsid w:val="3EC13CE7"/>
    <w:rsid w:val="3EF169DA"/>
    <w:rsid w:val="3EF93089"/>
    <w:rsid w:val="3F0E4239"/>
    <w:rsid w:val="3F127531"/>
    <w:rsid w:val="3F2B4E96"/>
    <w:rsid w:val="3F3A7BF4"/>
    <w:rsid w:val="3F4C6C3F"/>
    <w:rsid w:val="3F4D5267"/>
    <w:rsid w:val="3F507482"/>
    <w:rsid w:val="3F5661ED"/>
    <w:rsid w:val="3F5C181E"/>
    <w:rsid w:val="3F6263C0"/>
    <w:rsid w:val="3F700303"/>
    <w:rsid w:val="3F755AF4"/>
    <w:rsid w:val="3F775B0D"/>
    <w:rsid w:val="3F7A035D"/>
    <w:rsid w:val="3F7A4AAC"/>
    <w:rsid w:val="3F7F2AED"/>
    <w:rsid w:val="3F8568C6"/>
    <w:rsid w:val="3F895D56"/>
    <w:rsid w:val="3F9A13D2"/>
    <w:rsid w:val="3FA56E51"/>
    <w:rsid w:val="3FAA1713"/>
    <w:rsid w:val="3FAF7F99"/>
    <w:rsid w:val="3FBE325D"/>
    <w:rsid w:val="3FC24EFB"/>
    <w:rsid w:val="3FC42D5D"/>
    <w:rsid w:val="3FC45529"/>
    <w:rsid w:val="3FC470DF"/>
    <w:rsid w:val="3FDD44BD"/>
    <w:rsid w:val="3FEE70B9"/>
    <w:rsid w:val="4016105A"/>
    <w:rsid w:val="401A339B"/>
    <w:rsid w:val="4024421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270465"/>
    <w:rsid w:val="41390C96"/>
    <w:rsid w:val="413B683F"/>
    <w:rsid w:val="41466C95"/>
    <w:rsid w:val="414B6987"/>
    <w:rsid w:val="4158647C"/>
    <w:rsid w:val="415F77BE"/>
    <w:rsid w:val="416140A9"/>
    <w:rsid w:val="416B0B98"/>
    <w:rsid w:val="4175321B"/>
    <w:rsid w:val="417D4E19"/>
    <w:rsid w:val="418F78FA"/>
    <w:rsid w:val="4195768D"/>
    <w:rsid w:val="41A605D0"/>
    <w:rsid w:val="41CA3305"/>
    <w:rsid w:val="41CC6A6E"/>
    <w:rsid w:val="41D46746"/>
    <w:rsid w:val="41E50241"/>
    <w:rsid w:val="41ED6B4B"/>
    <w:rsid w:val="41F26C34"/>
    <w:rsid w:val="42013769"/>
    <w:rsid w:val="42065175"/>
    <w:rsid w:val="42203DE5"/>
    <w:rsid w:val="423339AE"/>
    <w:rsid w:val="42400071"/>
    <w:rsid w:val="42400975"/>
    <w:rsid w:val="425A3F23"/>
    <w:rsid w:val="42623E1B"/>
    <w:rsid w:val="42702AE2"/>
    <w:rsid w:val="427A3AB6"/>
    <w:rsid w:val="427B2568"/>
    <w:rsid w:val="427B6090"/>
    <w:rsid w:val="428A5209"/>
    <w:rsid w:val="42994BEF"/>
    <w:rsid w:val="42A15C50"/>
    <w:rsid w:val="42A32E9D"/>
    <w:rsid w:val="42A37451"/>
    <w:rsid w:val="42AA632B"/>
    <w:rsid w:val="42AE7F37"/>
    <w:rsid w:val="42B9327D"/>
    <w:rsid w:val="42CC28E0"/>
    <w:rsid w:val="42EA799C"/>
    <w:rsid w:val="42F329F4"/>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2252"/>
    <w:rsid w:val="44C07EB7"/>
    <w:rsid w:val="44C21269"/>
    <w:rsid w:val="44C41CD0"/>
    <w:rsid w:val="44EB55BF"/>
    <w:rsid w:val="44ED2774"/>
    <w:rsid w:val="44F34F27"/>
    <w:rsid w:val="44FE4D7E"/>
    <w:rsid w:val="4516216D"/>
    <w:rsid w:val="451A4449"/>
    <w:rsid w:val="451F0B3D"/>
    <w:rsid w:val="452A57C8"/>
    <w:rsid w:val="452D2698"/>
    <w:rsid w:val="454E3658"/>
    <w:rsid w:val="45836B41"/>
    <w:rsid w:val="45AC0F1D"/>
    <w:rsid w:val="45BA3A93"/>
    <w:rsid w:val="45CD65C9"/>
    <w:rsid w:val="45D06AB0"/>
    <w:rsid w:val="45D32B9D"/>
    <w:rsid w:val="45D51F09"/>
    <w:rsid w:val="45DF6052"/>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12778E"/>
    <w:rsid w:val="47240834"/>
    <w:rsid w:val="47322080"/>
    <w:rsid w:val="47546CCD"/>
    <w:rsid w:val="475567CD"/>
    <w:rsid w:val="475B3DA3"/>
    <w:rsid w:val="477912EF"/>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7B2E45"/>
    <w:rsid w:val="48936FC5"/>
    <w:rsid w:val="489414DE"/>
    <w:rsid w:val="48A61185"/>
    <w:rsid w:val="48C34DDE"/>
    <w:rsid w:val="48D17B15"/>
    <w:rsid w:val="48F814A8"/>
    <w:rsid w:val="48F9195F"/>
    <w:rsid w:val="491171A1"/>
    <w:rsid w:val="491E08A2"/>
    <w:rsid w:val="4927647B"/>
    <w:rsid w:val="49283B8D"/>
    <w:rsid w:val="492C5797"/>
    <w:rsid w:val="49300160"/>
    <w:rsid w:val="495013A9"/>
    <w:rsid w:val="495D6F47"/>
    <w:rsid w:val="495F48E7"/>
    <w:rsid w:val="49804F41"/>
    <w:rsid w:val="49882C25"/>
    <w:rsid w:val="499C2D6D"/>
    <w:rsid w:val="49A904E5"/>
    <w:rsid w:val="49B6004B"/>
    <w:rsid w:val="49BF7880"/>
    <w:rsid w:val="49C82B49"/>
    <w:rsid w:val="49D56C49"/>
    <w:rsid w:val="49D855C7"/>
    <w:rsid w:val="49EC4258"/>
    <w:rsid w:val="49F80512"/>
    <w:rsid w:val="4A21436D"/>
    <w:rsid w:val="4A253208"/>
    <w:rsid w:val="4A263F01"/>
    <w:rsid w:val="4A30391F"/>
    <w:rsid w:val="4A4658CB"/>
    <w:rsid w:val="4A466F69"/>
    <w:rsid w:val="4A4C1CC9"/>
    <w:rsid w:val="4A6C3E5C"/>
    <w:rsid w:val="4A7F1D52"/>
    <w:rsid w:val="4A854E3F"/>
    <w:rsid w:val="4AAB146E"/>
    <w:rsid w:val="4AB1692B"/>
    <w:rsid w:val="4AED724C"/>
    <w:rsid w:val="4AF850BA"/>
    <w:rsid w:val="4AFB4F34"/>
    <w:rsid w:val="4AFF0D6E"/>
    <w:rsid w:val="4B087038"/>
    <w:rsid w:val="4B130467"/>
    <w:rsid w:val="4B1338CC"/>
    <w:rsid w:val="4B172B12"/>
    <w:rsid w:val="4B262EBA"/>
    <w:rsid w:val="4B3F1EC7"/>
    <w:rsid w:val="4B531F8D"/>
    <w:rsid w:val="4B662E8B"/>
    <w:rsid w:val="4B82772E"/>
    <w:rsid w:val="4B887D0E"/>
    <w:rsid w:val="4B8D450C"/>
    <w:rsid w:val="4B913D43"/>
    <w:rsid w:val="4B943B21"/>
    <w:rsid w:val="4B99555D"/>
    <w:rsid w:val="4BAB096B"/>
    <w:rsid w:val="4BAF7E06"/>
    <w:rsid w:val="4BBB3716"/>
    <w:rsid w:val="4BCD39B7"/>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95F8F"/>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6C05BE"/>
    <w:rsid w:val="4D710352"/>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756E0"/>
    <w:rsid w:val="4E8D2056"/>
    <w:rsid w:val="4EBB286E"/>
    <w:rsid w:val="4ED21F42"/>
    <w:rsid w:val="4EE07940"/>
    <w:rsid w:val="4EEA2AD2"/>
    <w:rsid w:val="4EF647A8"/>
    <w:rsid w:val="4EF70D4B"/>
    <w:rsid w:val="4F093E78"/>
    <w:rsid w:val="4F1D2082"/>
    <w:rsid w:val="4F1E444B"/>
    <w:rsid w:val="4F1F7868"/>
    <w:rsid w:val="4F280A7B"/>
    <w:rsid w:val="4F2B223C"/>
    <w:rsid w:val="4F2C416E"/>
    <w:rsid w:val="4F302AFD"/>
    <w:rsid w:val="4F356C08"/>
    <w:rsid w:val="4F3B0396"/>
    <w:rsid w:val="4F4D0E89"/>
    <w:rsid w:val="4F5464CE"/>
    <w:rsid w:val="4F55307E"/>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EF35A6"/>
    <w:rsid w:val="50F35D93"/>
    <w:rsid w:val="50FA44CD"/>
    <w:rsid w:val="510036F5"/>
    <w:rsid w:val="5105303B"/>
    <w:rsid w:val="51114085"/>
    <w:rsid w:val="511216F1"/>
    <w:rsid w:val="512A1CE3"/>
    <w:rsid w:val="514516F1"/>
    <w:rsid w:val="51545650"/>
    <w:rsid w:val="515661FD"/>
    <w:rsid w:val="5167665C"/>
    <w:rsid w:val="516E7D73"/>
    <w:rsid w:val="51746D8E"/>
    <w:rsid w:val="517805B0"/>
    <w:rsid w:val="5180209A"/>
    <w:rsid w:val="51897721"/>
    <w:rsid w:val="519667AD"/>
    <w:rsid w:val="51973EE4"/>
    <w:rsid w:val="51A84D41"/>
    <w:rsid w:val="51AA2482"/>
    <w:rsid w:val="51B1317F"/>
    <w:rsid w:val="51C23429"/>
    <w:rsid w:val="51DB1E92"/>
    <w:rsid w:val="51DB6A31"/>
    <w:rsid w:val="51E14E39"/>
    <w:rsid w:val="51E7696D"/>
    <w:rsid w:val="51EA6472"/>
    <w:rsid w:val="51ED757F"/>
    <w:rsid w:val="520B45FE"/>
    <w:rsid w:val="52101B81"/>
    <w:rsid w:val="52150A7D"/>
    <w:rsid w:val="521A7507"/>
    <w:rsid w:val="52414306"/>
    <w:rsid w:val="52457AEB"/>
    <w:rsid w:val="52564EE5"/>
    <w:rsid w:val="52666F95"/>
    <w:rsid w:val="526763FB"/>
    <w:rsid w:val="52741EC2"/>
    <w:rsid w:val="52985707"/>
    <w:rsid w:val="52F5564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223496"/>
    <w:rsid w:val="54371F77"/>
    <w:rsid w:val="543B112A"/>
    <w:rsid w:val="544A4D29"/>
    <w:rsid w:val="544B7CE0"/>
    <w:rsid w:val="54547B86"/>
    <w:rsid w:val="545E0121"/>
    <w:rsid w:val="545F5554"/>
    <w:rsid w:val="546A3396"/>
    <w:rsid w:val="54760B52"/>
    <w:rsid w:val="5481317B"/>
    <w:rsid w:val="5488216F"/>
    <w:rsid w:val="548F4C36"/>
    <w:rsid w:val="5494027A"/>
    <w:rsid w:val="549C6A5D"/>
    <w:rsid w:val="54A21918"/>
    <w:rsid w:val="54AA76FF"/>
    <w:rsid w:val="54AD5A10"/>
    <w:rsid w:val="54B92F65"/>
    <w:rsid w:val="54BE694D"/>
    <w:rsid w:val="54D20A5B"/>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5F86760"/>
    <w:rsid w:val="560A6D02"/>
    <w:rsid w:val="5611384C"/>
    <w:rsid w:val="561B28DD"/>
    <w:rsid w:val="561D05FE"/>
    <w:rsid w:val="5635520A"/>
    <w:rsid w:val="564846E1"/>
    <w:rsid w:val="565510F8"/>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185E8C"/>
    <w:rsid w:val="572D4DA6"/>
    <w:rsid w:val="57305E26"/>
    <w:rsid w:val="57314C5A"/>
    <w:rsid w:val="57333562"/>
    <w:rsid w:val="574A5794"/>
    <w:rsid w:val="57555B5F"/>
    <w:rsid w:val="575A261C"/>
    <w:rsid w:val="5767545D"/>
    <w:rsid w:val="57926AA1"/>
    <w:rsid w:val="57A6426A"/>
    <w:rsid w:val="57BB5C52"/>
    <w:rsid w:val="57C05FDC"/>
    <w:rsid w:val="57E01724"/>
    <w:rsid w:val="57F307C1"/>
    <w:rsid w:val="57FA2BAA"/>
    <w:rsid w:val="57FA43F1"/>
    <w:rsid w:val="580162E5"/>
    <w:rsid w:val="58041F34"/>
    <w:rsid w:val="580C5867"/>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0336"/>
    <w:rsid w:val="59017975"/>
    <w:rsid w:val="59540A82"/>
    <w:rsid w:val="59594578"/>
    <w:rsid w:val="59631729"/>
    <w:rsid w:val="598A7A09"/>
    <w:rsid w:val="59B33075"/>
    <w:rsid w:val="59B63D96"/>
    <w:rsid w:val="59C13ED2"/>
    <w:rsid w:val="59E6253A"/>
    <w:rsid w:val="59E7033F"/>
    <w:rsid w:val="5A0354F7"/>
    <w:rsid w:val="5A1E5359"/>
    <w:rsid w:val="5A1F7AD4"/>
    <w:rsid w:val="5A291824"/>
    <w:rsid w:val="5A344ECC"/>
    <w:rsid w:val="5A390B46"/>
    <w:rsid w:val="5A492723"/>
    <w:rsid w:val="5A5D74BC"/>
    <w:rsid w:val="5A7C5C8F"/>
    <w:rsid w:val="5A90403D"/>
    <w:rsid w:val="5A9D71ED"/>
    <w:rsid w:val="5AA2571A"/>
    <w:rsid w:val="5AB04EDE"/>
    <w:rsid w:val="5AC63B8E"/>
    <w:rsid w:val="5AC64C86"/>
    <w:rsid w:val="5ACF4A76"/>
    <w:rsid w:val="5AD51064"/>
    <w:rsid w:val="5AD74C21"/>
    <w:rsid w:val="5ADE295C"/>
    <w:rsid w:val="5AF8170C"/>
    <w:rsid w:val="5AF863F7"/>
    <w:rsid w:val="5B05555C"/>
    <w:rsid w:val="5B1649CC"/>
    <w:rsid w:val="5B244DD8"/>
    <w:rsid w:val="5B2717CA"/>
    <w:rsid w:val="5B295890"/>
    <w:rsid w:val="5B2E4556"/>
    <w:rsid w:val="5B33002E"/>
    <w:rsid w:val="5B3879B9"/>
    <w:rsid w:val="5B436EF0"/>
    <w:rsid w:val="5B4D2B80"/>
    <w:rsid w:val="5B550806"/>
    <w:rsid w:val="5B7748C6"/>
    <w:rsid w:val="5B893F6C"/>
    <w:rsid w:val="5B9F1B41"/>
    <w:rsid w:val="5BA37F28"/>
    <w:rsid w:val="5BAE24A8"/>
    <w:rsid w:val="5BB117B1"/>
    <w:rsid w:val="5BC21E99"/>
    <w:rsid w:val="5BC51BF0"/>
    <w:rsid w:val="5BCF26D8"/>
    <w:rsid w:val="5BED3C02"/>
    <w:rsid w:val="5BFB1E7B"/>
    <w:rsid w:val="5C0B7CEE"/>
    <w:rsid w:val="5C2E2250"/>
    <w:rsid w:val="5C3D617B"/>
    <w:rsid w:val="5C44015E"/>
    <w:rsid w:val="5C466C57"/>
    <w:rsid w:val="5C4D41F0"/>
    <w:rsid w:val="5C4F6EE4"/>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55380D"/>
    <w:rsid w:val="5D65410C"/>
    <w:rsid w:val="5D6C5E39"/>
    <w:rsid w:val="5D71281A"/>
    <w:rsid w:val="5D7D662C"/>
    <w:rsid w:val="5D954FBB"/>
    <w:rsid w:val="5DC45ACF"/>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D74BD0"/>
    <w:rsid w:val="5EE27322"/>
    <w:rsid w:val="5EF04B7B"/>
    <w:rsid w:val="5EFF3DE0"/>
    <w:rsid w:val="5F007B24"/>
    <w:rsid w:val="5F106EAF"/>
    <w:rsid w:val="5F121555"/>
    <w:rsid w:val="5F283CA5"/>
    <w:rsid w:val="5F305F32"/>
    <w:rsid w:val="5F425A26"/>
    <w:rsid w:val="5F4E3CB5"/>
    <w:rsid w:val="5F5C6E3B"/>
    <w:rsid w:val="5F7D1E64"/>
    <w:rsid w:val="5F9374D0"/>
    <w:rsid w:val="5FD70C25"/>
    <w:rsid w:val="5FDA48B5"/>
    <w:rsid w:val="5FE25384"/>
    <w:rsid w:val="5FE539C8"/>
    <w:rsid w:val="5FE875BC"/>
    <w:rsid w:val="600734EB"/>
    <w:rsid w:val="602A4036"/>
    <w:rsid w:val="6041056B"/>
    <w:rsid w:val="60671E65"/>
    <w:rsid w:val="606F2E37"/>
    <w:rsid w:val="607562A7"/>
    <w:rsid w:val="60785778"/>
    <w:rsid w:val="607D7B07"/>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2D3421"/>
    <w:rsid w:val="626B7791"/>
    <w:rsid w:val="62721747"/>
    <w:rsid w:val="62876083"/>
    <w:rsid w:val="628762A4"/>
    <w:rsid w:val="628C2933"/>
    <w:rsid w:val="628C4312"/>
    <w:rsid w:val="629B43B7"/>
    <w:rsid w:val="62AB1D8D"/>
    <w:rsid w:val="62C42917"/>
    <w:rsid w:val="62D9309F"/>
    <w:rsid w:val="62DE5A92"/>
    <w:rsid w:val="62DE7E74"/>
    <w:rsid w:val="62E73481"/>
    <w:rsid w:val="62ED42C9"/>
    <w:rsid w:val="62F0419C"/>
    <w:rsid w:val="62FA55D0"/>
    <w:rsid w:val="631A7E52"/>
    <w:rsid w:val="63234C0F"/>
    <w:rsid w:val="634B4DB7"/>
    <w:rsid w:val="634C01CF"/>
    <w:rsid w:val="635665B8"/>
    <w:rsid w:val="63663FB3"/>
    <w:rsid w:val="637A72AA"/>
    <w:rsid w:val="638F4099"/>
    <w:rsid w:val="63A46BE2"/>
    <w:rsid w:val="63A83A82"/>
    <w:rsid w:val="63BA4249"/>
    <w:rsid w:val="63CA689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DA0779"/>
    <w:rsid w:val="65E9533F"/>
    <w:rsid w:val="65EC7702"/>
    <w:rsid w:val="65F76683"/>
    <w:rsid w:val="65F93869"/>
    <w:rsid w:val="66060E74"/>
    <w:rsid w:val="660B2971"/>
    <w:rsid w:val="660B5D8E"/>
    <w:rsid w:val="66224F9D"/>
    <w:rsid w:val="66306DCD"/>
    <w:rsid w:val="6632531C"/>
    <w:rsid w:val="66625D91"/>
    <w:rsid w:val="66642F38"/>
    <w:rsid w:val="667237CD"/>
    <w:rsid w:val="6686143F"/>
    <w:rsid w:val="66953E2E"/>
    <w:rsid w:val="669F7CBA"/>
    <w:rsid w:val="66AE39AD"/>
    <w:rsid w:val="66B00768"/>
    <w:rsid w:val="66CB4B3F"/>
    <w:rsid w:val="66E4039A"/>
    <w:rsid w:val="66F16065"/>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7FB6181"/>
    <w:rsid w:val="68080A2F"/>
    <w:rsid w:val="681E7CFD"/>
    <w:rsid w:val="68221B5F"/>
    <w:rsid w:val="682633F9"/>
    <w:rsid w:val="68270406"/>
    <w:rsid w:val="68273145"/>
    <w:rsid w:val="682A5BF7"/>
    <w:rsid w:val="68535738"/>
    <w:rsid w:val="68565367"/>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480D38"/>
    <w:rsid w:val="695479FA"/>
    <w:rsid w:val="696F1E02"/>
    <w:rsid w:val="69705CB0"/>
    <w:rsid w:val="69762AAC"/>
    <w:rsid w:val="697826BD"/>
    <w:rsid w:val="69832041"/>
    <w:rsid w:val="69833542"/>
    <w:rsid w:val="69874F79"/>
    <w:rsid w:val="6992635E"/>
    <w:rsid w:val="69997553"/>
    <w:rsid w:val="69AA23F5"/>
    <w:rsid w:val="69BF7EC3"/>
    <w:rsid w:val="69D330B4"/>
    <w:rsid w:val="69D830EB"/>
    <w:rsid w:val="69DD7064"/>
    <w:rsid w:val="69F432B5"/>
    <w:rsid w:val="69FE6E40"/>
    <w:rsid w:val="6A1B5C00"/>
    <w:rsid w:val="6A2835EC"/>
    <w:rsid w:val="6A291175"/>
    <w:rsid w:val="6A2C34AA"/>
    <w:rsid w:val="6A6459AF"/>
    <w:rsid w:val="6A820F91"/>
    <w:rsid w:val="6A824374"/>
    <w:rsid w:val="6A87407F"/>
    <w:rsid w:val="6A99127D"/>
    <w:rsid w:val="6AB8004E"/>
    <w:rsid w:val="6AB861B4"/>
    <w:rsid w:val="6AC255D7"/>
    <w:rsid w:val="6AC55C08"/>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D41D3A"/>
    <w:rsid w:val="6BE4278E"/>
    <w:rsid w:val="6BEA1F9C"/>
    <w:rsid w:val="6BFC4F57"/>
    <w:rsid w:val="6C1F76C2"/>
    <w:rsid w:val="6C3706F6"/>
    <w:rsid w:val="6C4E1244"/>
    <w:rsid w:val="6C5B6EEC"/>
    <w:rsid w:val="6C5D2D2B"/>
    <w:rsid w:val="6C6E3EA2"/>
    <w:rsid w:val="6C7765FE"/>
    <w:rsid w:val="6C8008DC"/>
    <w:rsid w:val="6C871509"/>
    <w:rsid w:val="6CAA5E4D"/>
    <w:rsid w:val="6CC60DC9"/>
    <w:rsid w:val="6CD44DB3"/>
    <w:rsid w:val="6CDC7845"/>
    <w:rsid w:val="6D000FC4"/>
    <w:rsid w:val="6D031778"/>
    <w:rsid w:val="6D08005D"/>
    <w:rsid w:val="6D0A7C83"/>
    <w:rsid w:val="6D106FB7"/>
    <w:rsid w:val="6D110EA4"/>
    <w:rsid w:val="6D196988"/>
    <w:rsid w:val="6D1C3F9C"/>
    <w:rsid w:val="6D2B7848"/>
    <w:rsid w:val="6D3C653E"/>
    <w:rsid w:val="6D42543E"/>
    <w:rsid w:val="6D492CA5"/>
    <w:rsid w:val="6D4A67A4"/>
    <w:rsid w:val="6D4E2139"/>
    <w:rsid w:val="6D517127"/>
    <w:rsid w:val="6D54626E"/>
    <w:rsid w:val="6D5D5CC1"/>
    <w:rsid w:val="6D6975A3"/>
    <w:rsid w:val="6D6B744D"/>
    <w:rsid w:val="6D6F171F"/>
    <w:rsid w:val="6DA07DE7"/>
    <w:rsid w:val="6DA721E6"/>
    <w:rsid w:val="6DBE5CD2"/>
    <w:rsid w:val="6DCC6269"/>
    <w:rsid w:val="6DE36AC3"/>
    <w:rsid w:val="6DE374BA"/>
    <w:rsid w:val="6DEC46A1"/>
    <w:rsid w:val="6DEC6B1D"/>
    <w:rsid w:val="6E0B0643"/>
    <w:rsid w:val="6E1A3D81"/>
    <w:rsid w:val="6E1F2CEB"/>
    <w:rsid w:val="6E20601C"/>
    <w:rsid w:val="6E2A5041"/>
    <w:rsid w:val="6E2B5EE3"/>
    <w:rsid w:val="6E2C4FDA"/>
    <w:rsid w:val="6E3A38A7"/>
    <w:rsid w:val="6E41574E"/>
    <w:rsid w:val="6E4660D0"/>
    <w:rsid w:val="6E4A043D"/>
    <w:rsid w:val="6E68323D"/>
    <w:rsid w:val="6E6F129A"/>
    <w:rsid w:val="6E8C7E9A"/>
    <w:rsid w:val="6EA7226C"/>
    <w:rsid w:val="6EAD5918"/>
    <w:rsid w:val="6EB13143"/>
    <w:rsid w:val="6EBF0F07"/>
    <w:rsid w:val="6EC3545C"/>
    <w:rsid w:val="6ECA78B1"/>
    <w:rsid w:val="6ED96760"/>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06755C"/>
    <w:rsid w:val="7017567F"/>
    <w:rsid w:val="70233526"/>
    <w:rsid w:val="70306C17"/>
    <w:rsid w:val="70462D50"/>
    <w:rsid w:val="704B508B"/>
    <w:rsid w:val="70754C0A"/>
    <w:rsid w:val="70810F20"/>
    <w:rsid w:val="70826A53"/>
    <w:rsid w:val="70956D4D"/>
    <w:rsid w:val="70984F7D"/>
    <w:rsid w:val="709970EF"/>
    <w:rsid w:val="709C1A8C"/>
    <w:rsid w:val="70B27B70"/>
    <w:rsid w:val="70CE09C3"/>
    <w:rsid w:val="70E41A32"/>
    <w:rsid w:val="70F302B4"/>
    <w:rsid w:val="710E7A9F"/>
    <w:rsid w:val="71147566"/>
    <w:rsid w:val="71241C9E"/>
    <w:rsid w:val="71287630"/>
    <w:rsid w:val="712C1AEB"/>
    <w:rsid w:val="713148BC"/>
    <w:rsid w:val="71371CF9"/>
    <w:rsid w:val="713E5AE7"/>
    <w:rsid w:val="71464190"/>
    <w:rsid w:val="71593661"/>
    <w:rsid w:val="716C2A53"/>
    <w:rsid w:val="716F1C44"/>
    <w:rsid w:val="717E7A69"/>
    <w:rsid w:val="71806D32"/>
    <w:rsid w:val="71AD6FAE"/>
    <w:rsid w:val="71AE30B5"/>
    <w:rsid w:val="71C170C7"/>
    <w:rsid w:val="71C27EC8"/>
    <w:rsid w:val="71C33DD0"/>
    <w:rsid w:val="71D83B53"/>
    <w:rsid w:val="72005AE6"/>
    <w:rsid w:val="7204127A"/>
    <w:rsid w:val="72104AC2"/>
    <w:rsid w:val="72124041"/>
    <w:rsid w:val="72135B21"/>
    <w:rsid w:val="721601E1"/>
    <w:rsid w:val="722570DF"/>
    <w:rsid w:val="72337620"/>
    <w:rsid w:val="723F5BDB"/>
    <w:rsid w:val="72565C05"/>
    <w:rsid w:val="72570EA7"/>
    <w:rsid w:val="72726B56"/>
    <w:rsid w:val="727355E2"/>
    <w:rsid w:val="72811FE7"/>
    <w:rsid w:val="72A11E23"/>
    <w:rsid w:val="72A322A5"/>
    <w:rsid w:val="72AF0917"/>
    <w:rsid w:val="72B3210B"/>
    <w:rsid w:val="72CF7ADB"/>
    <w:rsid w:val="72E75951"/>
    <w:rsid w:val="72E91B02"/>
    <w:rsid w:val="72F9284C"/>
    <w:rsid w:val="72FA0C86"/>
    <w:rsid w:val="72FF3233"/>
    <w:rsid w:val="730A62B7"/>
    <w:rsid w:val="732650C3"/>
    <w:rsid w:val="733B45D9"/>
    <w:rsid w:val="733C616F"/>
    <w:rsid w:val="7340334A"/>
    <w:rsid w:val="73444E23"/>
    <w:rsid w:val="734A7EB9"/>
    <w:rsid w:val="734F3E6D"/>
    <w:rsid w:val="73586DC3"/>
    <w:rsid w:val="735B05AA"/>
    <w:rsid w:val="736811C4"/>
    <w:rsid w:val="736D2990"/>
    <w:rsid w:val="73725CC7"/>
    <w:rsid w:val="73920BE9"/>
    <w:rsid w:val="739B35DE"/>
    <w:rsid w:val="73AA26AC"/>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71A82"/>
    <w:rsid w:val="74F64E3F"/>
    <w:rsid w:val="74FD1B30"/>
    <w:rsid w:val="751D0E17"/>
    <w:rsid w:val="754A05DC"/>
    <w:rsid w:val="75942A40"/>
    <w:rsid w:val="75A023F2"/>
    <w:rsid w:val="75A5367F"/>
    <w:rsid w:val="75C33053"/>
    <w:rsid w:val="75C5780F"/>
    <w:rsid w:val="75DD36EF"/>
    <w:rsid w:val="75E4528E"/>
    <w:rsid w:val="75FB2A56"/>
    <w:rsid w:val="75FF18EA"/>
    <w:rsid w:val="76023351"/>
    <w:rsid w:val="76060D91"/>
    <w:rsid w:val="761730DD"/>
    <w:rsid w:val="762514F1"/>
    <w:rsid w:val="762C5C47"/>
    <w:rsid w:val="763B39C5"/>
    <w:rsid w:val="764C42F2"/>
    <w:rsid w:val="765512FB"/>
    <w:rsid w:val="765E31FB"/>
    <w:rsid w:val="766477E6"/>
    <w:rsid w:val="766703E1"/>
    <w:rsid w:val="76687032"/>
    <w:rsid w:val="7672045B"/>
    <w:rsid w:val="76766B2A"/>
    <w:rsid w:val="767F2D37"/>
    <w:rsid w:val="768259E2"/>
    <w:rsid w:val="76895AED"/>
    <w:rsid w:val="7698131F"/>
    <w:rsid w:val="76984EB1"/>
    <w:rsid w:val="76991A17"/>
    <w:rsid w:val="76A21E36"/>
    <w:rsid w:val="76AE6448"/>
    <w:rsid w:val="76BA50E5"/>
    <w:rsid w:val="76C42FE0"/>
    <w:rsid w:val="76D42781"/>
    <w:rsid w:val="76D81D5A"/>
    <w:rsid w:val="76EF0A81"/>
    <w:rsid w:val="77067FBD"/>
    <w:rsid w:val="771672D4"/>
    <w:rsid w:val="771A06F0"/>
    <w:rsid w:val="77236D53"/>
    <w:rsid w:val="772A5AB9"/>
    <w:rsid w:val="7731080D"/>
    <w:rsid w:val="7737633C"/>
    <w:rsid w:val="774D3DC3"/>
    <w:rsid w:val="776A22E2"/>
    <w:rsid w:val="776D6580"/>
    <w:rsid w:val="777A4144"/>
    <w:rsid w:val="778C04E9"/>
    <w:rsid w:val="778F2765"/>
    <w:rsid w:val="77947436"/>
    <w:rsid w:val="77AC60FB"/>
    <w:rsid w:val="77B360B7"/>
    <w:rsid w:val="77BE4FE1"/>
    <w:rsid w:val="77E22291"/>
    <w:rsid w:val="77EB104B"/>
    <w:rsid w:val="78125407"/>
    <w:rsid w:val="78163E0D"/>
    <w:rsid w:val="78300AEE"/>
    <w:rsid w:val="78316776"/>
    <w:rsid w:val="784F14F7"/>
    <w:rsid w:val="78507637"/>
    <w:rsid w:val="78570B0F"/>
    <w:rsid w:val="7859168E"/>
    <w:rsid w:val="7867796C"/>
    <w:rsid w:val="787541D2"/>
    <w:rsid w:val="787F40EE"/>
    <w:rsid w:val="78827560"/>
    <w:rsid w:val="78985EAB"/>
    <w:rsid w:val="789E5F80"/>
    <w:rsid w:val="78A74161"/>
    <w:rsid w:val="78B4709E"/>
    <w:rsid w:val="78B57BD3"/>
    <w:rsid w:val="78C14DB7"/>
    <w:rsid w:val="78C243BF"/>
    <w:rsid w:val="78D81144"/>
    <w:rsid w:val="78F669DD"/>
    <w:rsid w:val="78F95093"/>
    <w:rsid w:val="79047D24"/>
    <w:rsid w:val="792073FF"/>
    <w:rsid w:val="79255B1E"/>
    <w:rsid w:val="79327BE3"/>
    <w:rsid w:val="793423B9"/>
    <w:rsid w:val="794674FF"/>
    <w:rsid w:val="794F5E9D"/>
    <w:rsid w:val="7950305C"/>
    <w:rsid w:val="79556476"/>
    <w:rsid w:val="79596ED9"/>
    <w:rsid w:val="795A247F"/>
    <w:rsid w:val="796606AB"/>
    <w:rsid w:val="79713968"/>
    <w:rsid w:val="797279F9"/>
    <w:rsid w:val="798B6440"/>
    <w:rsid w:val="798B6ADC"/>
    <w:rsid w:val="79957930"/>
    <w:rsid w:val="79976759"/>
    <w:rsid w:val="799C0BFC"/>
    <w:rsid w:val="79B50C6F"/>
    <w:rsid w:val="79C3787E"/>
    <w:rsid w:val="79D319E8"/>
    <w:rsid w:val="79E06AB0"/>
    <w:rsid w:val="79E5068F"/>
    <w:rsid w:val="7A0527D6"/>
    <w:rsid w:val="7A073B40"/>
    <w:rsid w:val="7A1A2327"/>
    <w:rsid w:val="7A1E66A7"/>
    <w:rsid w:val="7A2B12D7"/>
    <w:rsid w:val="7A2B6427"/>
    <w:rsid w:val="7A3E3C86"/>
    <w:rsid w:val="7A421F6B"/>
    <w:rsid w:val="7A4A456D"/>
    <w:rsid w:val="7A4C538F"/>
    <w:rsid w:val="7A594BC2"/>
    <w:rsid w:val="7A9C129D"/>
    <w:rsid w:val="7AAC617C"/>
    <w:rsid w:val="7ABB0835"/>
    <w:rsid w:val="7ABE7A74"/>
    <w:rsid w:val="7AC3193E"/>
    <w:rsid w:val="7ACB1468"/>
    <w:rsid w:val="7AD825ED"/>
    <w:rsid w:val="7AE01949"/>
    <w:rsid w:val="7AE7522B"/>
    <w:rsid w:val="7AE87C42"/>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229CE"/>
    <w:rsid w:val="7C1832E2"/>
    <w:rsid w:val="7C2C3168"/>
    <w:rsid w:val="7C60764A"/>
    <w:rsid w:val="7C7F077B"/>
    <w:rsid w:val="7C8D3723"/>
    <w:rsid w:val="7C970AB4"/>
    <w:rsid w:val="7C9A2C55"/>
    <w:rsid w:val="7C9E0E6D"/>
    <w:rsid w:val="7CB570A3"/>
    <w:rsid w:val="7CC85D2E"/>
    <w:rsid w:val="7CFA0A3C"/>
    <w:rsid w:val="7CFB25C5"/>
    <w:rsid w:val="7D024938"/>
    <w:rsid w:val="7D0432EA"/>
    <w:rsid w:val="7D071A67"/>
    <w:rsid w:val="7D153027"/>
    <w:rsid w:val="7D1E566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242CB"/>
    <w:rsid w:val="7E6C79E8"/>
    <w:rsid w:val="7E6E14DC"/>
    <w:rsid w:val="7E7425DB"/>
    <w:rsid w:val="7EB5709B"/>
    <w:rsid w:val="7EB83A78"/>
    <w:rsid w:val="7EB90785"/>
    <w:rsid w:val="7ED114CF"/>
    <w:rsid w:val="7EDA31B4"/>
    <w:rsid w:val="7EE97E69"/>
    <w:rsid w:val="7EEF15E6"/>
    <w:rsid w:val="7F0F3C4C"/>
    <w:rsid w:val="7F102E25"/>
    <w:rsid w:val="7F2B3490"/>
    <w:rsid w:val="7F4E5A90"/>
    <w:rsid w:val="7F81479C"/>
    <w:rsid w:val="7F961536"/>
    <w:rsid w:val="7FB772DD"/>
    <w:rsid w:val="7FD5728C"/>
    <w:rsid w:val="7FE66A22"/>
    <w:rsid w:val="7FED0787"/>
    <w:rsid w:val="7FF3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9"/>
    <w:basedOn w:val="1"/>
    <w:next w:val="1"/>
    <w:qFormat/>
    <w:uiPriority w:val="1"/>
    <w:pPr>
      <w:spacing w:before="157"/>
      <w:ind w:left="220" w:firstLine="420"/>
      <w:outlineLvl w:val="8"/>
    </w:pPr>
    <w:rPr>
      <w:rFonts w:ascii="宋体" w:hAnsi="宋体" w:eastAsia="宋体" w:cs="宋体"/>
    </w:rPr>
  </w:style>
  <w:style w:type="character" w:default="1" w:styleId="24">
    <w:name w:val="Default Paragraph Font"/>
    <w:unhideWhenUsed/>
    <w:qFormat/>
    <w:uiPriority w:val="1"/>
  </w:style>
  <w:style w:type="table" w:default="1" w:styleId="22">
    <w:name w:val="Normal Table"/>
    <w:unhideWhenUsed/>
    <w:qFormat/>
    <w:uiPriority w:val="99"/>
    <w:tblPr>
      <w:tblStyle w:val="22"/>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3"/>
    <w:basedOn w:val="1"/>
    <w:qFormat/>
    <w:uiPriority w:val="0"/>
    <w:pPr>
      <w:spacing w:beforeLines="50"/>
    </w:pPr>
    <w:rPr>
      <w:rFonts w:ascii="宋体" w:hAnsi="宋体"/>
      <w:szCs w:val="20"/>
    </w:r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99"/>
    <w:pPr>
      <w:snapToGrid w:val="0"/>
      <w:ind w:firstLine="200"/>
    </w:pPr>
    <w:rPr>
      <w:rFonts w:ascii="Arial" w:hAnsi="Arial" w:cs="Arial"/>
      <w:szCs w:val="20"/>
    </w:rPr>
  </w:style>
  <w:style w:type="paragraph" w:styleId="14">
    <w:name w:val="Plain Text"/>
    <w:basedOn w:val="1"/>
    <w:qFormat/>
    <w:uiPriority w:val="0"/>
    <w:rPr>
      <w:rFonts w:ascii="宋体" w:hAnsi="Courier New"/>
      <w:szCs w:val="20"/>
    </w:rPr>
  </w:style>
  <w:style w:type="paragraph" w:styleId="15">
    <w:name w:val="Balloon Text"/>
    <w:basedOn w:val="1"/>
    <w:link w:val="30"/>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jc w:val="left"/>
    </w:pPr>
    <w:rPr>
      <w:rFonts w:cs="Calibri"/>
      <w:b/>
      <w:bCs/>
      <w:caps/>
      <w:sz w:val="20"/>
      <w:szCs w:val="20"/>
    </w:rPr>
  </w:style>
  <w:style w:type="paragraph" w:styleId="19">
    <w:name w:val="footnote text"/>
    <w:basedOn w:val="1"/>
    <w:unhideWhenUsed/>
    <w:qFormat/>
    <w:uiPriority w:val="0"/>
    <w:pPr>
      <w:snapToGrid w:val="0"/>
      <w:jc w:val="left"/>
    </w:pPr>
    <w:rPr>
      <w:sz w:val="18"/>
      <w:szCs w:val="18"/>
    </w:rPr>
  </w:style>
  <w:style w:type="paragraph" w:styleId="20">
    <w:name w:val="Normal (Web)"/>
    <w:basedOn w:val="1"/>
    <w:qFormat/>
    <w:uiPriority w:val="0"/>
    <w:pPr>
      <w:widowControl/>
      <w:spacing w:beforeAutospacing="1" w:afterAutospacing="1"/>
      <w:jc w:val="left"/>
    </w:pPr>
    <w:rPr>
      <w:rFonts w:ascii="宋体" w:hAnsi="宋体" w:eastAsia="宋体" w:cs="宋体"/>
      <w:kern w:val="0"/>
      <w:sz w:val="24"/>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table" w:styleId="23">
    <w:name w:val="Table Grid"/>
    <w:basedOn w:val="22"/>
    <w:qFormat/>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rFonts w:ascii="Verdana" w:hAnsi="Verdana"/>
      <w:b/>
      <w:kern w:val="0"/>
      <w:szCs w:val="20"/>
      <w:lang w:eastAsia="en-US"/>
    </w:rPr>
  </w:style>
  <w:style w:type="character" w:styleId="26">
    <w:name w:val="page number"/>
    <w:basedOn w:val="24"/>
    <w:qFormat/>
    <w:uiPriority w:val="0"/>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character" w:customStyle="1" w:styleId="29">
    <w:name w:val="标题 2 Char"/>
    <w:link w:val="5"/>
    <w:qFormat/>
    <w:uiPriority w:val="0"/>
    <w:rPr>
      <w:rFonts w:ascii="Arial" w:hAnsi="Arial"/>
      <w:b/>
      <w:bCs/>
      <w:sz w:val="28"/>
      <w:szCs w:val="32"/>
    </w:rPr>
  </w:style>
  <w:style w:type="character" w:customStyle="1" w:styleId="30">
    <w:name w:val="批注框文本 Char"/>
    <w:basedOn w:val="24"/>
    <w:link w:val="15"/>
    <w:qFormat/>
    <w:uiPriority w:val="0"/>
    <w:rPr>
      <w:rFonts w:ascii="Calibri" w:hAnsi="Calibri" w:eastAsia="宋体" w:cs="Times New Roman"/>
      <w:kern w:val="2"/>
      <w:sz w:val="18"/>
      <w:szCs w:val="18"/>
    </w:rPr>
  </w:style>
  <w:style w:type="paragraph" w:customStyle="1" w:styleId="3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font21"/>
    <w:basedOn w:val="24"/>
    <w:qFormat/>
    <w:uiPriority w:val="0"/>
    <w:rPr>
      <w:rFonts w:hint="eastAsia" w:ascii="宋体" w:hAnsi="宋体" w:eastAsia="宋体" w:cs="宋体"/>
      <w:color w:val="000000"/>
      <w:sz w:val="24"/>
      <w:szCs w:val="24"/>
      <w:u w:val="none"/>
    </w:rPr>
  </w:style>
  <w:style w:type="character" w:customStyle="1" w:styleId="39">
    <w:name w:val="font01"/>
    <w:basedOn w:val="24"/>
    <w:qFormat/>
    <w:uiPriority w:val="0"/>
    <w:rPr>
      <w:rFonts w:hint="default" w:ascii="Times New Roman" w:hAnsi="Times New Roman" w:cs="Times New Roman"/>
      <w:color w:val="000000"/>
      <w:sz w:val="24"/>
      <w:szCs w:val="24"/>
      <w:u w:val="none"/>
    </w:rPr>
  </w:style>
  <w:style w:type="character" w:customStyle="1" w:styleId="40">
    <w:name w:val="font11"/>
    <w:basedOn w:val="24"/>
    <w:qFormat/>
    <w:uiPriority w:val="0"/>
    <w:rPr>
      <w:rFonts w:hint="default" w:ascii="Times New Roman" w:hAnsi="Times New Roman" w:cs="Times New Roman"/>
      <w:color w:val="000000"/>
      <w:sz w:val="20"/>
      <w:szCs w:val="20"/>
      <w:u w:val="none"/>
    </w:rPr>
  </w:style>
  <w:style w:type="character" w:customStyle="1" w:styleId="41">
    <w:name w:val="font31"/>
    <w:basedOn w:val="24"/>
    <w:qFormat/>
    <w:uiPriority w:val="0"/>
    <w:rPr>
      <w:rFonts w:hint="eastAsia" w:ascii="宋体" w:hAnsi="宋体" w:eastAsia="宋体" w:cs="宋体"/>
      <w:color w:val="000000"/>
      <w:sz w:val="20"/>
      <w:szCs w:val="20"/>
      <w:u w:val="none"/>
    </w:rPr>
  </w:style>
  <w:style w:type="paragraph" w:customStyle="1" w:styleId="42">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3">
    <w:name w:val="font41"/>
    <w:basedOn w:val="24"/>
    <w:qFormat/>
    <w:uiPriority w:val="0"/>
    <w:rPr>
      <w:rFonts w:hint="eastAsia" w:ascii="仿宋" w:hAnsi="仿宋" w:eastAsia="仿宋" w:cs="仿宋"/>
      <w:color w:val="000000"/>
      <w:sz w:val="21"/>
      <w:szCs w:val="21"/>
      <w:u w:val="none"/>
    </w:rPr>
  </w:style>
  <w:style w:type="paragraph" w:customStyle="1" w:styleId="44">
    <w:name w:val="Char"/>
    <w:basedOn w:val="1"/>
    <w:qFormat/>
    <w:uiPriority w:val="0"/>
    <w:rPr>
      <w:rFonts w:ascii="Tahoma" w:hAnsi="Tahoma"/>
      <w:sz w:val="24"/>
      <w:szCs w:val="20"/>
    </w:rPr>
  </w:style>
  <w:style w:type="character" w:customStyle="1" w:styleId="45">
    <w:name w:val="font112"/>
    <w:basedOn w:val="24"/>
    <w:qFormat/>
    <w:uiPriority w:val="0"/>
    <w:rPr>
      <w:rFonts w:hint="eastAsia" w:ascii="宋体" w:hAnsi="宋体" w:eastAsia="宋体" w:cs="宋体"/>
      <w:color w:val="000000"/>
      <w:sz w:val="18"/>
      <w:szCs w:val="18"/>
      <w:u w:val="none"/>
    </w:rPr>
  </w:style>
  <w:style w:type="paragraph" w:styleId="46">
    <w:name w:val="List Paragraph"/>
    <w:basedOn w:val="1"/>
    <w:qFormat/>
    <w:uiPriority w:val="99"/>
    <w:pPr>
      <w:ind w:firstLine="420" w:firstLineChars="200"/>
    </w:pPr>
  </w:style>
  <w:style w:type="paragraph" w:customStyle="1" w:styleId="4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3698</Words>
  <Characters>4058</Characters>
  <Lines>25</Lines>
  <Paragraphs>31</Paragraphs>
  <TotalTime>33</TotalTime>
  <ScaleCrop>false</ScaleCrop>
  <LinksUpToDate>false</LinksUpToDate>
  <CharactersWithSpaces>4173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ææªæª</cp:lastModifiedBy>
  <cp:lastPrinted>2025-03-13T08:33:04Z</cp:lastPrinted>
  <dcterms:modified xsi:type="dcterms:W3CDTF">2025-03-18T01:48:24Z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B412DD23A5184FDCB94D2D183B031646_13</vt:lpwstr>
  </property>
  <property fmtid="{D5CDD505-2E9C-101B-9397-08002B2CF9AE}" pid="4" name="KSOTemplateDocerSaveRecord">
    <vt:lpwstr>eyJoZGlkIjoiMTU5ZjhhZGU3MGEwODY4NTkxY2Y4M2MwZjE0M2JjNDIiLCJ1c2VySWQiOiIxMjkzMzYzMTY1In0=</vt:lpwstr>
  </property>
</Properties>
</file>