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C03EB">
      <w:pPr>
        <w:rPr>
          <w:rFonts w:ascii="Times New Roman" w:hAnsi="Times New Roman" w:eastAsia="黑体" w:cs="Times New Roman"/>
          <w:color w:val="auto"/>
          <w:sz w:val="36"/>
          <w:szCs w:val="36"/>
        </w:rPr>
      </w:pPr>
    </w:p>
    <w:p w14:paraId="3DABB0C9">
      <w:pPr>
        <w:pStyle w:val="3"/>
        <w:outlineLvl w:val="9"/>
        <w:rPr>
          <w:rFonts w:ascii="Times New Roman" w:hAnsi="Times New Roman" w:cs="Times New Roman"/>
          <w:color w:val="auto"/>
          <w:szCs w:val="21"/>
        </w:rPr>
      </w:pPr>
      <w:r>
        <w:rPr>
          <w:rFonts w:hint="eastAsia" w:ascii="黑体" w:hAnsi="黑体" w:eastAsia="黑体" w:cs="黑体"/>
          <w:color w:val="auto"/>
          <w:sz w:val="36"/>
          <w:szCs w:val="36"/>
        </w:rPr>
        <w:t>2025~2027年度工地试验室试验仪器设备检定/校准服务量值溯源机构定点库采购</w:t>
      </w:r>
    </w:p>
    <w:p w14:paraId="2E318800">
      <w:pPr>
        <w:rPr>
          <w:color w:val="auto"/>
        </w:rPr>
      </w:pPr>
    </w:p>
    <w:p w14:paraId="2D78B089">
      <w:pPr>
        <w:pStyle w:val="2"/>
        <w:rPr>
          <w:rFonts w:ascii="Times New Roman" w:hAnsi="Times New Roman" w:cs="Times New Roman"/>
          <w:color w:val="auto"/>
          <w:szCs w:val="21"/>
        </w:rPr>
      </w:pPr>
    </w:p>
    <w:p w14:paraId="633394F8">
      <w:pPr>
        <w:spacing w:line="540" w:lineRule="exact"/>
        <w:ind w:firstLine="420"/>
        <w:rPr>
          <w:rFonts w:ascii="Times New Roman" w:hAnsi="Times New Roman" w:cs="Times New Roman"/>
          <w:color w:val="auto"/>
          <w:szCs w:val="21"/>
        </w:rPr>
      </w:pPr>
    </w:p>
    <w:p w14:paraId="295C6C38">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询  比  文</w:t>
      </w:r>
      <w:r>
        <w:rPr>
          <w:rFonts w:hint="eastAsia" w:ascii="Times New Roman" w:hAnsi="Times New Roman" w:eastAsia="黑体" w:cs="Times New Roman"/>
          <w:color w:val="auto"/>
          <w:sz w:val="72"/>
          <w:szCs w:val="72"/>
        </w:rPr>
        <w:t xml:space="preserve"> </w:t>
      </w:r>
      <w:r>
        <w:rPr>
          <w:rFonts w:ascii="Times New Roman" w:hAnsi="Times New Roman" w:eastAsia="黑体" w:cs="Times New Roman"/>
          <w:color w:val="auto"/>
          <w:sz w:val="72"/>
          <w:szCs w:val="72"/>
        </w:rPr>
        <w:t>件</w:t>
      </w:r>
    </w:p>
    <w:p w14:paraId="32A8F1A2">
      <w:pPr>
        <w:spacing w:line="540" w:lineRule="exact"/>
        <w:ind w:firstLine="420"/>
        <w:rPr>
          <w:rFonts w:ascii="Times New Roman" w:hAnsi="Times New Roman" w:cs="Times New Roman"/>
          <w:color w:val="auto"/>
          <w:szCs w:val="21"/>
        </w:rPr>
      </w:pPr>
    </w:p>
    <w:p w14:paraId="6E619328">
      <w:pPr>
        <w:spacing w:line="540" w:lineRule="exact"/>
        <w:ind w:firstLine="420"/>
        <w:rPr>
          <w:rFonts w:ascii="Times New Roman" w:hAnsi="Times New Roman" w:cs="Times New Roman"/>
          <w:color w:val="auto"/>
          <w:szCs w:val="21"/>
        </w:rPr>
      </w:pPr>
    </w:p>
    <w:p w14:paraId="52527FF6">
      <w:pPr>
        <w:spacing w:line="540" w:lineRule="exact"/>
        <w:ind w:firstLine="420"/>
        <w:rPr>
          <w:rFonts w:ascii="Times New Roman" w:hAnsi="Times New Roman" w:cs="Times New Roman"/>
          <w:color w:val="auto"/>
          <w:szCs w:val="21"/>
        </w:rPr>
      </w:pPr>
    </w:p>
    <w:p w14:paraId="0D9407E5">
      <w:pPr>
        <w:spacing w:line="540" w:lineRule="exact"/>
        <w:ind w:firstLine="420"/>
        <w:rPr>
          <w:rFonts w:ascii="Times New Roman" w:hAnsi="Times New Roman" w:cs="Times New Roman"/>
          <w:color w:val="auto"/>
          <w:szCs w:val="21"/>
        </w:rPr>
      </w:pPr>
    </w:p>
    <w:p w14:paraId="2DD9EBE8">
      <w:pPr>
        <w:spacing w:line="540" w:lineRule="exact"/>
        <w:ind w:firstLine="420"/>
        <w:rPr>
          <w:rFonts w:ascii="Times New Roman" w:hAnsi="Times New Roman" w:cs="Times New Roman"/>
          <w:color w:val="auto"/>
          <w:szCs w:val="21"/>
        </w:rPr>
      </w:pPr>
    </w:p>
    <w:p w14:paraId="268E91B8">
      <w:pPr>
        <w:spacing w:line="540" w:lineRule="exact"/>
        <w:ind w:firstLine="420"/>
        <w:rPr>
          <w:rFonts w:ascii="Times New Roman" w:hAnsi="Times New Roman" w:cs="Times New Roman"/>
          <w:color w:val="auto"/>
          <w:szCs w:val="21"/>
        </w:rPr>
      </w:pPr>
    </w:p>
    <w:p w14:paraId="47A35E69">
      <w:pPr>
        <w:spacing w:line="540" w:lineRule="exact"/>
        <w:ind w:firstLine="420"/>
        <w:rPr>
          <w:rFonts w:ascii="Times New Roman" w:hAnsi="Times New Roman" w:cs="Times New Roman"/>
          <w:color w:val="auto"/>
          <w:szCs w:val="21"/>
        </w:rPr>
      </w:pPr>
    </w:p>
    <w:p w14:paraId="0F736E91">
      <w:pPr>
        <w:spacing w:line="540" w:lineRule="exact"/>
        <w:ind w:firstLine="420"/>
        <w:rPr>
          <w:rFonts w:ascii="Times New Roman" w:hAnsi="Times New Roman" w:cs="Times New Roman"/>
          <w:color w:val="auto"/>
          <w:szCs w:val="21"/>
        </w:rPr>
      </w:pPr>
    </w:p>
    <w:p w14:paraId="2B5A498A">
      <w:pPr>
        <w:spacing w:line="540" w:lineRule="exact"/>
        <w:ind w:firstLine="420"/>
        <w:rPr>
          <w:rFonts w:ascii="Times New Roman" w:hAnsi="Times New Roman" w:cs="Times New Roman"/>
          <w:color w:val="auto"/>
          <w:szCs w:val="21"/>
        </w:rPr>
      </w:pPr>
    </w:p>
    <w:p w14:paraId="2976E22B">
      <w:pPr>
        <w:spacing w:line="540" w:lineRule="exact"/>
        <w:ind w:firstLine="640"/>
        <w:rPr>
          <w:rFonts w:ascii="Times New Roman" w:hAnsi="Times New Roman" w:eastAsia="黑体" w:cs="Times New Roman"/>
          <w:color w:val="auto"/>
          <w:sz w:val="32"/>
          <w:szCs w:val="32"/>
        </w:rPr>
      </w:pPr>
    </w:p>
    <w:p w14:paraId="3F58C0FD">
      <w:pPr>
        <w:spacing w:line="540" w:lineRule="exact"/>
        <w:ind w:left="1896" w:leftChars="903"/>
        <w:rPr>
          <w:rFonts w:ascii="Times New Roman" w:hAnsi="Times New Roman" w:cs="Times New Roman"/>
          <w:color w:val="auto"/>
          <w:szCs w:val="21"/>
        </w:rPr>
      </w:pPr>
    </w:p>
    <w:p w14:paraId="0C24DF9E">
      <w:pPr>
        <w:snapToGrid w:val="0"/>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采 购 人：</w:t>
      </w:r>
      <w:r>
        <w:rPr>
          <w:rFonts w:hint="eastAsia" w:ascii="Times New Roman" w:hAnsi="Times New Roman" w:eastAsia="黑体" w:cs="Times New Roman"/>
          <w:color w:val="auto"/>
          <w:sz w:val="32"/>
          <w:szCs w:val="32"/>
        </w:rPr>
        <w:t>安徽省高速公路试验检测科研中心有限公司</w:t>
      </w:r>
    </w:p>
    <w:p w14:paraId="26486D58">
      <w:pPr>
        <w:snapToGrid w:val="0"/>
        <w:ind w:left="1896" w:leftChars="903"/>
        <w:rPr>
          <w:rFonts w:ascii="Times New Roman" w:hAnsi="Times New Roman" w:cs="Times New Roman"/>
          <w:color w:val="auto"/>
          <w:sz w:val="32"/>
          <w:szCs w:val="32"/>
        </w:rPr>
      </w:pPr>
    </w:p>
    <w:p w14:paraId="31D33A36">
      <w:pPr>
        <w:tabs>
          <w:tab w:val="left" w:pos="2340"/>
          <w:tab w:val="left" w:pos="3360"/>
        </w:tabs>
        <w:jc w:val="center"/>
        <w:rPr>
          <w:color w:val="auto"/>
          <w:sz w:val="24"/>
        </w:rPr>
      </w:pPr>
      <w:r>
        <w:rPr>
          <w:rFonts w:hint="eastAsia" w:ascii="黑体" w:hAnsi="黑体" w:eastAsia="黑体" w:cs="黑体"/>
          <w:color w:val="auto"/>
          <w:sz w:val="32"/>
        </w:rPr>
        <w:t>二○二</w:t>
      </w:r>
      <w:r>
        <w:rPr>
          <w:rFonts w:hint="eastAsia" w:ascii="黑体" w:hAnsi="黑体" w:eastAsia="黑体" w:cs="黑体"/>
          <w:color w:val="auto"/>
          <w:sz w:val="32"/>
          <w:lang w:val="en-US" w:eastAsia="zh-CN"/>
        </w:rPr>
        <w:t>五</w:t>
      </w:r>
      <w:r>
        <w:rPr>
          <w:rFonts w:hint="eastAsia" w:ascii="黑体" w:hAnsi="黑体" w:eastAsia="黑体" w:cs="黑体"/>
          <w:color w:val="auto"/>
          <w:sz w:val="32"/>
        </w:rPr>
        <w:t>年</w:t>
      </w:r>
      <w:r>
        <w:rPr>
          <w:rFonts w:hint="eastAsia" w:ascii="黑体" w:hAnsi="黑体" w:eastAsia="黑体" w:cs="黑体"/>
          <w:color w:val="auto"/>
          <w:sz w:val="32"/>
          <w:lang w:val="en-US" w:eastAsia="zh-CN"/>
        </w:rPr>
        <w:t>一</w:t>
      </w:r>
      <w:r>
        <w:rPr>
          <w:rFonts w:hint="eastAsia" w:ascii="黑体" w:hAnsi="黑体" w:eastAsia="黑体" w:cs="黑体"/>
          <w:color w:val="auto"/>
          <w:sz w:val="32"/>
        </w:rPr>
        <w:t>月</w:t>
      </w:r>
    </w:p>
    <w:p w14:paraId="562DB1E9">
      <w:pPr>
        <w:ind w:left="1896" w:leftChars="903"/>
        <w:rPr>
          <w:rFonts w:ascii="Times New Roman" w:hAnsi="Times New Roman" w:eastAsia="宋体" w:cs="Times New Roman"/>
          <w:color w:val="auto"/>
          <w:sz w:val="24"/>
        </w:rPr>
        <w:sectPr>
          <w:pgSz w:w="11905" w:h="16838"/>
          <w:pgMar w:top="1440" w:right="1417" w:bottom="1440" w:left="1417" w:header="850" w:footer="992" w:gutter="0"/>
          <w:cols w:space="0" w:num="1"/>
          <w:docGrid w:type="lines" w:linePitch="317" w:charSpace="0"/>
        </w:sectPr>
      </w:pPr>
    </w:p>
    <w:sdt>
      <w:sdtPr>
        <w:rPr>
          <w:rFonts w:ascii="宋体" w:hAnsi="宋体" w:eastAsia="宋体"/>
          <w:color w:val="auto"/>
        </w:rPr>
        <w:id w:val="147476721"/>
        <w:docPartObj>
          <w:docPartGallery w:val="Table of Contents"/>
          <w:docPartUnique/>
        </w:docPartObj>
      </w:sdtPr>
      <w:sdtEndPr>
        <w:rPr>
          <w:rFonts w:asciiTheme="minorHAnsi" w:hAnsiTheme="minorHAnsi" w:eastAsiaTheme="minorEastAsia"/>
          <w:color w:val="auto"/>
        </w:rPr>
      </w:sdtEndPr>
      <w:sdtContent>
        <w:p w14:paraId="5C5FE5A5">
          <w:pPr>
            <w:spacing w:line="480" w:lineRule="auto"/>
            <w:jc w:val="center"/>
            <w:rPr>
              <w:color w:val="auto"/>
              <w:sz w:val="28"/>
              <w:szCs w:val="36"/>
            </w:rPr>
          </w:pPr>
          <w:r>
            <w:rPr>
              <w:rFonts w:ascii="宋体" w:hAnsi="宋体" w:eastAsia="宋体"/>
              <w:color w:val="auto"/>
              <w:sz w:val="28"/>
              <w:szCs w:val="36"/>
            </w:rPr>
            <w:t>目录</w:t>
          </w:r>
        </w:p>
        <w:p w14:paraId="215130AA">
          <w:pPr>
            <w:pStyle w:val="28"/>
            <w:tabs>
              <w:tab w:val="right" w:leader="dot" w:pos="8820"/>
            </w:tabs>
            <w:spacing w:line="480" w:lineRule="auto"/>
            <w:rPr>
              <w:color w:val="auto"/>
              <w:sz w:val="24"/>
              <w:szCs w:val="24"/>
            </w:rPr>
          </w:pPr>
          <w:r>
            <w:rPr>
              <w:color w:val="auto"/>
              <w:sz w:val="24"/>
              <w:szCs w:val="24"/>
            </w:rPr>
            <w:fldChar w:fldCharType="begin"/>
          </w:r>
          <w:r>
            <w:rPr>
              <w:color w:val="auto"/>
              <w:sz w:val="24"/>
              <w:szCs w:val="24"/>
            </w:rPr>
            <w:instrText xml:space="preserve">TOC \o "1-1" \h \u </w:instrText>
          </w:r>
          <w:r>
            <w:rPr>
              <w:color w:val="auto"/>
              <w:sz w:val="24"/>
              <w:szCs w:val="24"/>
            </w:rPr>
            <w:fldChar w:fldCharType="separate"/>
          </w:r>
          <w:r>
            <w:rPr>
              <w:color w:val="auto"/>
            </w:rPr>
            <w:fldChar w:fldCharType="begin"/>
          </w:r>
          <w:r>
            <w:rPr>
              <w:color w:val="auto"/>
            </w:rPr>
            <w:instrText xml:space="preserve"> HYPERLINK \l "_Toc27153" </w:instrText>
          </w:r>
          <w:r>
            <w:rPr>
              <w:color w:val="auto"/>
            </w:rPr>
            <w:fldChar w:fldCharType="separate"/>
          </w:r>
          <w:r>
            <w:rPr>
              <w:rFonts w:hint="eastAsia" w:ascii="Times New Roman" w:hAnsi="Times New Roman" w:eastAsia="宋体" w:cs="Times New Roman"/>
              <w:color w:val="auto"/>
              <w:sz w:val="24"/>
              <w:szCs w:val="24"/>
            </w:rPr>
            <w:t xml:space="preserve">第一章 </w:t>
          </w:r>
          <w:r>
            <w:rPr>
              <w:rFonts w:ascii="Times New Roman" w:hAnsi="Times New Roman" w:eastAsia="宋体" w:cs="Times New Roman"/>
              <w:color w:val="auto"/>
              <w:sz w:val="24"/>
              <w:szCs w:val="24"/>
            </w:rPr>
            <w:t>采购公告</w:t>
          </w:r>
          <w:r>
            <w:rPr>
              <w:color w:val="auto"/>
              <w:sz w:val="24"/>
              <w:szCs w:val="24"/>
            </w:rPr>
            <w:tab/>
          </w:r>
          <w:r>
            <w:rPr>
              <w:color w:val="auto"/>
              <w:sz w:val="24"/>
              <w:szCs w:val="24"/>
            </w:rPr>
            <w:fldChar w:fldCharType="begin"/>
          </w:r>
          <w:r>
            <w:rPr>
              <w:color w:val="auto"/>
              <w:sz w:val="24"/>
              <w:szCs w:val="24"/>
            </w:rPr>
            <w:instrText xml:space="preserve"> PAGEREF _Toc27153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14:paraId="20F9F68A">
          <w:pPr>
            <w:pStyle w:val="28"/>
            <w:tabs>
              <w:tab w:val="right" w:leader="dot" w:pos="8820"/>
            </w:tabs>
            <w:spacing w:line="480" w:lineRule="auto"/>
            <w:rPr>
              <w:color w:val="auto"/>
              <w:sz w:val="24"/>
              <w:szCs w:val="24"/>
            </w:rPr>
          </w:pPr>
          <w:r>
            <w:rPr>
              <w:color w:val="auto"/>
            </w:rPr>
            <w:fldChar w:fldCharType="begin"/>
          </w:r>
          <w:r>
            <w:rPr>
              <w:color w:val="auto"/>
            </w:rPr>
            <w:instrText xml:space="preserve"> HYPERLINK \l "_Toc6476" </w:instrText>
          </w:r>
          <w:r>
            <w:rPr>
              <w:color w:val="auto"/>
            </w:rPr>
            <w:fldChar w:fldCharType="separate"/>
          </w:r>
          <w:r>
            <w:rPr>
              <w:rFonts w:hint="eastAsia" w:ascii="Times New Roman" w:hAnsi="Times New Roman" w:eastAsia="宋体" w:cs="Times New Roman"/>
              <w:color w:val="auto"/>
              <w:sz w:val="24"/>
              <w:szCs w:val="24"/>
            </w:rPr>
            <w:t xml:space="preserve">第二章 </w:t>
          </w:r>
          <w:r>
            <w:rPr>
              <w:rFonts w:ascii="Times New Roman" w:hAnsi="Times New Roman" w:eastAsia="宋体" w:cs="Times New Roman"/>
              <w:color w:val="auto"/>
              <w:sz w:val="24"/>
              <w:szCs w:val="24"/>
            </w:rPr>
            <w:t>供应商须知</w:t>
          </w:r>
          <w:r>
            <w:rPr>
              <w:color w:val="auto"/>
              <w:sz w:val="24"/>
              <w:szCs w:val="24"/>
            </w:rPr>
            <w:tab/>
          </w:r>
          <w:r>
            <w:rPr>
              <w:color w:val="auto"/>
              <w:sz w:val="24"/>
              <w:szCs w:val="24"/>
            </w:rPr>
            <w:fldChar w:fldCharType="begin"/>
          </w:r>
          <w:r>
            <w:rPr>
              <w:color w:val="auto"/>
              <w:sz w:val="24"/>
              <w:szCs w:val="24"/>
            </w:rPr>
            <w:instrText xml:space="preserve"> PAGEREF _Toc6476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14:paraId="734A585D">
          <w:pPr>
            <w:pStyle w:val="28"/>
            <w:tabs>
              <w:tab w:val="right" w:leader="dot" w:pos="8820"/>
            </w:tabs>
            <w:spacing w:line="480" w:lineRule="auto"/>
            <w:rPr>
              <w:color w:val="auto"/>
              <w:sz w:val="24"/>
              <w:szCs w:val="24"/>
            </w:rPr>
          </w:pPr>
          <w:r>
            <w:rPr>
              <w:color w:val="auto"/>
            </w:rPr>
            <w:fldChar w:fldCharType="begin"/>
          </w:r>
          <w:r>
            <w:rPr>
              <w:color w:val="auto"/>
            </w:rPr>
            <w:instrText xml:space="preserve"> HYPERLINK \l "_Toc117" </w:instrText>
          </w:r>
          <w:r>
            <w:rPr>
              <w:color w:val="auto"/>
            </w:rPr>
            <w:fldChar w:fldCharType="separate"/>
          </w:r>
          <w:r>
            <w:rPr>
              <w:rFonts w:hint="eastAsia" w:ascii="Times New Roman" w:hAnsi="Times New Roman" w:eastAsia="宋体" w:cs="Times New Roman"/>
              <w:color w:val="auto"/>
              <w:sz w:val="24"/>
              <w:szCs w:val="24"/>
            </w:rPr>
            <w:t xml:space="preserve">第三章 </w:t>
          </w:r>
          <w:r>
            <w:rPr>
              <w:rFonts w:ascii="Times New Roman" w:hAnsi="Times New Roman" w:eastAsia="宋体" w:cs="Times New Roman"/>
              <w:color w:val="auto"/>
              <w:sz w:val="24"/>
              <w:szCs w:val="24"/>
            </w:rPr>
            <w:t>评审办法</w:t>
          </w:r>
          <w:r>
            <w:rPr>
              <w:color w:val="auto"/>
              <w:sz w:val="24"/>
              <w:szCs w:val="24"/>
            </w:rPr>
            <w:tab/>
          </w:r>
          <w:r>
            <w:rPr>
              <w:color w:val="auto"/>
              <w:sz w:val="24"/>
              <w:szCs w:val="24"/>
            </w:rPr>
            <w:fldChar w:fldCharType="begin"/>
          </w:r>
          <w:r>
            <w:rPr>
              <w:color w:val="auto"/>
              <w:sz w:val="24"/>
              <w:szCs w:val="24"/>
            </w:rPr>
            <w:instrText xml:space="preserve"> PAGEREF _Toc117 \h </w:instrText>
          </w:r>
          <w:r>
            <w:rPr>
              <w:color w:val="auto"/>
              <w:sz w:val="24"/>
              <w:szCs w:val="24"/>
            </w:rPr>
            <w:fldChar w:fldCharType="separate"/>
          </w:r>
          <w:r>
            <w:rPr>
              <w:color w:val="auto"/>
              <w:sz w:val="24"/>
              <w:szCs w:val="24"/>
            </w:rPr>
            <w:t>6</w:t>
          </w:r>
          <w:r>
            <w:rPr>
              <w:color w:val="auto"/>
              <w:sz w:val="24"/>
              <w:szCs w:val="24"/>
            </w:rPr>
            <w:fldChar w:fldCharType="end"/>
          </w:r>
          <w:r>
            <w:rPr>
              <w:color w:val="auto"/>
              <w:sz w:val="24"/>
              <w:szCs w:val="24"/>
            </w:rPr>
            <w:fldChar w:fldCharType="end"/>
          </w:r>
        </w:p>
        <w:p w14:paraId="349DBC59">
          <w:pPr>
            <w:pStyle w:val="28"/>
            <w:tabs>
              <w:tab w:val="right" w:leader="dot" w:pos="8820"/>
            </w:tabs>
            <w:spacing w:line="480" w:lineRule="auto"/>
            <w:rPr>
              <w:color w:val="auto"/>
              <w:sz w:val="24"/>
              <w:szCs w:val="24"/>
            </w:rPr>
          </w:pPr>
          <w:r>
            <w:rPr>
              <w:color w:val="auto"/>
            </w:rPr>
            <w:fldChar w:fldCharType="begin"/>
          </w:r>
          <w:r>
            <w:rPr>
              <w:color w:val="auto"/>
            </w:rPr>
            <w:instrText xml:space="preserve"> HYPERLINK \l "_Toc18269" </w:instrText>
          </w:r>
          <w:r>
            <w:rPr>
              <w:color w:val="auto"/>
            </w:rPr>
            <w:fldChar w:fldCharType="separate"/>
          </w:r>
          <w:r>
            <w:rPr>
              <w:rFonts w:hint="eastAsia" w:ascii="Times New Roman" w:hAnsi="Times New Roman" w:eastAsia="宋体" w:cs="Times New Roman"/>
              <w:color w:val="auto"/>
              <w:sz w:val="24"/>
              <w:szCs w:val="24"/>
            </w:rPr>
            <w:t xml:space="preserve">第四章 </w:t>
          </w:r>
          <w:r>
            <w:rPr>
              <w:rFonts w:ascii="Times New Roman" w:hAnsi="Times New Roman" w:eastAsia="宋体" w:cs="Times New Roman"/>
              <w:color w:val="auto"/>
              <w:sz w:val="24"/>
              <w:szCs w:val="24"/>
            </w:rPr>
            <w:t>合同内容</w:t>
          </w:r>
          <w:r>
            <w:rPr>
              <w:color w:val="auto"/>
              <w:sz w:val="24"/>
              <w:szCs w:val="24"/>
            </w:rPr>
            <w:tab/>
          </w:r>
          <w:r>
            <w:rPr>
              <w:color w:val="auto"/>
              <w:sz w:val="24"/>
              <w:szCs w:val="24"/>
            </w:rPr>
            <w:fldChar w:fldCharType="begin"/>
          </w:r>
          <w:r>
            <w:rPr>
              <w:color w:val="auto"/>
              <w:sz w:val="24"/>
              <w:szCs w:val="24"/>
            </w:rPr>
            <w:instrText xml:space="preserve"> PAGEREF _Toc18269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14:paraId="5E33D8C1">
          <w:pPr>
            <w:pStyle w:val="28"/>
            <w:tabs>
              <w:tab w:val="right" w:leader="dot" w:pos="8820"/>
            </w:tabs>
            <w:spacing w:line="480" w:lineRule="auto"/>
            <w:rPr>
              <w:color w:val="auto"/>
              <w:sz w:val="24"/>
              <w:szCs w:val="24"/>
            </w:rPr>
          </w:pPr>
          <w:r>
            <w:rPr>
              <w:color w:val="auto"/>
            </w:rPr>
            <w:fldChar w:fldCharType="begin"/>
          </w:r>
          <w:r>
            <w:rPr>
              <w:color w:val="auto"/>
            </w:rPr>
            <w:instrText xml:space="preserve"> HYPERLINK \l "_Toc11439" </w:instrText>
          </w:r>
          <w:r>
            <w:rPr>
              <w:color w:val="auto"/>
            </w:rPr>
            <w:fldChar w:fldCharType="separate"/>
          </w:r>
          <w:r>
            <w:rPr>
              <w:rFonts w:hint="eastAsia" w:ascii="Times New Roman" w:hAnsi="Times New Roman" w:eastAsia="宋体" w:cs="Times New Roman"/>
              <w:color w:val="auto"/>
              <w:sz w:val="24"/>
              <w:szCs w:val="24"/>
            </w:rPr>
            <w:t xml:space="preserve">第五章 </w:t>
          </w:r>
          <w:r>
            <w:rPr>
              <w:rFonts w:ascii="Times New Roman" w:hAnsi="Times New Roman" w:eastAsia="宋体" w:cs="Times New Roman"/>
              <w:color w:val="auto"/>
              <w:sz w:val="24"/>
              <w:szCs w:val="24"/>
            </w:rPr>
            <w:t>采购</w:t>
          </w:r>
          <w:r>
            <w:rPr>
              <w:rFonts w:hint="eastAsia" w:ascii="Times New Roman" w:hAnsi="Times New Roman" w:eastAsia="宋体" w:cs="Times New Roman"/>
              <w:color w:val="auto"/>
              <w:sz w:val="24"/>
              <w:szCs w:val="24"/>
            </w:rPr>
            <w:t>需求及</w:t>
          </w:r>
          <w:r>
            <w:rPr>
              <w:rFonts w:ascii="Times New Roman" w:hAnsi="Times New Roman" w:eastAsia="宋体" w:cs="Times New Roman"/>
              <w:color w:val="auto"/>
              <w:sz w:val="24"/>
              <w:szCs w:val="24"/>
            </w:rPr>
            <w:t>清单</w:t>
          </w:r>
          <w:r>
            <w:rPr>
              <w:color w:val="auto"/>
              <w:sz w:val="24"/>
              <w:szCs w:val="24"/>
            </w:rPr>
            <w:tab/>
          </w:r>
          <w:r>
            <w:rPr>
              <w:rFonts w:hint="eastAsia"/>
              <w:color w:val="auto"/>
              <w:sz w:val="24"/>
              <w:szCs w:val="24"/>
            </w:rPr>
            <w:t>2</w:t>
          </w:r>
          <w:r>
            <w:rPr>
              <w:rFonts w:hint="eastAsia"/>
              <w:color w:val="auto"/>
              <w:sz w:val="24"/>
              <w:szCs w:val="24"/>
            </w:rPr>
            <w:fldChar w:fldCharType="end"/>
          </w:r>
          <w:r>
            <w:rPr>
              <w:rFonts w:hint="eastAsia"/>
              <w:color w:val="auto"/>
              <w:sz w:val="24"/>
              <w:szCs w:val="24"/>
            </w:rPr>
            <w:t>5</w:t>
          </w:r>
        </w:p>
        <w:p w14:paraId="470EF008">
          <w:pPr>
            <w:pStyle w:val="28"/>
            <w:tabs>
              <w:tab w:val="right" w:leader="dot" w:pos="8820"/>
            </w:tabs>
            <w:spacing w:line="480" w:lineRule="auto"/>
            <w:rPr>
              <w:color w:val="auto"/>
              <w:sz w:val="24"/>
              <w:szCs w:val="24"/>
            </w:rPr>
          </w:pPr>
          <w:r>
            <w:rPr>
              <w:color w:val="auto"/>
            </w:rPr>
            <w:fldChar w:fldCharType="begin"/>
          </w:r>
          <w:r>
            <w:rPr>
              <w:color w:val="auto"/>
            </w:rPr>
            <w:instrText xml:space="preserve"> HYPERLINK \l "_Toc267" </w:instrText>
          </w:r>
          <w:r>
            <w:rPr>
              <w:color w:val="auto"/>
            </w:rPr>
            <w:fldChar w:fldCharType="separate"/>
          </w:r>
          <w:r>
            <w:rPr>
              <w:rFonts w:hint="eastAsia" w:ascii="Times New Roman" w:hAnsi="Times New Roman" w:eastAsia="宋体" w:cs="Times New Roman"/>
              <w:color w:val="auto"/>
              <w:sz w:val="24"/>
              <w:szCs w:val="24"/>
            </w:rPr>
            <w:t xml:space="preserve">第六章 </w:t>
          </w:r>
          <w:r>
            <w:rPr>
              <w:rFonts w:ascii="Times New Roman" w:hAnsi="Times New Roman" w:eastAsia="宋体" w:cs="Times New Roman"/>
              <w:color w:val="auto"/>
              <w:sz w:val="24"/>
              <w:szCs w:val="24"/>
            </w:rPr>
            <w:t>响应文件格式</w:t>
          </w:r>
          <w:r>
            <w:rPr>
              <w:color w:val="auto"/>
              <w:sz w:val="24"/>
              <w:szCs w:val="24"/>
            </w:rPr>
            <w:tab/>
          </w:r>
          <w:r>
            <w:rPr>
              <w:color w:val="auto"/>
              <w:sz w:val="24"/>
              <w:szCs w:val="24"/>
            </w:rPr>
            <w:fldChar w:fldCharType="begin"/>
          </w:r>
          <w:r>
            <w:rPr>
              <w:color w:val="auto"/>
              <w:sz w:val="24"/>
              <w:szCs w:val="24"/>
            </w:rPr>
            <w:instrText xml:space="preserve"> PAGEREF _Toc267 \h </w:instrText>
          </w:r>
          <w:r>
            <w:rPr>
              <w:color w:val="auto"/>
              <w:sz w:val="24"/>
              <w:szCs w:val="24"/>
            </w:rPr>
            <w:fldChar w:fldCharType="separate"/>
          </w:r>
          <w:r>
            <w:rPr>
              <w:color w:val="auto"/>
              <w:sz w:val="24"/>
              <w:szCs w:val="24"/>
            </w:rPr>
            <w:t>32</w:t>
          </w:r>
          <w:r>
            <w:rPr>
              <w:color w:val="auto"/>
              <w:sz w:val="24"/>
              <w:szCs w:val="24"/>
            </w:rPr>
            <w:fldChar w:fldCharType="end"/>
          </w:r>
          <w:r>
            <w:rPr>
              <w:color w:val="auto"/>
              <w:sz w:val="24"/>
              <w:szCs w:val="24"/>
            </w:rPr>
            <w:fldChar w:fldCharType="end"/>
          </w:r>
        </w:p>
        <w:p w14:paraId="0D8F9B0A">
          <w:pPr>
            <w:pStyle w:val="28"/>
            <w:tabs>
              <w:tab w:val="right" w:leader="dot" w:pos="8820"/>
            </w:tabs>
            <w:spacing w:line="480" w:lineRule="auto"/>
            <w:rPr>
              <w:color w:val="auto"/>
              <w:sz w:val="24"/>
              <w:szCs w:val="24"/>
            </w:rPr>
          </w:pPr>
        </w:p>
        <w:p w14:paraId="5324108A">
          <w:pPr>
            <w:spacing w:line="480" w:lineRule="auto"/>
            <w:rPr>
              <w:color w:val="auto"/>
            </w:rPr>
          </w:pPr>
          <w:r>
            <w:rPr>
              <w:color w:val="auto"/>
              <w:sz w:val="28"/>
              <w:szCs w:val="36"/>
            </w:rPr>
            <w:fldChar w:fldCharType="end"/>
          </w:r>
        </w:p>
      </w:sdtContent>
    </w:sdt>
    <w:p w14:paraId="72822F8A">
      <w:pPr>
        <w:rPr>
          <w:color w:val="auto"/>
        </w:rPr>
      </w:pPr>
    </w:p>
    <w:p w14:paraId="1E368212">
      <w:pPr>
        <w:rPr>
          <w:color w:val="auto"/>
        </w:rPr>
      </w:pPr>
    </w:p>
    <w:p w14:paraId="36BAA9AA">
      <w:pPr>
        <w:rPr>
          <w:color w:val="auto"/>
        </w:rPr>
      </w:pPr>
    </w:p>
    <w:p w14:paraId="42221C78">
      <w:pPr>
        <w:rPr>
          <w:color w:val="auto"/>
        </w:rPr>
      </w:pPr>
    </w:p>
    <w:p w14:paraId="67CFF3E3">
      <w:pPr>
        <w:rPr>
          <w:color w:val="auto"/>
        </w:rPr>
      </w:pPr>
    </w:p>
    <w:p w14:paraId="578A2522">
      <w:pPr>
        <w:rPr>
          <w:color w:val="auto"/>
        </w:rPr>
      </w:pPr>
    </w:p>
    <w:p w14:paraId="6552F6AE">
      <w:pPr>
        <w:rPr>
          <w:color w:val="auto"/>
        </w:rPr>
      </w:pPr>
    </w:p>
    <w:p w14:paraId="5C1B3DD5">
      <w:pPr>
        <w:rPr>
          <w:color w:val="auto"/>
        </w:rPr>
      </w:pPr>
    </w:p>
    <w:p w14:paraId="1F634164">
      <w:pPr>
        <w:rPr>
          <w:color w:val="auto"/>
        </w:rPr>
      </w:pPr>
    </w:p>
    <w:p w14:paraId="1A719520">
      <w:pPr>
        <w:rPr>
          <w:color w:val="auto"/>
        </w:rPr>
      </w:pPr>
    </w:p>
    <w:p w14:paraId="26217FB6">
      <w:pPr>
        <w:rPr>
          <w:color w:val="auto"/>
        </w:rPr>
      </w:pPr>
    </w:p>
    <w:p w14:paraId="143AF53D">
      <w:pPr>
        <w:rPr>
          <w:color w:val="auto"/>
        </w:rPr>
      </w:pPr>
    </w:p>
    <w:p w14:paraId="6AC0A3F6">
      <w:pPr>
        <w:rPr>
          <w:color w:val="auto"/>
        </w:rPr>
      </w:pPr>
    </w:p>
    <w:p w14:paraId="670A1C2E">
      <w:pPr>
        <w:rPr>
          <w:color w:val="auto"/>
        </w:rPr>
      </w:pPr>
    </w:p>
    <w:p w14:paraId="40C0F267">
      <w:pPr>
        <w:rPr>
          <w:color w:val="auto"/>
        </w:rPr>
      </w:pPr>
    </w:p>
    <w:p w14:paraId="2454AA69">
      <w:pPr>
        <w:rPr>
          <w:color w:val="auto"/>
        </w:rPr>
      </w:pPr>
    </w:p>
    <w:p w14:paraId="7C97A7D2">
      <w:pPr>
        <w:rPr>
          <w:color w:val="auto"/>
        </w:rPr>
      </w:pPr>
    </w:p>
    <w:p w14:paraId="092021F6">
      <w:pPr>
        <w:rPr>
          <w:color w:val="auto"/>
        </w:rPr>
      </w:pPr>
    </w:p>
    <w:p w14:paraId="403205B8">
      <w:pPr>
        <w:rPr>
          <w:color w:val="auto"/>
        </w:rPr>
      </w:pPr>
    </w:p>
    <w:p w14:paraId="161A7567">
      <w:pPr>
        <w:rPr>
          <w:color w:val="auto"/>
        </w:rPr>
      </w:pPr>
    </w:p>
    <w:p w14:paraId="33E30E20">
      <w:pPr>
        <w:rPr>
          <w:color w:val="auto"/>
        </w:rPr>
      </w:pPr>
    </w:p>
    <w:p w14:paraId="0762BBE3">
      <w:pPr>
        <w:rPr>
          <w:color w:val="auto"/>
        </w:rPr>
      </w:pPr>
    </w:p>
    <w:p w14:paraId="6829B8BA">
      <w:pPr>
        <w:rPr>
          <w:color w:val="auto"/>
        </w:rPr>
      </w:pPr>
    </w:p>
    <w:p w14:paraId="2E1D6D65">
      <w:pPr>
        <w:rPr>
          <w:color w:val="auto"/>
        </w:rPr>
      </w:pPr>
    </w:p>
    <w:p w14:paraId="7447707E">
      <w:pPr>
        <w:rPr>
          <w:color w:val="auto"/>
        </w:rPr>
      </w:pPr>
    </w:p>
    <w:p w14:paraId="7DB8F46C">
      <w:pPr>
        <w:rPr>
          <w:color w:val="auto"/>
        </w:rPr>
      </w:pPr>
    </w:p>
    <w:p w14:paraId="500D0209">
      <w:pPr>
        <w:pStyle w:val="4"/>
        <w:spacing w:before="312" w:after="312"/>
        <w:rPr>
          <w:rFonts w:ascii="Times New Roman" w:hAnsi="Times New Roman" w:eastAsia="宋体" w:cs="Times New Roman"/>
          <w:color w:val="auto"/>
        </w:rPr>
        <w:sectPr>
          <w:pgSz w:w="11906" w:h="16838"/>
          <w:pgMar w:top="1440" w:right="1786" w:bottom="1440" w:left="1300" w:header="851" w:footer="992" w:gutter="0"/>
          <w:cols w:space="720" w:num="1"/>
          <w:docGrid w:type="lines" w:linePitch="312" w:charSpace="0"/>
        </w:sectPr>
      </w:pPr>
      <w:bookmarkStart w:id="0" w:name="_Toc27153"/>
    </w:p>
    <w:p w14:paraId="279AAD42">
      <w:pPr>
        <w:pStyle w:val="4"/>
        <w:spacing w:before="312" w:after="312"/>
        <w:rPr>
          <w:rFonts w:ascii="Times New Roman" w:hAnsi="Times New Roman" w:eastAsia="宋体" w:cs="Times New Roman"/>
          <w:color w:val="auto"/>
        </w:rPr>
      </w:pPr>
      <w:r>
        <w:rPr>
          <w:rFonts w:hint="eastAsia" w:ascii="Times New Roman" w:hAnsi="Times New Roman" w:eastAsia="宋体" w:cs="Times New Roman"/>
          <w:color w:val="auto"/>
        </w:rPr>
        <w:t>询比</w:t>
      </w:r>
      <w:r>
        <w:rPr>
          <w:rFonts w:ascii="Times New Roman" w:hAnsi="Times New Roman" w:eastAsia="宋体" w:cs="Times New Roman"/>
          <w:color w:val="auto"/>
        </w:rPr>
        <w:t>采购公告</w:t>
      </w:r>
      <w:bookmarkEnd w:id="0"/>
    </w:p>
    <w:p w14:paraId="7D0B4E8F">
      <w:pPr>
        <w:pStyle w:val="5"/>
        <w:numPr>
          <w:ilvl w:val="0"/>
          <w:numId w:val="0"/>
        </w:numPr>
        <w:snapToGrid w:val="0"/>
        <w:spacing w:before="120" w:after="120" w:line="240" w:lineRule="auto"/>
        <w:ind w:left="17" w:firstLine="403"/>
        <w:rPr>
          <w:rFonts w:ascii="Times New Roman" w:hAnsi="Times New Roman" w:eastAsia="黑体" w:cs="Times New Roman"/>
          <w:bCs w:val="0"/>
          <w:color w:val="auto"/>
          <w:sz w:val="22"/>
          <w:szCs w:val="15"/>
        </w:rPr>
      </w:pPr>
      <w:bookmarkStart w:id="1" w:name="_Toc10395_WPSOffice_Level2"/>
      <w:bookmarkStart w:id="2" w:name="_Toc12765"/>
      <w:bookmarkStart w:id="3" w:name="_Toc4489_WPSOffice_Level2"/>
      <w:bookmarkStart w:id="4" w:name="_Toc24354_WPSOffice_Level2"/>
      <w:bookmarkStart w:id="5" w:name="_Toc13871"/>
      <w:bookmarkStart w:id="6" w:name="_Toc6496_WPSOffice_Level2"/>
      <w:bookmarkStart w:id="7" w:name="_Toc525632585"/>
      <w:r>
        <w:rPr>
          <w:rFonts w:ascii="Times New Roman" w:hAnsi="Times New Roman" w:eastAsia="黑体" w:cs="Times New Roman"/>
          <w:bCs w:val="0"/>
          <w:color w:val="auto"/>
          <w:sz w:val="22"/>
          <w:szCs w:val="15"/>
        </w:rPr>
        <w:t>1．项目简介</w:t>
      </w:r>
      <w:bookmarkEnd w:id="1"/>
      <w:bookmarkEnd w:id="2"/>
      <w:bookmarkEnd w:id="3"/>
      <w:bookmarkEnd w:id="4"/>
      <w:bookmarkEnd w:id="5"/>
      <w:bookmarkEnd w:id="6"/>
      <w:bookmarkEnd w:id="7"/>
    </w:p>
    <w:p w14:paraId="43BB2286">
      <w:pPr>
        <w:numPr>
          <w:ilvl w:val="1"/>
          <w:numId w:val="5"/>
        </w:numPr>
        <w:snapToGrid w:val="0"/>
        <w:spacing w:line="440" w:lineRule="exact"/>
        <w:ind w:firstLine="420" w:firstLineChars="200"/>
        <w:rPr>
          <w:rFonts w:asciiTheme="minorEastAsia" w:hAnsiTheme="minorEastAsia" w:cstheme="minorEastAsia"/>
          <w:color w:val="auto"/>
          <w:szCs w:val="21"/>
        </w:rPr>
      </w:pPr>
      <w:bookmarkStart w:id="8" w:name="_Toc18367_WPSOffice_Level2"/>
      <w:bookmarkStart w:id="9" w:name="_Toc525632586"/>
      <w:bookmarkStart w:id="10" w:name="_Toc23266_WPSOffice_Level2"/>
      <w:bookmarkStart w:id="11" w:name="_Toc18453"/>
      <w:bookmarkStart w:id="12" w:name="_Toc8128_WPSOffice_Level2"/>
      <w:bookmarkStart w:id="13" w:name="_Toc17858_WPSOffice_Level2"/>
      <w:bookmarkStart w:id="14" w:name="_Toc10274"/>
      <w:r>
        <w:rPr>
          <w:rFonts w:hint="eastAsia" w:asciiTheme="minorEastAsia" w:hAnsiTheme="minorEastAsia" w:cstheme="minorEastAsia"/>
          <w:color w:val="auto"/>
          <w:szCs w:val="21"/>
        </w:rPr>
        <w:t>项目名称：2025~2027年度工地试验室试验仪器设备检定/校准服务量值溯源机构定点库采购</w:t>
      </w:r>
    </w:p>
    <w:p w14:paraId="485FDD56">
      <w:pPr>
        <w:snapToGrid w:val="0"/>
        <w:spacing w:line="440" w:lineRule="exact"/>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1.2 采 购 人：安徽省高速公路试验检测科研中心有限公司（以下简称“高速检测”）</w:t>
      </w:r>
    </w:p>
    <w:p w14:paraId="18B3D873">
      <w:pPr>
        <w:snapToGrid w:val="0"/>
        <w:spacing w:line="44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1.3 项目概况：高速检测工地试验室试验仪器设备检定/校准服务量值溯源服务，服务期为</w:t>
      </w:r>
      <w:r>
        <w:rPr>
          <w:rFonts w:hint="eastAsia" w:asciiTheme="minorEastAsia" w:hAnsiTheme="minorEastAsia" w:cstheme="minorEastAsia"/>
          <w:color w:val="auto"/>
          <w:szCs w:val="21"/>
          <w:lang w:val="en-US" w:eastAsia="zh-CN"/>
        </w:rPr>
        <w:t>3</w:t>
      </w:r>
      <w:r>
        <w:rPr>
          <w:rFonts w:hint="eastAsia" w:asciiTheme="minorEastAsia" w:hAnsiTheme="minorEastAsia" w:cstheme="minorEastAsia"/>
          <w:color w:val="auto"/>
          <w:szCs w:val="21"/>
        </w:rPr>
        <w:t>年。</w:t>
      </w:r>
    </w:p>
    <w:p w14:paraId="12F03337">
      <w:pPr>
        <w:pStyle w:val="5"/>
        <w:numPr>
          <w:ilvl w:val="0"/>
          <w:numId w:val="0"/>
        </w:numPr>
        <w:snapToGrid w:val="0"/>
        <w:spacing w:before="120" w:after="120" w:line="240" w:lineRule="auto"/>
        <w:ind w:left="17" w:firstLine="403"/>
        <w:rPr>
          <w:rFonts w:asciiTheme="minorEastAsia" w:hAnsiTheme="minorEastAsia" w:cstheme="minorEastAsia"/>
          <w:bCs w:val="0"/>
          <w:color w:val="auto"/>
          <w:sz w:val="21"/>
          <w:szCs w:val="21"/>
        </w:rPr>
      </w:pPr>
      <w:r>
        <w:rPr>
          <w:rFonts w:hint="eastAsia" w:asciiTheme="minorEastAsia" w:hAnsiTheme="minorEastAsia" w:cstheme="minorEastAsia"/>
          <w:bCs w:val="0"/>
          <w:color w:val="auto"/>
          <w:sz w:val="21"/>
          <w:szCs w:val="21"/>
        </w:rPr>
        <w:t>2．采购说明</w:t>
      </w:r>
      <w:bookmarkEnd w:id="8"/>
      <w:bookmarkEnd w:id="9"/>
      <w:bookmarkEnd w:id="10"/>
      <w:bookmarkEnd w:id="11"/>
      <w:bookmarkEnd w:id="12"/>
      <w:bookmarkEnd w:id="13"/>
      <w:bookmarkEnd w:id="14"/>
    </w:p>
    <w:p w14:paraId="4EE40D97">
      <w:pPr>
        <w:snapToGrid w:val="0"/>
        <w:spacing w:line="440" w:lineRule="exact"/>
        <w:ind w:firstLine="420" w:firstLineChars="200"/>
        <w:rPr>
          <w:rFonts w:asciiTheme="minorEastAsia" w:hAnsiTheme="minorEastAsia" w:cstheme="minorEastAsia"/>
          <w:color w:val="auto"/>
          <w:szCs w:val="21"/>
        </w:rPr>
      </w:pPr>
      <w:bookmarkStart w:id="15" w:name="_Toc4489_WPSOffice_Level3"/>
      <w:r>
        <w:rPr>
          <w:rFonts w:hint="eastAsia" w:asciiTheme="minorEastAsia" w:hAnsiTheme="minorEastAsia" w:cstheme="minorEastAsia"/>
          <w:color w:val="auto"/>
          <w:szCs w:val="21"/>
        </w:rPr>
        <w:t>2.1 采购方式：</w:t>
      </w:r>
      <w:bookmarkEnd w:id="15"/>
      <w:r>
        <w:rPr>
          <w:rFonts w:hint="eastAsia" w:asciiTheme="minorEastAsia" w:hAnsiTheme="minorEastAsia" w:cstheme="minorEastAsia"/>
          <w:color w:val="auto"/>
          <w:szCs w:val="21"/>
        </w:rPr>
        <w:t>询比采购</w:t>
      </w:r>
    </w:p>
    <w:p w14:paraId="2D329300">
      <w:pPr>
        <w:snapToGrid w:val="0"/>
        <w:spacing w:line="440" w:lineRule="exact"/>
        <w:ind w:firstLine="420" w:firstLineChars="200"/>
        <w:rPr>
          <w:rFonts w:asciiTheme="minorEastAsia" w:hAnsiTheme="minorEastAsia" w:cstheme="minorEastAsia"/>
          <w:color w:val="auto"/>
          <w:szCs w:val="21"/>
        </w:rPr>
      </w:pPr>
      <w:bookmarkStart w:id="16" w:name="_Toc23266_WPSOffice_Level3"/>
      <w:r>
        <w:rPr>
          <w:rFonts w:hint="eastAsia" w:asciiTheme="minorEastAsia" w:hAnsiTheme="minorEastAsia" w:cstheme="minorEastAsia"/>
          <w:color w:val="auto"/>
          <w:szCs w:val="21"/>
        </w:rPr>
        <w:t>2.2 资金来源及比例：</w:t>
      </w:r>
      <w:bookmarkEnd w:id="16"/>
      <w:bookmarkStart w:id="17" w:name="_Toc22379_WPSOffice_Level3"/>
      <w:r>
        <w:rPr>
          <w:rFonts w:hint="eastAsia" w:asciiTheme="minorEastAsia" w:hAnsiTheme="minorEastAsia" w:cstheme="minorEastAsia"/>
          <w:color w:val="auto"/>
          <w:szCs w:val="21"/>
        </w:rPr>
        <w:t>100%来自企业自筹。</w:t>
      </w:r>
    </w:p>
    <w:p w14:paraId="3F2A5993">
      <w:pPr>
        <w:snapToGrid w:val="0"/>
        <w:spacing w:line="44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2.3 采购范围：高速检测工地试验室试验仪器设备检定/校准服务量值溯源服务</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lang w:val="en-US" w:eastAsia="zh-CN"/>
        </w:rPr>
        <w:t>项目概算为48万元</w:t>
      </w:r>
      <w:r>
        <w:rPr>
          <w:rFonts w:hint="eastAsia" w:asciiTheme="minorEastAsia" w:hAnsiTheme="minorEastAsia" w:cstheme="minorEastAsia"/>
          <w:color w:val="auto"/>
          <w:szCs w:val="21"/>
        </w:rPr>
        <w:t>。</w:t>
      </w:r>
    </w:p>
    <w:p w14:paraId="175CBBDA">
      <w:pPr>
        <w:snapToGrid w:val="0"/>
        <w:spacing w:line="440" w:lineRule="exact"/>
        <w:ind w:firstLine="420" w:firstLineChars="200"/>
        <w:outlineLvl w:val="2"/>
        <w:rPr>
          <w:rFonts w:asciiTheme="minorEastAsia" w:hAnsiTheme="minorEastAsia" w:cstheme="minorEastAsia"/>
          <w:color w:val="auto"/>
          <w:szCs w:val="21"/>
        </w:rPr>
      </w:pPr>
      <w:r>
        <w:rPr>
          <w:rFonts w:hint="eastAsia" w:asciiTheme="minorEastAsia" w:hAnsiTheme="minorEastAsia" w:cstheme="minorEastAsia"/>
          <w:color w:val="auto"/>
          <w:szCs w:val="21"/>
        </w:rPr>
        <w:t>2.4 合同包划分：1个合同包</w:t>
      </w:r>
    </w:p>
    <w:p w14:paraId="72E71E16">
      <w:pPr>
        <w:snapToGrid w:val="0"/>
        <w:spacing w:line="440" w:lineRule="exact"/>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rPr>
        <w:t>2.5 最高限</w:t>
      </w:r>
      <w:r>
        <w:rPr>
          <w:rFonts w:hint="eastAsia" w:asciiTheme="minorEastAsia" w:hAnsiTheme="minorEastAsia" w:cstheme="minorEastAsia"/>
          <w:color w:val="auto"/>
          <w:szCs w:val="21"/>
          <w:highlight w:val="none"/>
        </w:rPr>
        <w:t>价：</w:t>
      </w:r>
      <w:bookmarkEnd w:id="17"/>
      <w:r>
        <w:rPr>
          <w:rFonts w:hint="eastAsia" w:asciiTheme="minorEastAsia" w:hAnsiTheme="minorEastAsia" w:cstheme="minorEastAsia"/>
          <w:color w:val="auto"/>
          <w:szCs w:val="21"/>
          <w:highlight w:val="none"/>
        </w:rPr>
        <w:t>本项目最高限价为100%，本次报价为费率报价，各</w:t>
      </w:r>
      <w:r>
        <w:rPr>
          <w:rFonts w:hint="eastAsia" w:asciiTheme="minorEastAsia" w:hAnsiTheme="minorEastAsia" w:cstheme="minorEastAsia"/>
          <w:color w:val="auto"/>
          <w:szCs w:val="21"/>
          <w:highlight w:val="none"/>
          <w:lang w:val="en-US" w:eastAsia="zh-CN"/>
        </w:rPr>
        <w:t>分</w:t>
      </w:r>
      <w:r>
        <w:rPr>
          <w:rFonts w:hint="eastAsia" w:asciiTheme="minorEastAsia" w:hAnsiTheme="minorEastAsia" w:cstheme="minorEastAsia"/>
          <w:color w:val="auto"/>
          <w:szCs w:val="21"/>
          <w:highlight w:val="none"/>
        </w:rPr>
        <w:t>项报价</w:t>
      </w:r>
      <w:r>
        <w:rPr>
          <w:rFonts w:hint="eastAsia" w:asciiTheme="minorEastAsia" w:hAnsiTheme="minorEastAsia" w:cstheme="minorEastAsia"/>
          <w:color w:val="auto"/>
          <w:szCs w:val="21"/>
          <w:highlight w:val="none"/>
          <w:lang w:val="en-US" w:eastAsia="zh-CN"/>
        </w:rPr>
        <w:t>统一</w:t>
      </w:r>
      <w:r>
        <w:rPr>
          <w:rFonts w:hint="eastAsia" w:asciiTheme="minorEastAsia" w:hAnsiTheme="minorEastAsia" w:cstheme="minorEastAsia"/>
          <w:color w:val="auto"/>
          <w:szCs w:val="21"/>
          <w:highlight w:val="none"/>
        </w:rPr>
        <w:t>费率，保留小数点后一位。</w:t>
      </w:r>
    </w:p>
    <w:p w14:paraId="0CC1D084">
      <w:pPr>
        <w:snapToGrid w:val="0"/>
        <w:spacing w:line="440" w:lineRule="exact"/>
        <w:ind w:firstLine="420" w:firstLineChars="200"/>
        <w:outlineLvl w:val="2"/>
        <w:rPr>
          <w:rFonts w:asciiTheme="minorEastAsia" w:hAnsiTheme="minorEastAsia" w:cstheme="minorEastAsia"/>
          <w:color w:val="auto"/>
          <w:szCs w:val="21"/>
        </w:rPr>
      </w:pPr>
      <w:r>
        <w:rPr>
          <w:rFonts w:hint="eastAsia" w:asciiTheme="minorEastAsia" w:hAnsiTheme="minorEastAsia" w:cstheme="minorEastAsia"/>
          <w:color w:val="auto"/>
          <w:szCs w:val="21"/>
        </w:rPr>
        <w:t>2.6 计划工期：</w:t>
      </w:r>
      <w:r>
        <w:rPr>
          <w:rFonts w:hint="eastAsia" w:asciiTheme="minorEastAsia" w:hAnsiTheme="minorEastAsia" w:cstheme="minorEastAsia"/>
          <w:color w:val="auto"/>
          <w:szCs w:val="21"/>
          <w:lang w:val="en-US" w:eastAsia="zh-CN"/>
        </w:rPr>
        <w:t>合同签订</w:t>
      </w:r>
      <w:r>
        <w:rPr>
          <w:rFonts w:hint="eastAsia" w:asciiTheme="minorEastAsia" w:hAnsiTheme="minorEastAsia" w:cstheme="minorEastAsia"/>
          <w:color w:val="auto"/>
          <w:szCs w:val="21"/>
        </w:rPr>
        <w:t>至2027年12月31日</w:t>
      </w:r>
    </w:p>
    <w:p w14:paraId="202545F8">
      <w:pPr>
        <w:snapToGrid w:val="0"/>
        <w:spacing w:line="440" w:lineRule="exact"/>
        <w:ind w:firstLine="420" w:firstLineChars="200"/>
        <w:outlineLvl w:val="2"/>
        <w:rPr>
          <w:rFonts w:asciiTheme="minorEastAsia" w:hAnsiTheme="minorEastAsia" w:cstheme="minorEastAsia"/>
          <w:color w:val="auto"/>
          <w:szCs w:val="21"/>
        </w:rPr>
      </w:pPr>
      <w:r>
        <w:rPr>
          <w:rFonts w:hint="eastAsia" w:asciiTheme="minorEastAsia" w:hAnsiTheme="minorEastAsia" w:cstheme="minorEastAsia"/>
          <w:color w:val="auto"/>
          <w:szCs w:val="21"/>
        </w:rPr>
        <w:t>2.7 入围原则：选取2家供应商入围。</w:t>
      </w:r>
    </w:p>
    <w:p w14:paraId="33E28FC5">
      <w:pPr>
        <w:pStyle w:val="5"/>
        <w:numPr>
          <w:ilvl w:val="0"/>
          <w:numId w:val="0"/>
        </w:numPr>
        <w:snapToGrid w:val="0"/>
        <w:spacing w:before="120" w:after="120" w:line="240" w:lineRule="auto"/>
        <w:ind w:left="17" w:firstLine="403"/>
        <w:rPr>
          <w:rFonts w:ascii="Times New Roman" w:hAnsi="Times New Roman" w:eastAsia="黑体" w:cs="Times New Roman"/>
          <w:bCs w:val="0"/>
          <w:color w:val="auto"/>
          <w:sz w:val="22"/>
          <w:szCs w:val="15"/>
        </w:rPr>
      </w:pPr>
      <w:bookmarkStart w:id="18" w:name="_Toc525632587"/>
      <w:bookmarkStart w:id="19" w:name="_Toc31673_WPSOffice_Level2"/>
      <w:bookmarkStart w:id="20" w:name="_Toc6388"/>
      <w:bookmarkStart w:id="21" w:name="_Toc22379_WPSOffice_Level2"/>
      <w:bookmarkStart w:id="22" w:name="_Toc3714"/>
      <w:bookmarkStart w:id="23" w:name="_Toc29516_WPSOffice_Level2"/>
      <w:bookmarkStart w:id="24" w:name="_Toc1622_WPSOffice_Level2"/>
      <w:r>
        <w:rPr>
          <w:rFonts w:ascii="Times New Roman" w:hAnsi="Times New Roman" w:eastAsia="黑体" w:cs="Times New Roman"/>
          <w:bCs w:val="0"/>
          <w:color w:val="auto"/>
          <w:sz w:val="22"/>
          <w:szCs w:val="15"/>
        </w:rPr>
        <w:t>3．供应商资格条件</w:t>
      </w:r>
      <w:bookmarkEnd w:id="18"/>
      <w:bookmarkEnd w:id="19"/>
      <w:bookmarkEnd w:id="20"/>
      <w:bookmarkEnd w:id="21"/>
      <w:bookmarkEnd w:id="22"/>
      <w:bookmarkEnd w:id="23"/>
      <w:bookmarkEnd w:id="24"/>
    </w:p>
    <w:p w14:paraId="456F4757">
      <w:pPr>
        <w:snapToGrid w:val="0"/>
        <w:spacing w:line="440" w:lineRule="exact"/>
        <w:ind w:firstLine="420" w:firstLineChars="200"/>
        <w:outlineLvl w:val="2"/>
        <w:rPr>
          <w:rFonts w:asciiTheme="minorEastAsia" w:hAnsiTheme="minorEastAsia" w:cstheme="minorEastAsia"/>
          <w:color w:val="auto"/>
          <w:szCs w:val="21"/>
        </w:rPr>
      </w:pPr>
      <w:r>
        <w:rPr>
          <w:rFonts w:hint="eastAsia" w:asciiTheme="minorEastAsia" w:hAnsiTheme="minorEastAsia" w:cstheme="minorEastAsia"/>
          <w:color w:val="auto"/>
          <w:szCs w:val="21"/>
        </w:rPr>
        <w:t>3.1 本次采购要求供应商须同时具备：</w:t>
      </w:r>
    </w:p>
    <w:p w14:paraId="2CB02A7D">
      <w:pPr>
        <w:snapToGrid w:val="0"/>
        <w:spacing w:line="44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（1）资质要求：</w:t>
      </w:r>
    </w:p>
    <w:p w14:paraId="06058BF0">
      <w:pPr>
        <w:snapToGrid w:val="0"/>
        <w:spacing w:line="440" w:lineRule="exact"/>
        <w:ind w:firstLine="420" w:firstLineChars="200"/>
        <w:rPr>
          <w:rFonts w:asciiTheme="minorEastAsia" w:hAnsiTheme="minorEastAsia" w:cstheme="minorEastAsia"/>
          <w:color w:val="auto"/>
          <w:szCs w:val="21"/>
          <w:highlight w:val="cyan"/>
        </w:rPr>
      </w:pPr>
      <w:r>
        <w:rPr>
          <w:rFonts w:hint="eastAsia" w:asciiTheme="minorEastAsia" w:hAnsiTheme="minorEastAsia" w:cstheme="minorEastAsia"/>
          <w:color w:val="auto"/>
          <w:szCs w:val="21"/>
        </w:rPr>
        <w:t>①响应人须持有有效的营业执照或事业单位法人证书（营业范围或业务范围包含器具的计量校准）；具备中国合格评定国家认可委员会（CNAS）实验室认可证书或法定计量检定机构的计量授权证书</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lang w:val="en-US" w:eastAsia="zh-CN"/>
        </w:rPr>
        <w:t>CMA</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w:t>
      </w:r>
    </w:p>
    <w:p w14:paraId="4E4D630B">
      <w:pPr>
        <w:snapToGrid w:val="0"/>
        <w:spacing w:line="44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（2）业绩要求：</w:t>
      </w:r>
    </w:p>
    <w:p w14:paraId="04445244">
      <w:pPr>
        <w:snapToGrid w:val="0"/>
        <w:spacing w:line="44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近三年内（自2021年</w:t>
      </w:r>
      <w:r>
        <w:rPr>
          <w:rFonts w:hint="eastAsia" w:asciiTheme="minorEastAsia" w:hAnsiTheme="minorEastAsia" w:cstheme="minorEastAsia"/>
          <w:color w:val="auto"/>
          <w:szCs w:val="21"/>
          <w:lang w:val="en-US" w:eastAsia="zh-CN"/>
        </w:rPr>
        <w:t>1</w:t>
      </w:r>
      <w:r>
        <w:rPr>
          <w:rFonts w:hint="eastAsia" w:asciiTheme="minorEastAsia" w:hAnsiTheme="minorEastAsia" w:cstheme="minorEastAsia"/>
          <w:color w:val="auto"/>
          <w:szCs w:val="21"/>
        </w:rPr>
        <w:t>月1日起，以合同签订时间为准），完成过一项合同金额或实际结算金额不少于</w:t>
      </w:r>
      <w:r>
        <w:rPr>
          <w:rFonts w:hint="eastAsia" w:asciiTheme="minorEastAsia" w:hAnsiTheme="minorEastAsia" w:cstheme="minorEastAsia"/>
          <w:color w:val="auto"/>
          <w:szCs w:val="21"/>
          <w:lang w:val="en-US" w:eastAsia="zh-CN"/>
        </w:rPr>
        <w:t>1</w:t>
      </w:r>
      <w:r>
        <w:rPr>
          <w:rFonts w:hint="eastAsia" w:asciiTheme="minorEastAsia" w:hAnsiTheme="minorEastAsia" w:cstheme="minorEastAsia"/>
          <w:color w:val="auto"/>
          <w:szCs w:val="21"/>
        </w:rPr>
        <w:t xml:space="preserve">0万元的检验检测机构设备校准服务；业绩证明材料需提供合同或支付发票，业绩金额、业绩时间以合同或发票开具时间为准。 </w:t>
      </w:r>
    </w:p>
    <w:p w14:paraId="330C57AB">
      <w:pPr>
        <w:numPr>
          <w:ilvl w:val="255"/>
          <w:numId w:val="0"/>
        </w:num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（3）</w:t>
      </w:r>
      <w:r>
        <w:rPr>
          <w:rFonts w:ascii="Times New Roman" w:hAnsi="Times New Roman" w:cs="Times New Roman"/>
          <w:color w:val="auto"/>
          <w:szCs w:val="22"/>
        </w:rPr>
        <w:t>信誉要求最低要求：</w:t>
      </w:r>
    </w:p>
    <w:p w14:paraId="0447222D">
      <w:pPr>
        <w:snapToGrid w:val="0"/>
        <w:spacing w:line="440" w:lineRule="exact"/>
        <w:ind w:firstLine="420" w:firstLineChars="200"/>
        <w:rPr>
          <w:rFonts w:ascii="Times New Roman" w:hAnsi="Times New Roman" w:cs="Times New Roman"/>
          <w:color w:val="auto"/>
          <w:szCs w:val="22"/>
        </w:rPr>
      </w:pPr>
      <w:r>
        <w:rPr>
          <w:rFonts w:hint="eastAsia" w:ascii="宋体" w:hAnsi="宋体" w:eastAsia="宋体" w:cs="宋体"/>
          <w:color w:val="auto"/>
          <w:szCs w:val="22"/>
        </w:rPr>
        <w:t>①</w:t>
      </w:r>
      <w:r>
        <w:rPr>
          <w:rFonts w:hint="eastAsia" w:ascii="Times New Roman" w:hAnsi="Times New Roman" w:cs="Times New Roman"/>
          <w:color w:val="auto"/>
          <w:szCs w:val="22"/>
        </w:rPr>
        <w:t>未被责令停业，暂扣或吊销执照，或吊销资质证书；</w:t>
      </w:r>
    </w:p>
    <w:p w14:paraId="64D5F0F6">
      <w:pPr>
        <w:snapToGrid w:val="0"/>
        <w:spacing w:line="440" w:lineRule="exact"/>
        <w:ind w:firstLine="420" w:firstLineChars="200"/>
        <w:rPr>
          <w:color w:val="auto"/>
        </w:rPr>
      </w:pPr>
      <w:r>
        <w:rPr>
          <w:rFonts w:hint="eastAsia" w:ascii="Times New Roman" w:hAnsi="Times New Roman" w:cs="Times New Roman"/>
          <w:color w:val="auto"/>
          <w:szCs w:val="22"/>
        </w:rPr>
        <w:t>②未进入清算程序，或被宣告破产，或其他丧失履约能力的情形；</w:t>
      </w:r>
    </w:p>
    <w:p w14:paraId="472C042B">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③</w:t>
      </w:r>
      <w:r>
        <w:rPr>
          <w:rFonts w:ascii="Times New Roman" w:hAnsi="Times New Roman" w:cs="Times New Roman"/>
          <w:color w:val="auto"/>
          <w:szCs w:val="22"/>
        </w:rPr>
        <w:t>在国家企业信用信息公示系统（http://www.gsxt.gov.cn）中</w:t>
      </w:r>
      <w:r>
        <w:rPr>
          <w:rFonts w:hint="eastAsia" w:ascii="Times New Roman" w:hAnsi="Times New Roman" w:cs="Times New Roman"/>
          <w:color w:val="auto"/>
          <w:szCs w:val="22"/>
        </w:rPr>
        <w:t>未</w:t>
      </w:r>
      <w:r>
        <w:rPr>
          <w:rFonts w:ascii="Times New Roman" w:hAnsi="Times New Roman" w:cs="Times New Roman"/>
          <w:color w:val="auto"/>
          <w:szCs w:val="22"/>
        </w:rPr>
        <w:t>被列入严重违法失信企业名单；</w:t>
      </w:r>
    </w:p>
    <w:p w14:paraId="178B82EC">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④</w:t>
      </w:r>
      <w:r>
        <w:rPr>
          <w:rFonts w:ascii="Times New Roman" w:hAnsi="Times New Roman" w:cs="Times New Roman"/>
          <w:color w:val="auto"/>
          <w:szCs w:val="22"/>
        </w:rPr>
        <w:t>在</w:t>
      </w:r>
      <w:r>
        <w:rPr>
          <w:rFonts w:hint="eastAsia" w:ascii="Times New Roman" w:hAnsi="Times New Roman" w:cs="Times New Roman"/>
          <w:color w:val="auto"/>
          <w:szCs w:val="22"/>
        </w:rPr>
        <w:t>中国执行信息公开网(http://zxgk.court.gov.cn/index.jsp)</w:t>
      </w:r>
      <w:r>
        <w:rPr>
          <w:rFonts w:ascii="Times New Roman" w:hAnsi="Times New Roman" w:cs="Times New Roman"/>
          <w:color w:val="auto"/>
          <w:szCs w:val="22"/>
        </w:rPr>
        <w:t>中</w:t>
      </w:r>
      <w:r>
        <w:rPr>
          <w:rFonts w:hint="eastAsia" w:ascii="Times New Roman" w:hAnsi="Times New Roman" w:cs="Times New Roman"/>
          <w:color w:val="auto"/>
          <w:szCs w:val="22"/>
        </w:rPr>
        <w:t>未</w:t>
      </w:r>
      <w:r>
        <w:rPr>
          <w:rFonts w:ascii="Times New Roman" w:hAnsi="Times New Roman" w:cs="Times New Roman"/>
          <w:color w:val="auto"/>
          <w:szCs w:val="22"/>
        </w:rPr>
        <w:t>被列入失信被执行人名单；</w:t>
      </w:r>
    </w:p>
    <w:p w14:paraId="28D6D3BA">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⑤</w:t>
      </w:r>
      <w:r>
        <w:rPr>
          <w:rFonts w:ascii="Times New Roman" w:hAnsi="Times New Roman" w:cs="Times New Roman"/>
          <w:color w:val="auto"/>
          <w:szCs w:val="22"/>
        </w:rPr>
        <w:t>在近三年内（自</w:t>
      </w:r>
      <w:r>
        <w:rPr>
          <w:rFonts w:hint="eastAsia" w:ascii="Times New Roman" w:hAnsi="Times New Roman" w:cs="Times New Roman"/>
          <w:color w:val="auto"/>
          <w:szCs w:val="22"/>
        </w:rPr>
        <w:t>响应文件递交截止之日</w:t>
      </w:r>
      <w:r>
        <w:rPr>
          <w:rFonts w:ascii="Times New Roman" w:hAnsi="Times New Roman" w:cs="Times New Roman"/>
          <w:color w:val="auto"/>
          <w:szCs w:val="22"/>
        </w:rPr>
        <w:t>向前追溯3年）供应商或其法定代表人</w:t>
      </w:r>
      <w:r>
        <w:rPr>
          <w:rFonts w:hint="eastAsia" w:ascii="Times New Roman" w:hAnsi="Times New Roman" w:cs="Times New Roman"/>
          <w:color w:val="auto"/>
          <w:szCs w:val="22"/>
        </w:rPr>
        <w:t>未</w:t>
      </w:r>
      <w:r>
        <w:rPr>
          <w:rFonts w:ascii="Times New Roman" w:hAnsi="Times New Roman" w:cs="Times New Roman"/>
          <w:color w:val="auto"/>
          <w:szCs w:val="22"/>
        </w:rPr>
        <w:t>有行贿犯罪行为。</w:t>
      </w:r>
    </w:p>
    <w:p w14:paraId="630B97C6">
      <w:pPr>
        <w:numPr>
          <w:ilvl w:val="255"/>
          <w:numId w:val="0"/>
        </w:numPr>
        <w:snapToGrid w:val="0"/>
        <w:spacing w:line="440" w:lineRule="exact"/>
        <w:ind w:firstLine="420" w:firstLineChars="200"/>
        <w:outlineLvl w:val="2"/>
        <w:rPr>
          <w:rFonts w:ascii="Times New Roman" w:hAnsi="Times New Roman" w:cs="Times New Roman"/>
          <w:color w:val="auto"/>
          <w:szCs w:val="22"/>
        </w:rPr>
      </w:pPr>
      <w:r>
        <w:rPr>
          <w:rFonts w:ascii="Times New Roman" w:hAnsi="Times New Roman" w:cs="Times New Roman"/>
          <w:color w:val="auto"/>
          <w:szCs w:val="22"/>
        </w:rPr>
        <w:t>3.2 联合体：本次采购</w:t>
      </w:r>
      <w:r>
        <w:rPr>
          <w:rFonts w:hint="eastAsia" w:ascii="Times New Roman" w:hAnsi="Times New Roman" w:cs="Times New Roman"/>
          <w:color w:val="auto"/>
          <w:szCs w:val="22"/>
        </w:rPr>
        <w:t>不接受</w:t>
      </w:r>
      <w:r>
        <w:rPr>
          <w:rFonts w:ascii="Times New Roman" w:hAnsi="Times New Roman" w:cs="Times New Roman"/>
          <w:color w:val="auto"/>
          <w:szCs w:val="22"/>
        </w:rPr>
        <w:t>联合体报价。</w:t>
      </w:r>
    </w:p>
    <w:p w14:paraId="7691D7D7">
      <w:pPr>
        <w:numPr>
          <w:ilvl w:val="255"/>
          <w:numId w:val="0"/>
        </w:num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 xml:space="preserve">3.3 </w:t>
      </w:r>
      <w:r>
        <w:rPr>
          <w:rFonts w:hint="eastAsia" w:ascii="Times New Roman" w:hAnsi="Times New Roman" w:cs="Times New Roman"/>
          <w:color w:val="auto"/>
          <w:szCs w:val="22"/>
        </w:rPr>
        <w:t>单位负责人为同一人或者存在控股、管理关系的不同单位，不得同时参加同一合同包报价，否则相关响应文件均无效。</w:t>
      </w:r>
    </w:p>
    <w:p w14:paraId="4762D824">
      <w:pPr>
        <w:pStyle w:val="5"/>
        <w:numPr>
          <w:ilvl w:val="0"/>
          <w:numId w:val="0"/>
        </w:numPr>
        <w:snapToGrid w:val="0"/>
        <w:spacing w:before="120" w:after="120" w:line="240" w:lineRule="auto"/>
        <w:ind w:left="17" w:firstLine="403"/>
        <w:rPr>
          <w:rFonts w:ascii="Times New Roman" w:hAnsi="Times New Roman" w:eastAsia="黑体" w:cs="Times New Roman"/>
          <w:bCs w:val="0"/>
          <w:color w:val="auto"/>
          <w:sz w:val="22"/>
          <w:szCs w:val="15"/>
        </w:rPr>
      </w:pPr>
      <w:bookmarkStart w:id="25" w:name="_Toc1994"/>
      <w:bookmarkStart w:id="26" w:name="_Toc525632588"/>
      <w:bookmarkStart w:id="27" w:name="_Toc29452_WPSOffice_Level2"/>
      <w:bookmarkStart w:id="28" w:name="_Toc4109_WPSOffice_Level2"/>
      <w:bookmarkStart w:id="29" w:name="_Toc25666_WPSOffice_Level2"/>
      <w:bookmarkStart w:id="30" w:name="_Toc4751"/>
      <w:bookmarkStart w:id="31" w:name="_Toc2996_WPSOffice_Level2"/>
      <w:r>
        <w:rPr>
          <w:rFonts w:ascii="Times New Roman" w:hAnsi="Times New Roman" w:eastAsia="黑体" w:cs="Times New Roman"/>
          <w:bCs w:val="0"/>
          <w:color w:val="auto"/>
          <w:sz w:val="22"/>
          <w:szCs w:val="15"/>
        </w:rPr>
        <w:t>4．</w:t>
      </w:r>
      <w:r>
        <w:rPr>
          <w:rFonts w:hint="eastAsia" w:ascii="Times New Roman" w:hAnsi="Times New Roman" w:eastAsia="黑体" w:cs="Times New Roman"/>
          <w:bCs w:val="0"/>
          <w:color w:val="auto"/>
          <w:sz w:val="22"/>
          <w:szCs w:val="15"/>
        </w:rPr>
        <w:t>询比文件</w:t>
      </w:r>
      <w:r>
        <w:rPr>
          <w:rFonts w:ascii="Times New Roman" w:hAnsi="Times New Roman" w:eastAsia="黑体" w:cs="Times New Roman"/>
          <w:bCs w:val="0"/>
          <w:color w:val="auto"/>
          <w:sz w:val="22"/>
          <w:szCs w:val="15"/>
        </w:rPr>
        <w:t>的获取</w:t>
      </w:r>
      <w:bookmarkEnd w:id="25"/>
      <w:bookmarkEnd w:id="26"/>
      <w:bookmarkEnd w:id="27"/>
      <w:bookmarkEnd w:id="28"/>
      <w:bookmarkEnd w:id="29"/>
      <w:bookmarkEnd w:id="30"/>
      <w:bookmarkEnd w:id="31"/>
    </w:p>
    <w:p w14:paraId="24600336">
      <w:pPr>
        <w:snapToGrid w:val="0"/>
        <w:spacing w:line="440" w:lineRule="exact"/>
        <w:ind w:firstLine="420" w:firstLineChars="200"/>
        <w:rPr>
          <w:rFonts w:ascii="Times New Roman" w:hAnsi="Times New Roman" w:cs="Times New Roman"/>
          <w:color w:val="auto"/>
          <w:szCs w:val="22"/>
        </w:rPr>
      </w:pPr>
      <w:bookmarkStart w:id="32" w:name="_Toc726"/>
      <w:bookmarkStart w:id="33" w:name="_Toc525632589"/>
      <w:r>
        <w:rPr>
          <w:rFonts w:hint="eastAsia" w:ascii="Times New Roman" w:hAnsi="Times New Roman"/>
          <w:color w:val="000000" w:themeColor="text1"/>
          <w:szCs w:val="22"/>
          <w14:textFill>
            <w14:solidFill>
              <w14:schemeClr w14:val="tx1"/>
            </w14:solidFill>
          </w14:textFill>
        </w:rPr>
        <w:t>供应商应在递交响应文件的截止时间前登录安徽高速检测公司官网</w:t>
      </w:r>
      <w:r>
        <w:rPr>
          <w:rFonts w:hint="eastAsia" w:ascii="Times New Roman" w:hAnsi="Times New Roman"/>
          <w:color w:val="000000" w:themeColor="text1"/>
          <w:szCs w:val="22"/>
          <w:lang w:val="en-US" w:eastAsia="zh-CN"/>
          <w14:textFill>
            <w14:solidFill>
              <w14:schemeClr w14:val="tx1"/>
            </w14:solidFill>
          </w14:textFill>
        </w:rPr>
        <w:t>（http://www.ahgsjc.com/）</w:t>
      </w:r>
      <w:r>
        <w:rPr>
          <w:rFonts w:hint="eastAsia" w:ascii="Times New Roman" w:hAnsi="Times New Roman"/>
          <w:color w:val="000000" w:themeColor="text1"/>
          <w:szCs w:val="22"/>
          <w14:textFill>
            <w14:solidFill>
              <w14:schemeClr w14:val="tx1"/>
            </w14:solidFill>
          </w14:textFill>
        </w:rPr>
        <w:t>，自行下载询比文件及相关资料。</w:t>
      </w:r>
    </w:p>
    <w:p w14:paraId="7E24C9FD">
      <w:pPr>
        <w:pStyle w:val="5"/>
        <w:numPr>
          <w:ilvl w:val="0"/>
          <w:numId w:val="0"/>
        </w:numPr>
        <w:snapToGrid w:val="0"/>
        <w:spacing w:before="120" w:after="120" w:line="240" w:lineRule="auto"/>
        <w:ind w:left="17" w:firstLine="403"/>
        <w:rPr>
          <w:rFonts w:ascii="Times New Roman" w:hAnsi="Times New Roman" w:eastAsia="黑体" w:cs="Times New Roman"/>
          <w:bCs w:val="0"/>
          <w:color w:val="auto"/>
          <w:sz w:val="22"/>
          <w:szCs w:val="15"/>
        </w:rPr>
      </w:pPr>
      <w:r>
        <w:rPr>
          <w:rFonts w:ascii="Times New Roman" w:hAnsi="Times New Roman" w:eastAsia="黑体" w:cs="Times New Roman"/>
          <w:bCs w:val="0"/>
          <w:color w:val="auto"/>
          <w:sz w:val="22"/>
          <w:szCs w:val="15"/>
        </w:rPr>
        <w:t>5．响应文件的递交</w:t>
      </w:r>
      <w:bookmarkEnd w:id="32"/>
      <w:bookmarkEnd w:id="33"/>
    </w:p>
    <w:p w14:paraId="021B0216">
      <w:pPr>
        <w:snapToGrid w:val="0"/>
        <w:spacing w:line="360" w:lineRule="auto"/>
        <w:ind w:firstLine="420" w:firstLineChars="200"/>
        <w:rPr>
          <w:color w:val="auto"/>
        </w:rPr>
      </w:pPr>
      <w:bookmarkStart w:id="34" w:name="_Toc22719"/>
      <w:bookmarkStart w:id="35" w:name="_Toc525632591"/>
      <w:r>
        <w:rPr>
          <w:rFonts w:hint="eastAsia" w:ascii="Times New Roman" w:hAnsi="Times New Roman" w:cs="Times New Roman"/>
          <w:color w:val="000000" w:themeColor="text1"/>
          <w:sz w:val="21"/>
          <w:szCs w:val="22"/>
          <w14:textFill>
            <w14:solidFill>
              <w14:schemeClr w14:val="tx1"/>
            </w14:solidFill>
          </w14:textFill>
        </w:rPr>
        <w:t>响应文件递交的截止时间为</w:t>
      </w:r>
      <w:r>
        <w:rPr>
          <w:rFonts w:ascii="Times New Roman" w:hAnsi="Times New Roman" w:cs="Times New Roman"/>
          <w:color w:val="000000" w:themeColor="text1"/>
          <w:sz w:val="21"/>
          <w:szCs w:val="22"/>
          <w:u w:val="single"/>
          <w14:textFill>
            <w14:solidFill>
              <w14:schemeClr w14:val="tx1"/>
            </w14:solidFill>
          </w14:textFill>
        </w:rPr>
        <w:t xml:space="preserve"> </w:t>
      </w:r>
      <w:r>
        <w:rPr>
          <w:rFonts w:hint="eastAsia" w:ascii="Times New Roman" w:hAnsi="Times New Roman" w:cs="Times New Roman"/>
          <w:color w:val="auto"/>
          <w:sz w:val="21"/>
          <w:szCs w:val="22"/>
          <w:u w:val="single"/>
          <w:lang w:val="en-US" w:eastAsia="zh-CN"/>
        </w:rPr>
        <w:t>2025</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年</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1</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月</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17</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日</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9</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时</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30</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分，</w:t>
      </w:r>
      <w:r>
        <w:rPr>
          <w:rFonts w:hint="eastAsia" w:ascii="Times New Roman" w:hAnsi="Times New Roman" w:cs="Times New Roman"/>
          <w:color w:val="auto"/>
          <w:sz w:val="21"/>
          <w:szCs w:val="21"/>
        </w:rPr>
        <w:t>供应</w:t>
      </w:r>
      <w:r>
        <w:rPr>
          <w:rFonts w:hint="eastAsia" w:ascii="Times New Roman" w:hAnsi="Times New Roman" w:cs="Times New Roman"/>
          <w:color w:val="000000" w:themeColor="text1"/>
          <w:sz w:val="21"/>
          <w:szCs w:val="21"/>
          <w14:textFill>
            <w14:solidFill>
              <w14:schemeClr w14:val="tx1"/>
            </w14:solidFill>
          </w14:textFill>
        </w:rPr>
        <w:t>商的法定代表人或其授权代理人应于递交的截止时间前将响应文件递交至</w:t>
      </w:r>
      <w:r>
        <w:rPr>
          <w:rFonts w:hint="eastAsia" w:ascii="Times New Roman" w:hAnsi="Times New Roman" w:cs="Times New Roman"/>
          <w:color w:val="000000" w:themeColor="text1"/>
          <w:sz w:val="21"/>
          <w:szCs w:val="21"/>
          <w:u w:val="single"/>
          <w14:textFill>
            <w14:solidFill>
              <w14:schemeClr w14:val="tx1"/>
            </w14:solidFill>
          </w14:textFill>
        </w:rPr>
        <w:t>安徽省高速公路试验检测科研中心有限公司七楼713会议室（地点：安徽省合肥市蜀山区方兴大道与彩虹路交口东北角设计总院 交通慧谷2号楼）</w:t>
      </w:r>
      <w:r>
        <w:rPr>
          <w:rFonts w:hint="eastAsia" w:ascii="Times New Roman" w:hAnsi="Times New Roman" w:cs="Times New Roman"/>
          <w:color w:val="000000" w:themeColor="text1"/>
          <w:sz w:val="21"/>
          <w:szCs w:val="22"/>
          <w14:textFill>
            <w14:solidFill>
              <w14:schemeClr w14:val="tx1"/>
            </w14:solidFill>
          </w14:textFill>
        </w:rPr>
        <w:t>。</w:t>
      </w:r>
    </w:p>
    <w:p w14:paraId="71593F34">
      <w:pPr>
        <w:pStyle w:val="5"/>
        <w:numPr>
          <w:ilvl w:val="0"/>
          <w:numId w:val="0"/>
        </w:numPr>
        <w:snapToGrid w:val="0"/>
        <w:spacing w:before="120" w:after="120" w:line="240" w:lineRule="auto"/>
        <w:ind w:left="17" w:firstLine="403"/>
        <w:rPr>
          <w:rFonts w:ascii="Times New Roman" w:hAnsi="Times New Roman" w:eastAsia="黑体" w:cs="Times New Roman"/>
          <w:bCs w:val="0"/>
          <w:color w:val="auto"/>
          <w:sz w:val="22"/>
          <w:szCs w:val="15"/>
        </w:rPr>
      </w:pPr>
      <w:r>
        <w:rPr>
          <w:rFonts w:ascii="Times New Roman" w:hAnsi="Times New Roman" w:eastAsia="黑体" w:cs="Times New Roman"/>
          <w:bCs w:val="0"/>
          <w:color w:val="auto"/>
          <w:sz w:val="22"/>
          <w:szCs w:val="15"/>
        </w:rPr>
        <w:t>6．响应文件启封</w:t>
      </w:r>
    </w:p>
    <w:p w14:paraId="5DF2F0EC">
      <w:pPr>
        <w:widowControl/>
        <w:snapToGrid w:val="0"/>
        <w:spacing w:line="440" w:lineRule="exact"/>
        <w:ind w:firstLine="420" w:firstLineChars="200"/>
        <w:rPr>
          <w:rFonts w:ascii="Times New Roman" w:hAnsi="Times New Roman" w:cs="Times New Roman"/>
          <w:bCs/>
          <w:color w:val="auto"/>
        </w:rPr>
      </w:pPr>
      <w:r>
        <w:rPr>
          <w:rFonts w:hint="eastAsia" w:ascii="Times New Roman" w:hAnsi="Times New Roman"/>
          <w:color w:val="000000" w:themeColor="text1"/>
          <w:szCs w:val="22"/>
          <w14:textFill>
            <w14:solidFill>
              <w14:schemeClr w14:val="tx1"/>
            </w14:solidFill>
          </w14:textFill>
        </w:rPr>
        <w:t>响应文件的递交截止时间到后，采购人将于</w:t>
      </w:r>
      <w:r>
        <w:rPr>
          <w:rFonts w:hint="eastAsia" w:ascii="Times New Roman" w:hAnsi="Times New Roman"/>
          <w:color w:val="000000" w:themeColor="text1"/>
          <w:szCs w:val="21"/>
          <w:u w:val="single"/>
          <w14:textFill>
            <w14:solidFill>
              <w14:schemeClr w14:val="tx1"/>
            </w14:solidFill>
          </w14:textFill>
        </w:rPr>
        <w:t>安徽省高速公路试验检测科研中心有限公司七楼713会议室（地点：安徽省合肥市蜀山区方兴大道与彩虹路交口东北角设计总院 交通慧谷2号楼）</w:t>
      </w:r>
      <w:r>
        <w:rPr>
          <w:rFonts w:hint="eastAsia" w:ascii="Times New Roman" w:hAnsi="Times New Roman"/>
          <w:color w:val="000000" w:themeColor="text1"/>
          <w:szCs w:val="22"/>
          <w14:textFill>
            <w14:solidFill>
              <w14:schemeClr w14:val="tx1"/>
            </w14:solidFill>
          </w14:textFill>
        </w:rPr>
        <w:t>组织进行响应文件的启封。供应商的法定代表人或授权代理人应携带本人身份证、授权代理人应携带授权委托书准时参加启封会议。</w:t>
      </w:r>
    </w:p>
    <w:p w14:paraId="05A42AA5">
      <w:pPr>
        <w:pStyle w:val="5"/>
        <w:numPr>
          <w:ilvl w:val="0"/>
          <w:numId w:val="0"/>
        </w:numPr>
        <w:snapToGrid w:val="0"/>
        <w:spacing w:before="120" w:after="120" w:line="240" w:lineRule="auto"/>
        <w:ind w:left="17" w:firstLine="403"/>
        <w:rPr>
          <w:rFonts w:hint="default" w:ascii="Times New Roman" w:hAnsi="Times New Roman" w:eastAsia="黑体" w:cs="Times New Roman"/>
          <w:bCs w:val="0"/>
          <w:color w:val="auto"/>
          <w:sz w:val="22"/>
          <w:szCs w:val="15"/>
          <w:lang w:val="en-US" w:eastAsia="zh-CN"/>
        </w:rPr>
      </w:pPr>
      <w:r>
        <w:rPr>
          <w:rFonts w:ascii="Times New Roman" w:hAnsi="Times New Roman" w:eastAsia="黑体" w:cs="Times New Roman"/>
          <w:bCs w:val="0"/>
          <w:color w:val="auto"/>
          <w:sz w:val="22"/>
          <w:szCs w:val="15"/>
        </w:rPr>
        <w:t>7．</w:t>
      </w:r>
      <w:r>
        <w:rPr>
          <w:rFonts w:hint="eastAsia" w:ascii="Times New Roman" w:hAnsi="Times New Roman" w:eastAsia="黑体" w:cs="Times New Roman"/>
          <w:bCs w:val="0"/>
          <w:color w:val="auto"/>
          <w:sz w:val="22"/>
          <w:szCs w:val="15"/>
        </w:rPr>
        <w:t>响应保证金</w:t>
      </w:r>
      <w:r>
        <w:rPr>
          <w:rFonts w:hint="eastAsia" w:ascii="Times New Roman" w:hAnsi="Times New Roman" w:eastAsia="黑体" w:cs="Times New Roman"/>
          <w:bCs w:val="0"/>
          <w:color w:val="auto"/>
          <w:sz w:val="22"/>
          <w:szCs w:val="15"/>
          <w:lang w:val="en-US" w:eastAsia="zh-CN"/>
        </w:rPr>
        <w:t>及履约保证金</w:t>
      </w:r>
    </w:p>
    <w:p w14:paraId="2511A849">
      <w:pPr>
        <w:widowControl/>
        <w:snapToGrid w:val="0"/>
        <w:spacing w:line="440" w:lineRule="exact"/>
        <w:ind w:firstLine="420" w:firstLineChars="200"/>
        <w:rPr>
          <w:rFonts w:hint="eastAsia" w:asciiTheme="minorEastAsia" w:hAnsiTheme="minorEastAsia" w:cstheme="minorEastAsia"/>
          <w:color w:val="auto"/>
          <w:szCs w:val="22"/>
          <w:highlight w:val="none"/>
          <w:lang w:val="en-US" w:eastAsia="zh-CN"/>
        </w:rPr>
      </w:pPr>
      <w:r>
        <w:rPr>
          <w:rFonts w:hint="eastAsia" w:asciiTheme="minorEastAsia" w:hAnsiTheme="minorEastAsia" w:cstheme="minorEastAsia"/>
          <w:color w:val="auto"/>
          <w:szCs w:val="22"/>
          <w:highlight w:val="none"/>
          <w:lang w:val="en-US" w:eastAsia="zh-CN"/>
        </w:rPr>
        <w:t>7.1响应保证金</w:t>
      </w:r>
    </w:p>
    <w:p w14:paraId="48AA4867">
      <w:pPr>
        <w:widowControl/>
        <w:snapToGrid w:val="0"/>
        <w:spacing w:line="440" w:lineRule="exact"/>
        <w:ind w:firstLine="420" w:firstLineChars="200"/>
        <w:rPr>
          <w:rFonts w:hint="eastAsia" w:ascii="Times New Roman" w:hAnsi="Times New Roman"/>
          <w:color w:val="000000" w:themeColor="text1"/>
          <w14:textFill>
            <w14:solidFill>
              <w14:schemeClr w14:val="tx1"/>
            </w14:solidFill>
          </w14:textFill>
        </w:rPr>
      </w:pPr>
      <w:r>
        <w:rPr>
          <w:rFonts w:hint="eastAsia" w:asciiTheme="minorEastAsia" w:hAnsiTheme="minorEastAsia" w:eastAsiaTheme="minorEastAsia" w:cstheme="minorEastAsia"/>
          <w:color w:val="auto"/>
          <w:szCs w:val="22"/>
          <w:highlight w:val="none"/>
        </w:rPr>
        <w:t>本项目免收</w:t>
      </w:r>
      <w:r>
        <w:rPr>
          <w:rFonts w:hint="eastAsia" w:ascii="Times New Roman" w:hAnsi="Times New Roman"/>
          <w:color w:val="000000" w:themeColor="text1"/>
          <w14:textFill>
            <w14:solidFill>
              <w14:schemeClr w14:val="tx1"/>
            </w14:solidFill>
          </w14:textFill>
        </w:rPr>
        <w:t>。</w:t>
      </w:r>
    </w:p>
    <w:p w14:paraId="1C7DF557">
      <w:pPr>
        <w:widowControl/>
        <w:snapToGrid w:val="0"/>
        <w:spacing w:line="440" w:lineRule="exact"/>
        <w:ind w:firstLine="420" w:firstLineChars="200"/>
        <w:rPr>
          <w:rFonts w:hint="eastAsia" w:asciiTheme="minorEastAsia" w:hAnsiTheme="minorEastAsia" w:cstheme="minorEastAsia"/>
          <w:color w:val="auto"/>
          <w:szCs w:val="22"/>
          <w:highlight w:val="none"/>
          <w:lang w:val="en-US" w:eastAsia="zh-CN"/>
        </w:rPr>
      </w:pPr>
      <w:r>
        <w:rPr>
          <w:rFonts w:hint="eastAsia" w:ascii="Times New Roman" w:hAnsi="Times New Roman"/>
          <w:color w:val="000000" w:themeColor="text1"/>
          <w:lang w:val="en-US" w:eastAsia="zh-CN"/>
          <w14:textFill>
            <w14:solidFill>
              <w14:schemeClr w14:val="tx1"/>
            </w14:solidFill>
          </w14:textFill>
        </w:rPr>
        <w:t>7.2履约</w:t>
      </w:r>
      <w:r>
        <w:rPr>
          <w:rFonts w:hint="eastAsia" w:asciiTheme="minorEastAsia" w:hAnsiTheme="minorEastAsia" w:cstheme="minorEastAsia"/>
          <w:color w:val="auto"/>
          <w:szCs w:val="22"/>
          <w:highlight w:val="none"/>
          <w:lang w:val="en-US" w:eastAsia="zh-CN"/>
        </w:rPr>
        <w:t>保证金</w:t>
      </w:r>
    </w:p>
    <w:p w14:paraId="2D635289">
      <w:pPr>
        <w:widowControl/>
        <w:snapToGrid w:val="0"/>
        <w:spacing w:line="440" w:lineRule="exact"/>
        <w:ind w:firstLine="420" w:firstLineChars="200"/>
        <w:rPr>
          <w:rFonts w:hint="default"/>
          <w:lang w:val="en-US" w:eastAsia="zh-CN"/>
        </w:rPr>
      </w:pPr>
      <w:r>
        <w:rPr>
          <w:rFonts w:hint="default"/>
          <w:lang w:val="en-US" w:eastAsia="zh-CN"/>
        </w:rPr>
        <w:t>在签订合同前，成交人应向采购人提交履约保证金。履约保证金的金额为</w:t>
      </w:r>
      <w:r>
        <w:rPr>
          <w:rFonts w:hint="eastAsia"/>
          <w:u w:val="single"/>
          <w:lang w:val="en-US" w:eastAsia="zh-CN"/>
        </w:rPr>
        <w:t>2</w:t>
      </w:r>
      <w:r>
        <w:rPr>
          <w:rFonts w:hint="default"/>
          <w:u w:val="single"/>
          <w:lang w:val="en-US" w:eastAsia="zh-CN"/>
        </w:rPr>
        <w:t>0000.0</w:t>
      </w:r>
      <w:r>
        <w:rPr>
          <w:rFonts w:hint="default"/>
          <w:lang w:val="en-US" w:eastAsia="zh-CN"/>
        </w:rPr>
        <w:t>元，履约保证金的形式为银行转账或者履约保函；若采用银行转账的形式，备注为</w:t>
      </w:r>
      <w:r>
        <w:rPr>
          <w:rFonts w:hint="default"/>
          <w:u w:val="single"/>
          <w:lang w:val="en-US" w:eastAsia="zh-CN"/>
        </w:rPr>
        <w:t>2025~2027年度工地试验室试验仪器设备检定/校准服务量值溯源机构定点库采购履约保证金（可简写）</w:t>
      </w:r>
      <w:r>
        <w:rPr>
          <w:rFonts w:hint="default"/>
          <w:lang w:val="en-US" w:eastAsia="zh-CN"/>
        </w:rPr>
        <w:t>。</w:t>
      </w:r>
    </w:p>
    <w:p w14:paraId="4E2D60F4">
      <w:pPr>
        <w:pStyle w:val="5"/>
        <w:numPr>
          <w:ilvl w:val="0"/>
          <w:numId w:val="0"/>
        </w:numPr>
        <w:snapToGrid w:val="0"/>
        <w:spacing w:before="120" w:after="120" w:line="240" w:lineRule="auto"/>
        <w:ind w:left="17" w:firstLine="403"/>
        <w:rPr>
          <w:rFonts w:ascii="Times New Roman" w:hAnsi="Times New Roman" w:eastAsia="黑体" w:cs="Times New Roman"/>
          <w:bCs w:val="0"/>
          <w:color w:val="auto"/>
          <w:sz w:val="22"/>
          <w:szCs w:val="15"/>
          <w:highlight w:val="none"/>
        </w:rPr>
      </w:pPr>
      <w:r>
        <w:rPr>
          <w:rFonts w:ascii="Times New Roman" w:hAnsi="Times New Roman" w:eastAsia="黑体" w:cs="Times New Roman"/>
          <w:bCs w:val="0"/>
          <w:color w:val="auto"/>
          <w:sz w:val="22"/>
          <w:szCs w:val="15"/>
          <w:highlight w:val="none"/>
        </w:rPr>
        <w:t>8．发布公告的媒介</w:t>
      </w:r>
      <w:bookmarkEnd w:id="34"/>
      <w:bookmarkEnd w:id="35"/>
    </w:p>
    <w:p w14:paraId="79120A69">
      <w:pPr>
        <w:snapToGrid w:val="0"/>
        <w:spacing w:line="440" w:lineRule="exact"/>
        <w:ind w:firstLine="440" w:firstLineChars="200"/>
        <w:rPr>
          <w:rFonts w:ascii="Times New Roman" w:hAnsi="Times New Roman" w:cs="Times New Roman"/>
          <w:color w:val="auto"/>
          <w:szCs w:val="22"/>
        </w:rPr>
      </w:pPr>
      <w:bookmarkStart w:id="36" w:name="_Toc525632592"/>
      <w:bookmarkStart w:id="37" w:name="_Toc20572_WPSOffice_Level2"/>
      <w:bookmarkStart w:id="38" w:name="_Toc8501"/>
      <w:bookmarkStart w:id="39" w:name="_Toc26829"/>
      <w:bookmarkStart w:id="40" w:name="_Toc321_WPSOffice_Level2"/>
      <w:bookmarkStart w:id="41" w:name="_Toc28571_WPSOffice_Level2"/>
      <w:bookmarkStart w:id="42" w:name="_Toc14943_WPSOffice_Level2"/>
      <w:r>
        <w:rPr>
          <w:rFonts w:hint="eastAsia"/>
          <w:b w:val="0"/>
          <w:bCs w:val="0"/>
          <w:color w:val="000000" w:themeColor="text1"/>
          <w:sz w:val="22"/>
          <w:szCs w:val="22"/>
          <w14:textFill>
            <w14:solidFill>
              <w14:schemeClr w14:val="tx1"/>
            </w14:solidFill>
          </w14:textFill>
        </w:rPr>
        <w:t>本次采购公告在高速检测官网（</w:t>
      </w:r>
      <w:r>
        <w:rPr>
          <w:b w:val="0"/>
          <w:bCs w:val="0"/>
          <w:color w:val="000000" w:themeColor="text1"/>
          <w:sz w:val="22"/>
          <w:szCs w:val="22"/>
          <w14:textFill>
            <w14:solidFill>
              <w14:schemeClr w14:val="tx1"/>
            </w14:solidFill>
          </w14:textFill>
        </w:rPr>
        <w:t>http://www.ahgsjc.com/</w:t>
      </w:r>
      <w:r>
        <w:rPr>
          <w:rFonts w:hint="eastAsia"/>
          <w:b w:val="0"/>
          <w:bCs w:val="0"/>
          <w:color w:val="000000" w:themeColor="text1"/>
          <w:sz w:val="22"/>
          <w:szCs w:val="22"/>
          <w14:textFill>
            <w14:solidFill>
              <w14:schemeClr w14:val="tx1"/>
            </w14:solidFill>
          </w14:textFill>
        </w:rPr>
        <w:t>）公司公告栏上发布</w:t>
      </w:r>
      <w:r>
        <w:rPr>
          <w:rFonts w:ascii="Times New Roman" w:hAnsi="Times New Roman"/>
          <w:color w:val="auto"/>
          <w:szCs w:val="22"/>
        </w:rPr>
        <w:t>。</w:t>
      </w:r>
    </w:p>
    <w:p w14:paraId="2D42F56E">
      <w:pPr>
        <w:pStyle w:val="5"/>
        <w:numPr>
          <w:ilvl w:val="0"/>
          <w:numId w:val="0"/>
        </w:numPr>
        <w:snapToGrid w:val="0"/>
        <w:spacing w:before="120" w:after="120" w:line="240" w:lineRule="auto"/>
        <w:ind w:left="17" w:firstLine="403"/>
        <w:rPr>
          <w:rFonts w:ascii="Times New Roman" w:hAnsi="Times New Roman" w:eastAsia="黑体" w:cs="Times New Roman"/>
          <w:bCs w:val="0"/>
          <w:color w:val="auto"/>
          <w:sz w:val="22"/>
          <w:szCs w:val="15"/>
        </w:rPr>
      </w:pPr>
      <w:r>
        <w:rPr>
          <w:rFonts w:ascii="Times New Roman" w:hAnsi="Times New Roman" w:eastAsia="黑体" w:cs="Times New Roman"/>
          <w:bCs w:val="0"/>
          <w:color w:val="auto"/>
          <w:sz w:val="22"/>
          <w:szCs w:val="15"/>
        </w:rPr>
        <w:t>9．采购人联系方式</w:t>
      </w:r>
      <w:bookmarkEnd w:id="36"/>
      <w:bookmarkEnd w:id="37"/>
      <w:bookmarkEnd w:id="38"/>
      <w:bookmarkEnd w:id="39"/>
      <w:bookmarkEnd w:id="40"/>
      <w:bookmarkEnd w:id="41"/>
      <w:bookmarkEnd w:id="42"/>
    </w:p>
    <w:p w14:paraId="4F1B4D47">
      <w:pPr>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采 购 人：</w:t>
      </w:r>
      <w:r>
        <w:rPr>
          <w:rFonts w:hint="eastAsia" w:ascii="Times New Roman" w:hAnsi="Times New Roman" w:cs="Times New Roman"/>
          <w:color w:val="auto"/>
          <w:szCs w:val="22"/>
        </w:rPr>
        <w:t>安徽省高速公路试验检测科研中心有限公司</w:t>
      </w:r>
    </w:p>
    <w:p w14:paraId="7ED59ABD">
      <w:pPr>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地    址：安徽省合肥市</w:t>
      </w:r>
      <w:r>
        <w:rPr>
          <w:rFonts w:hint="eastAsia" w:ascii="Times New Roman" w:hAnsi="Times New Roman" w:cs="Times New Roman"/>
          <w:color w:val="auto"/>
          <w:szCs w:val="22"/>
        </w:rPr>
        <w:t>高新区彩虹路1008号</w:t>
      </w:r>
    </w:p>
    <w:p w14:paraId="75032723">
      <w:pPr>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联 系 人：</w:t>
      </w:r>
      <w:r>
        <w:rPr>
          <w:rFonts w:hint="eastAsia" w:ascii="Times New Roman" w:hAnsi="Times New Roman" w:cs="Times New Roman"/>
          <w:color w:val="auto"/>
          <w:szCs w:val="22"/>
          <w:lang w:val="en-US" w:eastAsia="zh-CN"/>
        </w:rPr>
        <w:t>包</w:t>
      </w:r>
      <w:r>
        <w:rPr>
          <w:rFonts w:hint="eastAsia" w:ascii="Times New Roman" w:hAnsi="Times New Roman" w:cs="Times New Roman"/>
          <w:color w:val="auto"/>
          <w:szCs w:val="22"/>
        </w:rPr>
        <w:t>女士</w:t>
      </w:r>
    </w:p>
    <w:p w14:paraId="35DC2B98">
      <w:pPr>
        <w:snapToGrid w:val="0"/>
        <w:spacing w:line="440" w:lineRule="exact"/>
        <w:ind w:firstLine="420" w:firstLineChars="200"/>
        <w:rPr>
          <w:rFonts w:hint="default" w:ascii="Times New Roman" w:hAnsi="Times New Roman" w:cs="Times New Roman" w:eastAsiaTheme="minorEastAsia"/>
          <w:color w:val="auto"/>
          <w:szCs w:val="22"/>
          <w:lang w:val="en-US" w:eastAsia="zh-CN"/>
        </w:rPr>
      </w:pPr>
      <w:r>
        <w:rPr>
          <w:rFonts w:ascii="Times New Roman" w:hAnsi="Times New Roman" w:cs="Times New Roman"/>
          <w:color w:val="auto"/>
          <w:szCs w:val="22"/>
        </w:rPr>
        <w:t>电    话：</w:t>
      </w:r>
      <w:r>
        <w:rPr>
          <w:rFonts w:hint="eastAsia" w:ascii="Times New Roman" w:hAnsi="Times New Roman" w:cs="Times New Roman"/>
          <w:color w:val="auto"/>
          <w:szCs w:val="22"/>
          <w:lang w:val="en-US" w:eastAsia="zh-CN"/>
        </w:rPr>
        <w:t>13855197320</w:t>
      </w:r>
    </w:p>
    <w:p w14:paraId="0F02CE21">
      <w:pPr>
        <w:pStyle w:val="29"/>
        <w:jc w:val="both"/>
        <w:rPr>
          <w:rFonts w:hint="default" w:ascii="Times New Roman" w:hAnsi="Times New Roman"/>
          <w:color w:val="auto"/>
          <w:sz w:val="21"/>
          <w:szCs w:val="22"/>
        </w:rPr>
      </w:pPr>
    </w:p>
    <w:p w14:paraId="457218CB">
      <w:pPr>
        <w:pStyle w:val="29"/>
        <w:jc w:val="right"/>
        <w:rPr>
          <w:rFonts w:hint="default" w:ascii="Times New Roman" w:hAnsi="Times New Roman"/>
          <w:color w:val="auto"/>
          <w:szCs w:val="28"/>
        </w:rPr>
      </w:pPr>
      <w:r>
        <w:rPr>
          <w:rFonts w:ascii="Times New Roman" w:hAnsi="Times New Roman"/>
          <w:color w:val="auto"/>
          <w:sz w:val="21"/>
          <w:szCs w:val="22"/>
        </w:rPr>
        <w:t>202</w:t>
      </w:r>
      <w:r>
        <w:rPr>
          <w:rFonts w:hint="eastAsia" w:ascii="Times New Roman" w:hAnsi="Times New Roman"/>
          <w:color w:val="auto"/>
          <w:sz w:val="21"/>
          <w:szCs w:val="22"/>
          <w:lang w:val="en-US" w:eastAsia="zh-CN"/>
        </w:rPr>
        <w:t>5</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1</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10</w:t>
      </w:r>
      <w:r>
        <w:rPr>
          <w:rFonts w:hint="default" w:ascii="Times New Roman" w:hAnsi="Times New Roman"/>
          <w:color w:val="auto"/>
          <w:sz w:val="21"/>
          <w:szCs w:val="22"/>
        </w:rPr>
        <w:t>日</w:t>
      </w:r>
    </w:p>
    <w:p w14:paraId="2ACA7621">
      <w:pPr>
        <w:spacing w:before="240" w:after="240"/>
        <w:jc w:val="center"/>
        <w:rPr>
          <w:rFonts w:ascii="Times New Roman" w:hAnsi="Times New Roman" w:eastAsia="宋体" w:cs="Times New Roman"/>
          <w:color w:val="auto"/>
        </w:rPr>
      </w:pPr>
      <w:bookmarkStart w:id="43" w:name="_Toc6476"/>
      <w:r>
        <w:rPr>
          <w:rFonts w:hint="eastAsia" w:ascii="Times New Roman" w:hAnsi="Times New Roman" w:eastAsia="宋体" w:cs="Times New Roman"/>
          <w:color w:val="auto"/>
        </w:rPr>
        <w:br w:type="page"/>
      </w:r>
    </w:p>
    <w:p w14:paraId="50833E2F">
      <w:pPr>
        <w:pStyle w:val="4"/>
        <w:numPr>
          <w:ilvl w:val="0"/>
          <w:numId w:val="0"/>
        </w:numPr>
        <w:spacing w:before="312" w:after="312"/>
        <w:rPr>
          <w:rFonts w:ascii="Times New Roman" w:hAnsi="Times New Roman" w:eastAsia="宋体" w:cs="Times New Roman"/>
          <w:color w:val="auto"/>
        </w:rPr>
      </w:pPr>
      <w:r>
        <w:rPr>
          <w:rFonts w:hint="eastAsia" w:ascii="Times New Roman" w:hAnsi="Times New Roman" w:eastAsia="宋体" w:cs="Times New Roman"/>
          <w:color w:val="auto"/>
        </w:rPr>
        <w:t xml:space="preserve">第二章 </w:t>
      </w:r>
      <w:r>
        <w:rPr>
          <w:rFonts w:ascii="Times New Roman" w:hAnsi="Times New Roman" w:eastAsia="宋体" w:cs="Times New Roman"/>
          <w:color w:val="auto"/>
        </w:rPr>
        <w:t>供应商须知</w:t>
      </w:r>
      <w:bookmarkEnd w:id="43"/>
    </w:p>
    <w:p w14:paraId="58DBE6CD">
      <w:pPr>
        <w:keepNext/>
        <w:keepLines/>
        <w:spacing w:before="156" w:beforeLines="50" w:after="156" w:afterLines="50" w:line="360" w:lineRule="auto"/>
        <w:outlineLvl w:val="1"/>
        <w:rPr>
          <w:rFonts w:ascii="Times New Roman" w:hAnsi="Times New Roman" w:eastAsia="黑体" w:cs="Times New Roman"/>
          <w:bCs/>
          <w:color w:val="auto"/>
          <w:sz w:val="24"/>
          <w:szCs w:val="32"/>
        </w:rPr>
      </w:pPr>
      <w:bookmarkStart w:id="44" w:name="_Toc9067720"/>
      <w:bookmarkStart w:id="45" w:name="_Toc26656938"/>
      <w:bookmarkStart w:id="46" w:name="_Toc14201207"/>
      <w:r>
        <w:rPr>
          <w:rFonts w:ascii="Times New Roman" w:hAnsi="Times New Roman" w:eastAsia="黑体" w:cs="Times New Roman"/>
          <w:bCs/>
          <w:color w:val="auto"/>
          <w:sz w:val="24"/>
          <w:szCs w:val="32"/>
        </w:rPr>
        <w:t>1. 总则</w:t>
      </w:r>
      <w:bookmarkEnd w:id="44"/>
      <w:bookmarkEnd w:id="45"/>
      <w:bookmarkEnd w:id="46"/>
    </w:p>
    <w:p w14:paraId="37EFDAA2">
      <w:pPr>
        <w:keepNext/>
        <w:keepLines/>
        <w:spacing w:before="120" w:after="120"/>
        <w:outlineLvl w:val="2"/>
        <w:rPr>
          <w:rFonts w:ascii="Times New Roman" w:hAnsi="Times New Roman" w:eastAsia="黑体" w:cs="Times New Roman"/>
          <w:bCs/>
          <w:color w:val="auto"/>
          <w:sz w:val="24"/>
          <w:szCs w:val="32"/>
        </w:rPr>
      </w:pPr>
      <w:bookmarkStart w:id="47" w:name="_Toc14201208"/>
      <w:bookmarkStart w:id="48" w:name="_Toc26656939"/>
      <w:r>
        <w:rPr>
          <w:rFonts w:ascii="Times New Roman" w:hAnsi="Times New Roman" w:eastAsia="黑体" w:cs="Times New Roman"/>
          <w:bCs/>
          <w:color w:val="auto"/>
          <w:sz w:val="24"/>
          <w:szCs w:val="32"/>
        </w:rPr>
        <w:t xml:space="preserve">1.1 </w:t>
      </w:r>
      <w:bookmarkEnd w:id="47"/>
      <w:bookmarkEnd w:id="48"/>
      <w:bookmarkStart w:id="49" w:name="_Toc14201210"/>
      <w:bookmarkStart w:id="50" w:name="_Toc26656941"/>
      <w:r>
        <w:rPr>
          <w:rFonts w:ascii="Times New Roman" w:hAnsi="Times New Roman" w:eastAsia="黑体" w:cs="Times New Roman"/>
          <w:bCs/>
          <w:color w:val="auto"/>
          <w:sz w:val="24"/>
          <w:szCs w:val="32"/>
        </w:rPr>
        <w:t>质量要求</w:t>
      </w:r>
      <w:bookmarkEnd w:id="49"/>
      <w:bookmarkEnd w:id="50"/>
    </w:p>
    <w:p w14:paraId="6F97208C">
      <w:pPr>
        <w:spacing w:line="440" w:lineRule="exact"/>
        <w:ind w:firstLine="420"/>
        <w:rPr>
          <w:rFonts w:ascii="Times New Roman" w:hAnsi="Times New Roman" w:cs="Times New Roman"/>
          <w:color w:val="auto"/>
          <w:szCs w:val="21"/>
        </w:rPr>
      </w:pPr>
      <w:bookmarkStart w:id="51" w:name="_Toc26656942"/>
      <w:bookmarkStart w:id="52" w:name="_Toc14201211"/>
      <w:r>
        <w:rPr>
          <w:rFonts w:ascii="Times New Roman" w:hAnsi="Times New Roman" w:cs="Times New Roman"/>
          <w:color w:val="auto"/>
          <w:szCs w:val="21"/>
        </w:rPr>
        <w:t>1.</w:t>
      </w:r>
      <w:r>
        <w:rPr>
          <w:rFonts w:hint="eastAsia" w:ascii="Times New Roman" w:hAnsi="Times New Roman" w:cs="Times New Roman"/>
          <w:color w:val="auto"/>
          <w:szCs w:val="21"/>
        </w:rPr>
        <w:t>1</w:t>
      </w:r>
      <w:r>
        <w:rPr>
          <w:rFonts w:ascii="Times New Roman" w:hAnsi="Times New Roman" w:cs="Times New Roman"/>
          <w:color w:val="auto"/>
          <w:szCs w:val="21"/>
        </w:rPr>
        <w:t>.</w:t>
      </w:r>
      <w:r>
        <w:rPr>
          <w:rFonts w:hint="eastAsia" w:ascii="Times New Roman" w:hAnsi="Times New Roman" w:cs="Times New Roman"/>
          <w:color w:val="auto"/>
          <w:szCs w:val="21"/>
        </w:rPr>
        <w:t>1</w:t>
      </w:r>
      <w:r>
        <w:rPr>
          <w:rFonts w:ascii="Times New Roman" w:hAnsi="Times New Roman" w:cs="Times New Roman"/>
          <w:color w:val="auto"/>
          <w:szCs w:val="21"/>
        </w:rPr>
        <w:t xml:space="preserve"> 本合同包的质量要求：</w:t>
      </w:r>
      <w:r>
        <w:rPr>
          <w:rFonts w:ascii="Times New Roman" w:hAnsi="Times New Roman" w:cs="Times New Roman"/>
          <w:color w:val="auto"/>
          <w:szCs w:val="21"/>
          <w:u w:val="single"/>
        </w:rPr>
        <w:t>满足</w:t>
      </w:r>
      <w:r>
        <w:rPr>
          <w:rFonts w:hint="eastAsia" w:ascii="Times New Roman" w:hAnsi="Times New Roman" w:cs="Times New Roman"/>
          <w:color w:val="auto"/>
          <w:szCs w:val="21"/>
          <w:u w:val="single"/>
        </w:rPr>
        <w:t>本次询比文件中第五章“采购需求及清单”的相关技术要求。</w:t>
      </w:r>
    </w:p>
    <w:p w14:paraId="08C641BF">
      <w:pPr>
        <w:spacing w:line="440" w:lineRule="exact"/>
        <w:ind w:firstLine="420"/>
        <w:outlineLvl w:val="3"/>
        <w:rPr>
          <w:rFonts w:ascii="Times New Roman" w:hAnsi="Times New Roman" w:cs="Times New Roman"/>
          <w:color w:val="auto"/>
          <w:szCs w:val="21"/>
          <w:u w:val="single"/>
        </w:rPr>
      </w:pPr>
      <w:r>
        <w:rPr>
          <w:rFonts w:ascii="Times New Roman" w:hAnsi="Times New Roman" w:cs="Times New Roman"/>
          <w:color w:val="auto"/>
          <w:szCs w:val="21"/>
        </w:rPr>
        <w:t>1.</w:t>
      </w:r>
      <w:r>
        <w:rPr>
          <w:rFonts w:hint="eastAsia" w:ascii="Times New Roman" w:hAnsi="Times New Roman" w:cs="Times New Roman"/>
          <w:color w:val="auto"/>
          <w:szCs w:val="21"/>
        </w:rPr>
        <w:t>1</w:t>
      </w:r>
      <w:r>
        <w:rPr>
          <w:rFonts w:ascii="Times New Roman" w:hAnsi="Times New Roman" w:cs="Times New Roman"/>
          <w:color w:val="auto"/>
          <w:szCs w:val="21"/>
        </w:rPr>
        <w:t>.</w:t>
      </w:r>
      <w:r>
        <w:rPr>
          <w:rFonts w:hint="eastAsia" w:ascii="Times New Roman" w:hAnsi="Times New Roman" w:cs="Times New Roman"/>
          <w:color w:val="auto"/>
          <w:szCs w:val="21"/>
        </w:rPr>
        <w:t>2</w:t>
      </w:r>
      <w:r>
        <w:rPr>
          <w:rFonts w:ascii="Times New Roman" w:hAnsi="Times New Roman" w:cs="Times New Roman"/>
          <w:color w:val="auto"/>
          <w:szCs w:val="21"/>
        </w:rPr>
        <w:t xml:space="preserve"> 本合同包的安全目标：</w:t>
      </w:r>
      <w:r>
        <w:rPr>
          <w:rFonts w:hint="eastAsia" w:ascii="Times New Roman" w:hAnsi="Times New Roman" w:cs="Times New Roman"/>
          <w:color w:val="auto"/>
          <w:szCs w:val="21"/>
          <w:u w:val="single"/>
        </w:rPr>
        <w:t>无安全、质量事故。</w:t>
      </w:r>
    </w:p>
    <w:p w14:paraId="450367F4">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供应商资格要求</w:t>
      </w:r>
      <w:bookmarkEnd w:id="51"/>
      <w:bookmarkEnd w:id="52"/>
    </w:p>
    <w:p w14:paraId="41E3ACB1">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2</w:t>
      </w:r>
      <w:r>
        <w:rPr>
          <w:rFonts w:ascii="Times New Roman" w:hAnsi="Times New Roman" w:cs="Times New Roman"/>
          <w:color w:val="auto"/>
          <w:szCs w:val="21"/>
        </w:rPr>
        <w:t>.1供应商应具备承担本合同包</w:t>
      </w:r>
      <w:r>
        <w:rPr>
          <w:rFonts w:hint="eastAsia" w:ascii="Times New Roman" w:hAnsi="Times New Roman" w:cs="Times New Roman"/>
          <w:color w:val="auto"/>
          <w:szCs w:val="21"/>
        </w:rPr>
        <w:t>服务</w:t>
      </w:r>
      <w:r>
        <w:rPr>
          <w:rFonts w:ascii="Times New Roman" w:hAnsi="Times New Roman" w:cs="Times New Roman"/>
          <w:color w:val="auto"/>
          <w:szCs w:val="21"/>
        </w:rPr>
        <w:t xml:space="preserve">的资质条件、能力和信誉：见第一章 </w:t>
      </w:r>
      <w:r>
        <w:rPr>
          <w:rFonts w:hint="eastAsia" w:ascii="Times New Roman" w:hAnsi="Times New Roman" w:cs="Times New Roman"/>
          <w:color w:val="auto"/>
          <w:szCs w:val="21"/>
        </w:rPr>
        <w:t>采购公告第3.1款要求</w:t>
      </w:r>
      <w:r>
        <w:rPr>
          <w:rFonts w:ascii="Times New Roman" w:hAnsi="Times New Roman" w:cs="Times New Roman"/>
          <w:color w:val="auto"/>
          <w:szCs w:val="21"/>
        </w:rPr>
        <w:t>。</w:t>
      </w:r>
    </w:p>
    <w:p w14:paraId="3F193209">
      <w:pPr>
        <w:keepNext/>
        <w:keepLines/>
        <w:spacing w:before="120" w:after="120"/>
        <w:outlineLvl w:val="2"/>
        <w:rPr>
          <w:rFonts w:ascii="Times New Roman" w:hAnsi="Times New Roman" w:eastAsia="黑体" w:cs="Times New Roman"/>
          <w:bCs/>
          <w:color w:val="auto"/>
          <w:sz w:val="24"/>
          <w:szCs w:val="32"/>
        </w:rPr>
      </w:pPr>
      <w:bookmarkStart w:id="53" w:name="_Toc14201212"/>
      <w:bookmarkStart w:id="54" w:name="_Toc26656943"/>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3</w:t>
      </w:r>
      <w:r>
        <w:rPr>
          <w:rFonts w:ascii="Times New Roman" w:hAnsi="Times New Roman" w:eastAsia="黑体" w:cs="Times New Roman"/>
          <w:bCs/>
          <w:color w:val="auto"/>
          <w:sz w:val="24"/>
          <w:szCs w:val="32"/>
        </w:rPr>
        <w:t xml:space="preserve"> 费用承担</w:t>
      </w:r>
      <w:bookmarkEnd w:id="53"/>
      <w:bookmarkEnd w:id="54"/>
    </w:p>
    <w:p w14:paraId="50F60B2D">
      <w:pPr>
        <w:spacing w:line="440" w:lineRule="exact"/>
        <w:ind w:firstLine="420"/>
        <w:rPr>
          <w:rFonts w:ascii="Times New Roman" w:hAnsi="Times New Roman" w:cs="Times New Roman"/>
          <w:color w:val="auto"/>
        </w:rPr>
      </w:pPr>
      <w:r>
        <w:rPr>
          <w:rFonts w:ascii="Times New Roman" w:hAnsi="Times New Roman" w:cs="Times New Roman"/>
          <w:color w:val="auto"/>
          <w:szCs w:val="21"/>
        </w:rPr>
        <w:t>供应商</w:t>
      </w:r>
      <w:r>
        <w:rPr>
          <w:rFonts w:ascii="Times New Roman" w:hAnsi="Times New Roman" w:cs="Times New Roman"/>
          <w:color w:val="auto"/>
        </w:rPr>
        <w:t>准备和参加询比活动发生的费用自理。</w:t>
      </w:r>
    </w:p>
    <w:p w14:paraId="453A0C55">
      <w:pPr>
        <w:keepNext/>
        <w:keepLines/>
        <w:spacing w:before="120" w:after="120"/>
        <w:outlineLvl w:val="2"/>
        <w:rPr>
          <w:rFonts w:ascii="Times New Roman" w:hAnsi="Times New Roman" w:eastAsia="黑体" w:cs="Times New Roman"/>
          <w:bCs/>
          <w:color w:val="auto"/>
          <w:sz w:val="24"/>
          <w:szCs w:val="32"/>
        </w:rPr>
      </w:pPr>
      <w:bookmarkStart w:id="55" w:name="_Toc26656944"/>
      <w:bookmarkStart w:id="56" w:name="_Toc14201213"/>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4</w:t>
      </w:r>
      <w:r>
        <w:rPr>
          <w:rFonts w:ascii="Times New Roman" w:hAnsi="Times New Roman" w:eastAsia="黑体" w:cs="Times New Roman"/>
          <w:bCs/>
          <w:color w:val="auto"/>
          <w:sz w:val="24"/>
          <w:szCs w:val="32"/>
        </w:rPr>
        <w:t xml:space="preserve"> 保密</w:t>
      </w:r>
      <w:bookmarkEnd w:id="55"/>
      <w:bookmarkEnd w:id="56"/>
    </w:p>
    <w:p w14:paraId="0BB01FE4">
      <w:pPr>
        <w:spacing w:line="440" w:lineRule="exact"/>
        <w:ind w:firstLine="420"/>
        <w:rPr>
          <w:rFonts w:ascii="Times New Roman" w:hAnsi="Times New Roman" w:cs="Times New Roman"/>
          <w:color w:val="auto"/>
        </w:rPr>
      </w:pPr>
      <w:r>
        <w:rPr>
          <w:rFonts w:ascii="Times New Roman" w:hAnsi="Times New Roman" w:cs="Times New Roman"/>
          <w:color w:val="auto"/>
        </w:rPr>
        <w:t>参与询比活动的各方应对询比文件和响应文件中的商业和技术等秘密保密，否则应承担相应的法律责任。</w:t>
      </w:r>
    </w:p>
    <w:p w14:paraId="4D79C9EF">
      <w:pPr>
        <w:keepNext/>
        <w:keepLines/>
        <w:spacing w:before="120" w:after="120"/>
        <w:outlineLvl w:val="2"/>
        <w:rPr>
          <w:rFonts w:ascii="Times New Roman" w:hAnsi="Times New Roman" w:eastAsia="黑体" w:cs="Times New Roman"/>
          <w:bCs/>
          <w:color w:val="auto"/>
          <w:sz w:val="24"/>
          <w:szCs w:val="32"/>
        </w:rPr>
      </w:pPr>
      <w:bookmarkStart w:id="57" w:name="_Toc26656946"/>
      <w:bookmarkStart w:id="58" w:name="_Toc14201215"/>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5</w:t>
      </w:r>
      <w:r>
        <w:rPr>
          <w:rFonts w:ascii="Times New Roman" w:hAnsi="Times New Roman" w:eastAsia="黑体" w:cs="Times New Roman"/>
          <w:bCs/>
          <w:color w:val="auto"/>
          <w:sz w:val="24"/>
          <w:szCs w:val="32"/>
        </w:rPr>
        <w:t xml:space="preserve"> 计量单位</w:t>
      </w:r>
      <w:bookmarkEnd w:id="57"/>
      <w:bookmarkEnd w:id="58"/>
    </w:p>
    <w:p w14:paraId="45DC5C56">
      <w:pPr>
        <w:spacing w:line="440" w:lineRule="exact"/>
        <w:ind w:firstLine="420"/>
        <w:rPr>
          <w:rFonts w:ascii="Times New Roman" w:hAnsi="Times New Roman" w:cs="Times New Roman"/>
          <w:color w:val="auto"/>
        </w:rPr>
      </w:pPr>
      <w:r>
        <w:rPr>
          <w:rFonts w:ascii="Times New Roman" w:hAnsi="Times New Roman" w:cs="Times New Roman"/>
          <w:color w:val="auto"/>
        </w:rPr>
        <w:t>所有计量均采用中华人民共和国法定计量单位。</w:t>
      </w:r>
    </w:p>
    <w:p w14:paraId="3570597A">
      <w:pPr>
        <w:keepNext/>
        <w:keepLines/>
        <w:spacing w:before="120" w:after="120"/>
        <w:outlineLvl w:val="2"/>
        <w:rPr>
          <w:rFonts w:ascii="Times New Roman" w:hAnsi="Times New Roman" w:eastAsia="黑体" w:cs="Times New Roman"/>
          <w:bCs/>
          <w:color w:val="auto"/>
          <w:sz w:val="24"/>
          <w:szCs w:val="32"/>
        </w:rPr>
      </w:pPr>
      <w:bookmarkStart w:id="59" w:name="_Toc26656947"/>
      <w:bookmarkStart w:id="60" w:name="_Toc14201216"/>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 xml:space="preserve"> 踏勘现场</w:t>
      </w:r>
      <w:bookmarkEnd w:id="59"/>
      <w:bookmarkEnd w:id="60"/>
    </w:p>
    <w:p w14:paraId="4D10603F">
      <w:pPr>
        <w:spacing w:line="440" w:lineRule="exact"/>
        <w:ind w:firstLine="420"/>
        <w:rPr>
          <w:rFonts w:ascii="Times New Roman" w:hAnsi="Times New Roman" w:cs="Times New Roman"/>
          <w:color w:val="auto"/>
        </w:rPr>
      </w:pPr>
      <w:r>
        <w:rPr>
          <w:rFonts w:ascii="Times New Roman" w:hAnsi="Times New Roman" w:cs="Times New Roman"/>
          <w:color w:val="auto"/>
        </w:rPr>
        <w:t>供应商</w:t>
      </w:r>
      <w:r>
        <w:rPr>
          <w:rFonts w:hint="eastAsia" w:ascii="Times New Roman" w:hAnsi="Times New Roman" w:cs="Times New Roman"/>
          <w:color w:val="auto"/>
        </w:rPr>
        <w:t>自行</w:t>
      </w:r>
      <w:r>
        <w:rPr>
          <w:rFonts w:ascii="Times New Roman" w:hAnsi="Times New Roman" w:cs="Times New Roman"/>
          <w:color w:val="auto"/>
        </w:rPr>
        <w:t>踏勘现场</w:t>
      </w:r>
      <w:r>
        <w:rPr>
          <w:rFonts w:hint="eastAsia" w:ascii="Times New Roman" w:hAnsi="Times New Roman" w:cs="Times New Roman"/>
          <w:color w:val="auto"/>
        </w:rPr>
        <w:t>且</w:t>
      </w:r>
      <w:r>
        <w:rPr>
          <w:rFonts w:ascii="Times New Roman" w:hAnsi="Times New Roman" w:cs="Times New Roman"/>
          <w:color w:val="auto"/>
        </w:rPr>
        <w:t>费用自理。</w:t>
      </w:r>
    </w:p>
    <w:p w14:paraId="65784B51">
      <w:pPr>
        <w:keepNext/>
        <w:keepLines/>
        <w:spacing w:before="120" w:after="120"/>
        <w:outlineLvl w:val="2"/>
        <w:rPr>
          <w:rFonts w:ascii="Times New Roman" w:hAnsi="Times New Roman" w:eastAsia="黑体" w:cs="Times New Roman"/>
          <w:bCs/>
          <w:color w:val="auto"/>
          <w:sz w:val="24"/>
          <w:szCs w:val="32"/>
        </w:rPr>
      </w:pPr>
      <w:bookmarkStart w:id="61" w:name="_Toc26656949"/>
      <w:bookmarkStart w:id="62" w:name="_Toc14201218"/>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7</w:t>
      </w:r>
      <w:r>
        <w:rPr>
          <w:rFonts w:ascii="Times New Roman" w:hAnsi="Times New Roman" w:eastAsia="黑体" w:cs="Times New Roman"/>
          <w:bCs/>
          <w:color w:val="auto"/>
          <w:sz w:val="24"/>
          <w:szCs w:val="32"/>
        </w:rPr>
        <w:t xml:space="preserve"> 分包</w:t>
      </w:r>
      <w:bookmarkEnd w:id="61"/>
      <w:bookmarkEnd w:id="62"/>
    </w:p>
    <w:p w14:paraId="3E1E7B55">
      <w:pPr>
        <w:spacing w:line="440" w:lineRule="exact"/>
        <w:ind w:firstLine="420"/>
        <w:rPr>
          <w:rFonts w:ascii="Times New Roman" w:hAnsi="Times New Roman" w:cs="Times New Roman"/>
          <w:color w:val="auto"/>
        </w:rPr>
      </w:pPr>
      <w:r>
        <w:rPr>
          <w:rFonts w:hint="eastAsia" w:ascii="Times New Roman" w:hAnsi="Times New Roman" w:cs="Times New Roman"/>
          <w:color w:val="auto"/>
        </w:rPr>
        <w:t>不允许分包。</w:t>
      </w:r>
    </w:p>
    <w:p w14:paraId="5939BA3F">
      <w:pPr>
        <w:keepNext/>
        <w:keepLines/>
        <w:spacing w:before="120" w:after="120"/>
        <w:outlineLvl w:val="2"/>
        <w:rPr>
          <w:rFonts w:ascii="Times New Roman" w:hAnsi="Times New Roman" w:eastAsia="黑体" w:cs="Times New Roman"/>
          <w:bCs/>
          <w:color w:val="auto"/>
          <w:sz w:val="24"/>
          <w:szCs w:val="32"/>
        </w:rPr>
      </w:pPr>
      <w:bookmarkStart w:id="63" w:name="_Toc14201219"/>
      <w:bookmarkStart w:id="64" w:name="_Toc26656950"/>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8</w:t>
      </w:r>
      <w:r>
        <w:rPr>
          <w:rFonts w:ascii="Times New Roman" w:hAnsi="Times New Roman" w:eastAsia="黑体" w:cs="Times New Roman"/>
          <w:bCs/>
          <w:color w:val="auto"/>
          <w:sz w:val="24"/>
          <w:szCs w:val="32"/>
        </w:rPr>
        <w:t xml:space="preserve"> 偏</w:t>
      </w:r>
      <w:bookmarkEnd w:id="63"/>
      <w:bookmarkEnd w:id="64"/>
      <w:r>
        <w:rPr>
          <w:rFonts w:hint="eastAsia" w:ascii="Times New Roman" w:hAnsi="Times New Roman" w:eastAsia="黑体" w:cs="Times New Roman"/>
          <w:bCs/>
          <w:color w:val="auto"/>
          <w:sz w:val="24"/>
          <w:szCs w:val="32"/>
        </w:rPr>
        <w:t>差</w:t>
      </w:r>
    </w:p>
    <w:p w14:paraId="762946C3">
      <w:pPr>
        <w:spacing w:line="440" w:lineRule="exact"/>
        <w:ind w:firstLine="420"/>
        <w:outlineLvl w:val="3"/>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.1偏差包括重大偏差和细微偏差。</w:t>
      </w:r>
    </w:p>
    <w:p w14:paraId="3D40E2CC">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.2 响应文件存在第三章“评审办法”中所列任一否决</w:t>
      </w:r>
      <w:r>
        <w:rPr>
          <w:rFonts w:hint="eastAsia" w:ascii="Times New Roman" w:hAnsi="Times New Roman" w:cs="Times New Roman"/>
          <w:color w:val="auto"/>
        </w:rPr>
        <w:t>响应文件</w:t>
      </w:r>
      <w:r>
        <w:rPr>
          <w:rFonts w:ascii="Times New Roman" w:hAnsi="Times New Roman" w:cs="Times New Roman"/>
          <w:color w:val="auto"/>
        </w:rPr>
        <w:t>情形的，均属于存在重大偏差</w:t>
      </w:r>
      <w:r>
        <w:rPr>
          <w:rFonts w:hint="eastAsia" w:ascii="Times New Roman" w:hAnsi="Times New Roman" w:cs="Times New Roman"/>
          <w:color w:val="auto"/>
        </w:rPr>
        <w:t>，响应文件将被否决</w:t>
      </w:r>
      <w:r>
        <w:rPr>
          <w:rFonts w:ascii="Times New Roman" w:hAnsi="Times New Roman" w:cs="Times New Roman"/>
          <w:color w:val="auto"/>
        </w:rPr>
        <w:t>。</w:t>
      </w:r>
    </w:p>
    <w:p w14:paraId="779A8E1C">
      <w:pPr>
        <w:keepNext/>
        <w:keepLines/>
        <w:spacing w:before="156" w:beforeLines="50" w:after="156" w:afterLines="50"/>
        <w:outlineLvl w:val="1"/>
        <w:rPr>
          <w:rFonts w:ascii="Times New Roman" w:hAnsi="Times New Roman" w:eastAsia="黑体" w:cs="Times New Roman"/>
          <w:bCs/>
          <w:color w:val="auto"/>
          <w:sz w:val="24"/>
          <w:szCs w:val="32"/>
        </w:rPr>
      </w:pPr>
      <w:bookmarkStart w:id="65" w:name="_Toc14201220"/>
      <w:bookmarkStart w:id="66" w:name="_Toc26656951"/>
      <w:bookmarkStart w:id="67" w:name="_Toc9067721"/>
      <w:r>
        <w:rPr>
          <w:rFonts w:ascii="Times New Roman" w:hAnsi="Times New Roman" w:eastAsia="黑体" w:cs="Times New Roman"/>
          <w:bCs/>
          <w:color w:val="auto"/>
          <w:sz w:val="24"/>
          <w:szCs w:val="32"/>
        </w:rPr>
        <w:t xml:space="preserve">2. </w:t>
      </w:r>
      <w:bookmarkEnd w:id="65"/>
      <w:bookmarkEnd w:id="66"/>
      <w:bookmarkEnd w:id="67"/>
      <w:r>
        <w:rPr>
          <w:rFonts w:ascii="Times New Roman" w:hAnsi="Times New Roman" w:eastAsia="黑体" w:cs="Times New Roman"/>
          <w:bCs/>
          <w:color w:val="auto"/>
          <w:sz w:val="24"/>
          <w:szCs w:val="32"/>
        </w:rPr>
        <w:t>询比文件</w:t>
      </w:r>
    </w:p>
    <w:p w14:paraId="3394B01B">
      <w:pPr>
        <w:keepNext/>
        <w:keepLines/>
        <w:spacing w:before="120" w:after="120"/>
        <w:outlineLvl w:val="2"/>
        <w:rPr>
          <w:rFonts w:ascii="Times New Roman" w:hAnsi="Times New Roman" w:eastAsia="黑体" w:cs="Times New Roman"/>
          <w:bCs/>
          <w:color w:val="auto"/>
          <w:sz w:val="24"/>
          <w:szCs w:val="32"/>
        </w:rPr>
      </w:pPr>
      <w:bookmarkStart w:id="68" w:name="_Toc26656952"/>
      <w:bookmarkStart w:id="69" w:name="_Toc14201221"/>
      <w:r>
        <w:rPr>
          <w:rFonts w:ascii="Times New Roman" w:hAnsi="Times New Roman" w:eastAsia="黑体" w:cs="Times New Roman"/>
          <w:bCs/>
          <w:color w:val="auto"/>
          <w:sz w:val="24"/>
          <w:szCs w:val="32"/>
        </w:rPr>
        <w:t>2.1 询比文件的组成</w:t>
      </w:r>
      <w:bookmarkEnd w:id="68"/>
      <w:bookmarkEnd w:id="69"/>
    </w:p>
    <w:p w14:paraId="408FA98D">
      <w:pPr>
        <w:spacing w:line="440" w:lineRule="exact"/>
        <w:ind w:firstLine="420"/>
        <w:rPr>
          <w:rFonts w:ascii="Times New Roman" w:hAnsi="Times New Roman" w:cs="Times New Roman"/>
          <w:color w:val="auto"/>
        </w:rPr>
      </w:pPr>
      <w:r>
        <w:rPr>
          <w:rFonts w:ascii="Times New Roman" w:hAnsi="Times New Roman" w:cs="Times New Roman"/>
          <w:color w:val="auto"/>
        </w:rPr>
        <w:t>本询比文件包括：</w:t>
      </w:r>
    </w:p>
    <w:p w14:paraId="14E658D9">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采购公告</w:t>
      </w:r>
      <w:r>
        <w:rPr>
          <w:rFonts w:ascii="Times New Roman" w:hAnsi="Times New Roman" w:cs="Times New Roman"/>
          <w:color w:val="auto"/>
        </w:rPr>
        <w:t>；</w:t>
      </w:r>
    </w:p>
    <w:p w14:paraId="51A258FD">
      <w:pPr>
        <w:spacing w:line="440" w:lineRule="exact"/>
        <w:ind w:firstLine="420"/>
        <w:rPr>
          <w:rFonts w:ascii="Times New Roman" w:hAnsi="Times New Roman" w:cs="Times New Roman"/>
          <w:color w:val="auto"/>
        </w:rPr>
      </w:pPr>
      <w:r>
        <w:rPr>
          <w:rFonts w:ascii="Times New Roman" w:hAnsi="Times New Roman" w:cs="Times New Roman"/>
          <w:color w:val="auto"/>
        </w:rPr>
        <w:t>（2）供应商须知；</w:t>
      </w:r>
    </w:p>
    <w:p w14:paraId="1F8479CC">
      <w:pPr>
        <w:spacing w:line="440" w:lineRule="exact"/>
        <w:ind w:firstLine="420"/>
        <w:rPr>
          <w:rFonts w:ascii="Times New Roman" w:hAnsi="Times New Roman" w:cs="Times New Roman"/>
          <w:color w:val="auto"/>
        </w:rPr>
      </w:pPr>
      <w:r>
        <w:rPr>
          <w:rFonts w:ascii="Times New Roman" w:hAnsi="Times New Roman" w:cs="Times New Roman"/>
          <w:color w:val="auto"/>
        </w:rPr>
        <w:t>（3）评审办法；</w:t>
      </w:r>
    </w:p>
    <w:p w14:paraId="3DD9E754">
      <w:pPr>
        <w:spacing w:line="440" w:lineRule="exact"/>
        <w:ind w:firstLine="420"/>
        <w:rPr>
          <w:rFonts w:ascii="Times New Roman" w:hAnsi="Times New Roman" w:cs="Times New Roman"/>
          <w:color w:val="auto"/>
        </w:rPr>
      </w:pPr>
      <w:r>
        <w:rPr>
          <w:rFonts w:ascii="Times New Roman" w:hAnsi="Times New Roman" w:cs="Times New Roman"/>
          <w:color w:val="auto"/>
        </w:rPr>
        <w:t>（4）合同条款及格式；</w:t>
      </w:r>
    </w:p>
    <w:p w14:paraId="7D1CE668">
      <w:pPr>
        <w:spacing w:line="440" w:lineRule="exact"/>
        <w:ind w:firstLine="420"/>
        <w:rPr>
          <w:rFonts w:ascii="Times New Roman" w:hAnsi="Times New Roman" w:cs="Times New Roman"/>
          <w:color w:val="auto"/>
        </w:rPr>
      </w:pPr>
      <w:r>
        <w:rPr>
          <w:rFonts w:ascii="Times New Roman" w:hAnsi="Times New Roman" w:cs="Times New Roman"/>
          <w:color w:val="auto"/>
        </w:rPr>
        <w:t>（5）采购需求及清单；</w:t>
      </w:r>
    </w:p>
    <w:p w14:paraId="762A7B61">
      <w:pPr>
        <w:spacing w:line="440" w:lineRule="exact"/>
        <w:ind w:firstLine="420"/>
        <w:rPr>
          <w:rFonts w:ascii="Times New Roman" w:hAnsi="Times New Roman" w:cs="Times New Roman"/>
          <w:color w:val="auto"/>
        </w:rPr>
      </w:pPr>
      <w:r>
        <w:rPr>
          <w:rFonts w:ascii="Times New Roman" w:hAnsi="Times New Roman" w:cs="Times New Roman"/>
          <w:color w:val="auto"/>
        </w:rPr>
        <w:t>（6）响应文件格式</w:t>
      </w:r>
      <w:r>
        <w:rPr>
          <w:rFonts w:hint="eastAsia" w:ascii="Times New Roman" w:hAnsi="Times New Roman" w:cs="Times New Roman"/>
          <w:color w:val="auto"/>
        </w:rPr>
        <w:t>。</w:t>
      </w:r>
    </w:p>
    <w:p w14:paraId="2A60640C">
      <w:pPr>
        <w:spacing w:line="440" w:lineRule="exact"/>
        <w:ind w:firstLine="420"/>
        <w:rPr>
          <w:rFonts w:ascii="Times New Roman" w:hAnsi="Times New Roman" w:cs="Times New Roman"/>
          <w:color w:val="auto"/>
        </w:rPr>
      </w:pPr>
      <w:r>
        <w:rPr>
          <w:rFonts w:ascii="Times New Roman" w:hAnsi="Times New Roman" w:cs="Times New Roman"/>
          <w:color w:val="auto"/>
        </w:rPr>
        <w:t>根据本章第2.2款对询比文件所作的澄清、修改，构成询比文件的组成部分。</w:t>
      </w:r>
    </w:p>
    <w:p w14:paraId="64D694B1">
      <w:pPr>
        <w:spacing w:line="440" w:lineRule="exact"/>
        <w:ind w:firstLine="420"/>
        <w:rPr>
          <w:rFonts w:ascii="Times New Roman" w:hAnsi="Times New Roman" w:cs="Times New Roman"/>
          <w:color w:val="auto"/>
        </w:rPr>
      </w:pPr>
      <w:r>
        <w:rPr>
          <w:rFonts w:ascii="Times New Roman" w:hAnsi="Times New Roman" w:cs="Times New Roman"/>
          <w:color w:val="auto"/>
        </w:rPr>
        <w:t>当询比文件、询比文件的澄清或修改等在同一内容的表述上不一致时，以最后发出的书面文件为准。</w:t>
      </w:r>
    </w:p>
    <w:p w14:paraId="6B83A7B0">
      <w:pPr>
        <w:keepNext/>
        <w:keepLines/>
        <w:spacing w:before="120" w:after="120"/>
        <w:outlineLvl w:val="2"/>
        <w:rPr>
          <w:rFonts w:ascii="Times New Roman" w:hAnsi="Times New Roman" w:eastAsia="黑体" w:cs="Times New Roman"/>
          <w:bCs/>
          <w:color w:val="auto"/>
          <w:sz w:val="24"/>
          <w:szCs w:val="32"/>
        </w:rPr>
      </w:pPr>
      <w:bookmarkStart w:id="70" w:name="_Toc14201222"/>
      <w:bookmarkStart w:id="71" w:name="_Toc26656953"/>
      <w:r>
        <w:rPr>
          <w:rFonts w:ascii="Times New Roman" w:hAnsi="Times New Roman" w:eastAsia="黑体" w:cs="Times New Roman"/>
          <w:bCs/>
          <w:color w:val="auto"/>
          <w:sz w:val="24"/>
          <w:szCs w:val="32"/>
        </w:rPr>
        <w:t>2.2 询比文件的澄清</w:t>
      </w:r>
      <w:bookmarkEnd w:id="70"/>
      <w:bookmarkEnd w:id="71"/>
      <w:r>
        <w:rPr>
          <w:rFonts w:hint="eastAsia" w:ascii="Times New Roman" w:hAnsi="Times New Roman" w:eastAsia="黑体" w:cs="Times New Roman"/>
          <w:bCs/>
          <w:color w:val="auto"/>
          <w:sz w:val="24"/>
          <w:szCs w:val="32"/>
        </w:rPr>
        <w:t>与修改</w:t>
      </w:r>
    </w:p>
    <w:p w14:paraId="74A98934">
      <w:pPr>
        <w:spacing w:line="440" w:lineRule="exact"/>
        <w:ind w:firstLine="420"/>
        <w:rPr>
          <w:rFonts w:ascii="Times New Roman" w:hAnsi="Times New Roman" w:cs="Times New Roman"/>
          <w:color w:val="auto"/>
        </w:rPr>
      </w:pPr>
      <w:r>
        <w:rPr>
          <w:rFonts w:ascii="Times New Roman" w:hAnsi="Times New Roman" w:cs="Times New Roman"/>
          <w:color w:val="auto"/>
        </w:rPr>
        <w:t>2.2.1供应商如有疑问，应在递交</w:t>
      </w:r>
      <w:r>
        <w:rPr>
          <w:rFonts w:hint="eastAsia" w:ascii="Times New Roman" w:hAnsi="Times New Roman" w:cs="Times New Roman"/>
          <w:color w:val="auto"/>
        </w:rPr>
        <w:t>响应</w:t>
      </w:r>
      <w:r>
        <w:rPr>
          <w:rFonts w:ascii="Times New Roman" w:hAnsi="Times New Roman" w:cs="Times New Roman"/>
          <w:color w:val="auto"/>
        </w:rPr>
        <w:t>文件的截止时间</w:t>
      </w:r>
      <w:r>
        <w:rPr>
          <w:rFonts w:hint="eastAsia" w:ascii="Times New Roman" w:hAnsi="Times New Roman" w:cs="Times New Roman"/>
          <w:color w:val="auto"/>
        </w:rPr>
        <w:t>前3日</w:t>
      </w:r>
      <w:r>
        <w:rPr>
          <w:rFonts w:ascii="Times New Roman" w:hAnsi="Times New Roman" w:cs="Times New Roman"/>
          <w:color w:val="auto"/>
        </w:rPr>
        <w:t>前</w:t>
      </w:r>
      <w:r>
        <w:rPr>
          <w:rFonts w:hint="eastAsia" w:ascii="Times New Roman" w:hAnsi="Times New Roman" w:cs="Times New Roman"/>
          <w:color w:val="auto"/>
        </w:rPr>
        <w:t>通过书面方式</w:t>
      </w:r>
      <w:r>
        <w:rPr>
          <w:rFonts w:ascii="Times New Roman" w:hAnsi="Times New Roman" w:cs="Times New Roman"/>
          <w:color w:val="auto"/>
        </w:rPr>
        <w:t>要求采购人对询比文件予以澄清</w:t>
      </w:r>
      <w:r>
        <w:rPr>
          <w:rFonts w:hint="eastAsia" w:ascii="Times New Roman" w:hAnsi="Times New Roman" w:cs="Times New Roman"/>
          <w:color w:val="auto"/>
        </w:rPr>
        <w:t>或修改</w:t>
      </w:r>
      <w:r>
        <w:rPr>
          <w:rFonts w:ascii="Times New Roman" w:hAnsi="Times New Roman" w:cs="Times New Roman"/>
          <w:color w:val="auto"/>
        </w:rPr>
        <w:t>。</w:t>
      </w:r>
    </w:p>
    <w:p w14:paraId="24AB56CA">
      <w:pPr>
        <w:spacing w:line="440" w:lineRule="exact"/>
        <w:ind w:firstLine="420"/>
        <w:rPr>
          <w:rFonts w:ascii="Times New Roman" w:hAnsi="Times New Roman" w:cs="Times New Roman"/>
          <w:color w:val="auto"/>
        </w:rPr>
      </w:pPr>
      <w:r>
        <w:rPr>
          <w:rFonts w:ascii="Times New Roman" w:hAnsi="Times New Roman" w:cs="Times New Roman"/>
          <w:color w:val="auto"/>
        </w:rPr>
        <w:t>2.2.</w:t>
      </w:r>
      <w:r>
        <w:rPr>
          <w:rFonts w:hint="eastAsia" w:ascii="Times New Roman" w:hAnsi="Times New Roman" w:cs="Times New Roman"/>
          <w:color w:val="auto"/>
        </w:rPr>
        <w:t>2</w:t>
      </w:r>
      <w:r>
        <w:rPr>
          <w:rFonts w:ascii="Times New Roman" w:hAnsi="Times New Roman" w:cs="Times New Roman"/>
          <w:color w:val="auto"/>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rPr>
        <w:t>或修改</w:t>
      </w:r>
      <w:r>
        <w:rPr>
          <w:rFonts w:ascii="Times New Roman" w:hAnsi="Times New Roman" w:cs="Times New Roman"/>
          <w:color w:val="auto"/>
        </w:rPr>
        <w:t>要求。</w:t>
      </w:r>
    </w:p>
    <w:p w14:paraId="78D5D643">
      <w:pPr>
        <w:keepNext/>
        <w:keepLines/>
        <w:spacing w:before="156" w:beforeLines="50" w:after="156" w:afterLines="50"/>
        <w:outlineLvl w:val="1"/>
        <w:rPr>
          <w:rFonts w:ascii="Times New Roman" w:hAnsi="Times New Roman" w:eastAsia="黑体" w:cs="Times New Roman"/>
          <w:bCs/>
          <w:color w:val="auto"/>
          <w:sz w:val="24"/>
          <w:szCs w:val="32"/>
        </w:rPr>
      </w:pPr>
      <w:bookmarkStart w:id="72" w:name="_Toc14201225"/>
      <w:bookmarkStart w:id="73" w:name="_Toc9067722"/>
      <w:bookmarkStart w:id="74" w:name="_Toc26656956"/>
      <w:r>
        <w:rPr>
          <w:rFonts w:ascii="Times New Roman" w:hAnsi="Times New Roman" w:eastAsia="黑体" w:cs="Times New Roman"/>
          <w:bCs/>
          <w:color w:val="auto"/>
          <w:sz w:val="24"/>
          <w:szCs w:val="32"/>
        </w:rPr>
        <w:t xml:space="preserve">3. </w:t>
      </w:r>
      <w:bookmarkEnd w:id="72"/>
      <w:bookmarkEnd w:id="73"/>
      <w:bookmarkEnd w:id="74"/>
      <w:r>
        <w:rPr>
          <w:rFonts w:ascii="Times New Roman" w:hAnsi="Times New Roman" w:eastAsia="黑体" w:cs="Times New Roman"/>
          <w:bCs/>
          <w:color w:val="auto"/>
          <w:sz w:val="24"/>
          <w:szCs w:val="32"/>
        </w:rPr>
        <w:t>响应文件</w:t>
      </w:r>
    </w:p>
    <w:p w14:paraId="62DA0192">
      <w:pPr>
        <w:keepNext/>
        <w:keepLines/>
        <w:spacing w:before="120" w:after="120"/>
        <w:outlineLvl w:val="2"/>
        <w:rPr>
          <w:rFonts w:ascii="Times New Roman" w:hAnsi="Times New Roman" w:eastAsia="黑体" w:cs="Times New Roman"/>
          <w:bCs/>
          <w:color w:val="auto"/>
          <w:sz w:val="24"/>
          <w:szCs w:val="32"/>
        </w:rPr>
      </w:pPr>
      <w:bookmarkStart w:id="75" w:name="_Toc26656957"/>
      <w:bookmarkStart w:id="76" w:name="_Toc14201226"/>
      <w:r>
        <w:rPr>
          <w:rFonts w:ascii="Times New Roman" w:hAnsi="Times New Roman" w:eastAsia="黑体" w:cs="Times New Roman"/>
          <w:bCs/>
          <w:color w:val="auto"/>
          <w:sz w:val="24"/>
          <w:szCs w:val="32"/>
        </w:rPr>
        <w:t>3.1响应文件的组成</w:t>
      </w:r>
      <w:bookmarkEnd w:id="75"/>
      <w:bookmarkEnd w:id="76"/>
    </w:p>
    <w:p w14:paraId="2CCFF1A1">
      <w:pPr>
        <w:spacing w:line="440" w:lineRule="exact"/>
        <w:ind w:firstLine="420"/>
        <w:rPr>
          <w:rFonts w:ascii="Times New Roman" w:hAnsi="Times New Roman" w:cs="Times New Roman"/>
          <w:color w:val="auto"/>
        </w:rPr>
      </w:pPr>
      <w:r>
        <w:rPr>
          <w:rFonts w:ascii="Times New Roman" w:hAnsi="Times New Roman" w:cs="Times New Roman"/>
          <w:color w:val="auto"/>
        </w:rPr>
        <w:t>响应文件应包括下列内容：</w:t>
      </w:r>
    </w:p>
    <w:p w14:paraId="18983406">
      <w:pPr>
        <w:spacing w:line="440" w:lineRule="exact"/>
        <w:ind w:firstLine="420" w:firstLineChars="200"/>
        <w:rPr>
          <w:rFonts w:ascii="Times New Roman" w:hAnsi="Times New Roman" w:cs="Times New Roman"/>
          <w:color w:val="auto"/>
        </w:rPr>
      </w:pPr>
      <w:bookmarkStart w:id="77" w:name="_Toc14201227"/>
      <w:bookmarkStart w:id="78" w:name="_Toc26656958"/>
      <w:r>
        <w:rPr>
          <w:rFonts w:ascii="Times New Roman" w:hAnsi="Times New Roman" w:cs="Times New Roman"/>
          <w:color w:val="auto"/>
        </w:rPr>
        <w:t>（1）</w:t>
      </w:r>
      <w:r>
        <w:rPr>
          <w:rFonts w:hint="eastAsia" w:ascii="Times New Roman" w:hAnsi="Times New Roman" w:cs="Times New Roman"/>
          <w:color w:val="auto"/>
        </w:rPr>
        <w:t>响应</w:t>
      </w:r>
      <w:r>
        <w:rPr>
          <w:rFonts w:ascii="Times New Roman" w:hAnsi="Times New Roman" w:cs="Times New Roman"/>
          <w:color w:val="auto"/>
        </w:rPr>
        <w:t>函</w:t>
      </w:r>
      <w:r>
        <w:rPr>
          <w:rFonts w:hint="eastAsia" w:ascii="Times New Roman" w:hAnsi="Times New Roman" w:cs="Times New Roman"/>
          <w:color w:val="auto"/>
        </w:rPr>
        <w:t>；</w:t>
      </w:r>
    </w:p>
    <w:p w14:paraId="461434FA">
      <w:pPr>
        <w:spacing w:line="440" w:lineRule="exact"/>
        <w:ind w:firstLine="420" w:firstLineChars="200"/>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法定代表人身份证明</w:t>
      </w:r>
      <w:r>
        <w:rPr>
          <w:rFonts w:hint="eastAsia" w:ascii="Times New Roman" w:hAnsi="Times New Roman" w:cs="Times New Roman"/>
          <w:color w:val="auto"/>
        </w:rPr>
        <w:t>；</w:t>
      </w:r>
    </w:p>
    <w:p w14:paraId="1AE9295B">
      <w:pPr>
        <w:spacing w:line="440" w:lineRule="exact"/>
        <w:ind w:firstLine="420" w:firstLineChars="200"/>
        <w:rPr>
          <w:rFonts w:ascii="Times New Roman" w:hAnsi="Times New Roman" w:cs="Times New Roman"/>
          <w:color w:val="auto"/>
        </w:rPr>
      </w:pPr>
      <w:r>
        <w:rPr>
          <w:rFonts w:hint="eastAsia" w:ascii="Times New Roman" w:hAnsi="Times New Roman" w:cs="Times New Roman"/>
          <w:color w:val="auto"/>
        </w:rPr>
        <w:t>（3）</w:t>
      </w:r>
      <w:r>
        <w:rPr>
          <w:rFonts w:ascii="Times New Roman" w:hAnsi="Times New Roman" w:cs="Times New Roman"/>
          <w:color w:val="auto"/>
        </w:rPr>
        <w:t>授权委托书</w:t>
      </w:r>
    </w:p>
    <w:p w14:paraId="3135A253">
      <w:pPr>
        <w:spacing w:line="440" w:lineRule="exact"/>
        <w:ind w:firstLine="420"/>
        <w:rPr>
          <w:rFonts w:ascii="Times New Roman" w:hAnsi="Times New Roman" w:cs="Times New Roman"/>
          <w:color w:val="auto"/>
        </w:rPr>
      </w:pPr>
      <w:r>
        <w:rPr>
          <w:rFonts w:hint="eastAsia" w:ascii="Times New Roman" w:hAnsi="Times New Roman" w:cs="Times New Roman"/>
          <w:color w:val="auto"/>
        </w:rPr>
        <w:t>（4）</w:t>
      </w:r>
      <w:r>
        <w:rPr>
          <w:rFonts w:ascii="Times New Roman" w:hAnsi="Times New Roman" w:cs="Times New Roman"/>
          <w:color w:val="auto"/>
        </w:rPr>
        <w:t>响应保证金</w:t>
      </w:r>
    </w:p>
    <w:p w14:paraId="41451DE4">
      <w:pPr>
        <w:spacing w:line="440" w:lineRule="exact"/>
        <w:ind w:firstLine="420"/>
        <w:rPr>
          <w:rFonts w:ascii="Times New Roman" w:hAnsi="Times New Roman" w:cs="Times New Roman"/>
          <w:color w:val="auto"/>
        </w:rPr>
      </w:pPr>
      <w:r>
        <w:rPr>
          <w:rFonts w:hint="eastAsia" w:ascii="Times New Roman" w:hAnsi="Times New Roman" w:cs="Times New Roman"/>
          <w:color w:val="auto"/>
        </w:rPr>
        <w:t>（5）</w:t>
      </w:r>
      <w:r>
        <w:rPr>
          <w:rFonts w:ascii="Times New Roman" w:hAnsi="Times New Roman" w:cs="Times New Roman"/>
          <w:color w:val="auto"/>
        </w:rPr>
        <w:t>资格证明材料</w:t>
      </w:r>
      <w:r>
        <w:rPr>
          <w:rFonts w:hint="eastAsia" w:ascii="Times New Roman" w:hAnsi="Times New Roman" w:cs="Times New Roman"/>
          <w:color w:val="auto"/>
        </w:rPr>
        <w:t>；</w:t>
      </w:r>
    </w:p>
    <w:p w14:paraId="2051BA52">
      <w:pPr>
        <w:spacing w:line="440" w:lineRule="exact"/>
        <w:ind w:firstLine="420"/>
        <w:rPr>
          <w:rFonts w:ascii="Times New Roman" w:hAnsi="Times New Roman" w:cs="Times New Roman"/>
          <w:color w:val="auto"/>
        </w:rPr>
      </w:pPr>
      <w:r>
        <w:rPr>
          <w:rFonts w:hint="eastAsia" w:ascii="Times New Roman" w:hAnsi="Times New Roman" w:cs="Times New Roman"/>
          <w:color w:val="auto"/>
        </w:rPr>
        <w:t>（6）服务</w:t>
      </w:r>
      <w:r>
        <w:rPr>
          <w:rFonts w:ascii="Times New Roman" w:hAnsi="Times New Roman" w:cs="Times New Roman"/>
          <w:color w:val="auto"/>
        </w:rPr>
        <w:t>方案</w:t>
      </w:r>
      <w:r>
        <w:rPr>
          <w:rFonts w:hint="eastAsia" w:ascii="Times New Roman" w:hAnsi="Times New Roman" w:cs="Times New Roman"/>
          <w:color w:val="auto"/>
        </w:rPr>
        <w:t>；</w:t>
      </w:r>
    </w:p>
    <w:p w14:paraId="0AE992B3">
      <w:pPr>
        <w:spacing w:line="440" w:lineRule="exact"/>
        <w:ind w:firstLine="420"/>
        <w:rPr>
          <w:rFonts w:ascii="Times New Roman" w:hAnsi="Times New Roman" w:cs="Times New Roman"/>
          <w:color w:val="auto"/>
        </w:rPr>
      </w:pPr>
      <w:r>
        <w:rPr>
          <w:rFonts w:hint="eastAsia" w:ascii="Times New Roman" w:hAnsi="Times New Roman" w:cs="Times New Roman"/>
          <w:color w:val="auto"/>
        </w:rPr>
        <w:t>（7）其他材料。</w:t>
      </w:r>
    </w:p>
    <w:p w14:paraId="4414C0D8">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3.2报价</w:t>
      </w:r>
      <w:bookmarkEnd w:id="77"/>
      <w:bookmarkEnd w:id="78"/>
      <w:r>
        <w:rPr>
          <w:rFonts w:ascii="Times New Roman" w:hAnsi="Times New Roman" w:eastAsia="黑体" w:cs="Times New Roman"/>
          <w:bCs/>
          <w:color w:val="auto"/>
          <w:sz w:val="24"/>
          <w:szCs w:val="32"/>
        </w:rPr>
        <w:t>要求</w:t>
      </w:r>
    </w:p>
    <w:p w14:paraId="2D75E4A6">
      <w:pPr>
        <w:spacing w:line="440" w:lineRule="exact"/>
        <w:ind w:firstLine="420"/>
        <w:rPr>
          <w:rFonts w:ascii="Times New Roman" w:hAnsi="Times New Roman" w:cs="Times New Roman"/>
          <w:color w:val="auto"/>
        </w:rPr>
      </w:pPr>
      <w:r>
        <w:rPr>
          <w:rFonts w:ascii="Times New Roman" w:hAnsi="Times New Roman" w:cs="Times New Roman"/>
          <w:color w:val="auto"/>
        </w:rPr>
        <w:t>3.2.1 报价应包括国家规定的增值税税金</w:t>
      </w:r>
      <w:r>
        <w:rPr>
          <w:rFonts w:hint="eastAsia" w:ascii="Times New Roman" w:hAnsi="Times New Roman" w:cs="Times New Roman"/>
          <w:color w:val="auto"/>
        </w:rPr>
        <w:t>，供应商应提供增值税专用发票</w:t>
      </w:r>
      <w:r>
        <w:rPr>
          <w:rFonts w:ascii="Times New Roman" w:hAnsi="Times New Roman" w:cs="Times New Roman"/>
          <w:color w:val="auto"/>
        </w:rPr>
        <w:t>。</w:t>
      </w:r>
    </w:p>
    <w:p w14:paraId="52B6185C">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3.2.2 </w:t>
      </w:r>
      <w:r>
        <w:rPr>
          <w:rFonts w:ascii="Times New Roman" w:hAnsi="Times New Roman" w:cs="Times New Roman"/>
          <w:color w:val="auto"/>
        </w:rPr>
        <w:t>供应商应按第六章“响应文件格式”的要求在报价函中进行报价并填写</w:t>
      </w:r>
      <w:r>
        <w:rPr>
          <w:rFonts w:hint="eastAsia" w:ascii="Times New Roman" w:hAnsi="Times New Roman" w:cs="Times New Roman"/>
          <w:color w:val="auto"/>
        </w:rPr>
        <w:t>报价清单</w:t>
      </w:r>
      <w:r>
        <w:rPr>
          <w:rFonts w:ascii="Times New Roman" w:hAnsi="Times New Roman" w:cs="Times New Roman"/>
          <w:color w:val="auto"/>
        </w:rPr>
        <w:t>相应表格。</w:t>
      </w:r>
    </w:p>
    <w:p w14:paraId="556EA831">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3</w:t>
      </w:r>
      <w:r>
        <w:rPr>
          <w:rFonts w:ascii="Times New Roman" w:hAnsi="Times New Roman" w:cs="Times New Roman"/>
          <w:color w:val="auto"/>
        </w:rPr>
        <w:t>采购人设有最高限价的，供应商的报价不得超过最高限价，</w:t>
      </w:r>
      <w:r>
        <w:rPr>
          <w:rFonts w:hint="eastAsia" w:ascii="Times New Roman" w:hAnsi="Times New Roman" w:cs="Times New Roman"/>
          <w:color w:val="auto"/>
        </w:rPr>
        <w:t>否则其报价将被否决，</w:t>
      </w:r>
      <w:r>
        <w:rPr>
          <w:rFonts w:ascii="Times New Roman" w:hAnsi="Times New Roman" w:cs="Times New Roman"/>
          <w:color w:val="auto"/>
        </w:rPr>
        <w:t>最高限价</w:t>
      </w:r>
      <w:r>
        <w:rPr>
          <w:rFonts w:hint="eastAsia" w:ascii="Times New Roman" w:hAnsi="Times New Roman" w:cs="Times New Roman"/>
          <w:color w:val="auto"/>
        </w:rPr>
        <w:t>见第一章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rPr>
        <w:t>第2.5款</w:t>
      </w:r>
      <w:r>
        <w:rPr>
          <w:rFonts w:ascii="Times New Roman" w:hAnsi="Times New Roman" w:cs="Times New Roman"/>
          <w:color w:val="auto"/>
        </w:rPr>
        <w:t>。</w:t>
      </w:r>
    </w:p>
    <w:p w14:paraId="251F9616">
      <w:pPr>
        <w:spacing w:line="440" w:lineRule="exact"/>
        <w:ind w:firstLine="420"/>
        <w:rPr>
          <w:rFonts w:ascii="Times New Roman" w:hAnsi="Times New Roman" w:cs="Times New Roman"/>
          <w:color w:val="auto"/>
          <w:u w:val="single"/>
        </w:rPr>
      </w:pPr>
      <w:r>
        <w:rPr>
          <w:rFonts w:hint="eastAsia" w:ascii="Times New Roman" w:hAnsi="Times New Roman" w:cs="Times New Roman"/>
          <w:color w:val="auto"/>
        </w:rPr>
        <w:t>3.2.4</w:t>
      </w:r>
      <w:r>
        <w:rPr>
          <w:rFonts w:ascii="Times New Roman" w:hAnsi="Times New Roman" w:cs="Times New Roman"/>
          <w:color w:val="auto"/>
        </w:rPr>
        <w:t>本项目的报价方式</w:t>
      </w:r>
      <w:r>
        <w:rPr>
          <w:rFonts w:hint="eastAsia" w:ascii="Times New Roman" w:hAnsi="Times New Roman" w:cs="Times New Roman"/>
          <w:color w:val="auto"/>
        </w:rPr>
        <w:t>为</w:t>
      </w:r>
      <w:r>
        <w:rPr>
          <w:rFonts w:hint="eastAsia" w:ascii="Times New Roman" w:hAnsi="Times New Roman" w:cs="Times New Roman"/>
          <w:color w:val="auto"/>
          <w:u w:val="single"/>
        </w:rPr>
        <w:t xml:space="preserve"> </w:t>
      </w:r>
      <w:r>
        <w:rPr>
          <w:rFonts w:hint="eastAsia" w:ascii="Times New Roman" w:hAnsi="Times New Roman" w:cs="Times New Roman"/>
          <w:b/>
          <w:bCs/>
          <w:color w:val="auto"/>
          <w:u w:val="single"/>
        </w:rPr>
        <w:t>费率报价</w:t>
      </w:r>
      <w:r>
        <w:rPr>
          <w:rFonts w:ascii="Times New Roman" w:hAnsi="Times New Roman" w:cs="Times New Roman"/>
          <w:color w:val="auto"/>
          <w:u w:val="single"/>
        </w:rPr>
        <w:t>。</w:t>
      </w:r>
    </w:p>
    <w:p w14:paraId="0B4496F6">
      <w:pPr>
        <w:spacing w:line="440" w:lineRule="exact"/>
        <w:ind w:firstLine="420"/>
        <w:rPr>
          <w:rFonts w:hint="eastAsia" w:ascii="Times New Roman" w:hAnsi="Times New Roman" w:cs="Times New Roman" w:eastAsiaTheme="minorEastAsia"/>
          <w:color w:val="auto"/>
          <w:u w:val="single"/>
          <w:lang w:eastAsia="zh-CN"/>
        </w:rPr>
      </w:pPr>
      <w:r>
        <w:rPr>
          <w:rFonts w:hint="eastAsia" w:ascii="Times New Roman" w:hAnsi="Times New Roman" w:cs="Times New Roman"/>
          <w:color w:val="auto"/>
          <w:u w:val="single"/>
        </w:rPr>
        <w:t>3.2.5报价的其他要求：本项目最高限价为100%，本次报价为费率报价，各</w:t>
      </w:r>
      <w:r>
        <w:rPr>
          <w:rFonts w:hint="eastAsia" w:ascii="Times New Roman" w:hAnsi="Times New Roman" w:cs="Times New Roman"/>
          <w:color w:val="auto"/>
          <w:u w:val="single"/>
          <w:lang w:val="en-US" w:eastAsia="zh-CN"/>
        </w:rPr>
        <w:t>分</w:t>
      </w:r>
      <w:r>
        <w:rPr>
          <w:rFonts w:hint="eastAsia" w:ascii="Times New Roman" w:hAnsi="Times New Roman" w:cs="Times New Roman"/>
          <w:color w:val="auto"/>
          <w:u w:val="single"/>
        </w:rPr>
        <w:t>项报价</w:t>
      </w:r>
      <w:r>
        <w:rPr>
          <w:rFonts w:hint="eastAsia" w:ascii="Times New Roman" w:hAnsi="Times New Roman" w:cs="Times New Roman"/>
          <w:color w:val="auto"/>
          <w:u w:val="single"/>
          <w:lang w:val="en-US" w:eastAsia="zh-CN"/>
        </w:rPr>
        <w:t>统一</w:t>
      </w:r>
      <w:r>
        <w:rPr>
          <w:rFonts w:hint="eastAsia" w:ascii="Times New Roman" w:hAnsi="Times New Roman" w:cs="Times New Roman"/>
          <w:color w:val="auto"/>
          <w:u w:val="single"/>
        </w:rPr>
        <w:t>费率，保留小数点后一位</w:t>
      </w:r>
      <w:r>
        <w:rPr>
          <w:rFonts w:hint="eastAsia" w:ascii="Times New Roman" w:hAnsi="Times New Roman" w:cs="Times New Roman"/>
          <w:color w:val="auto"/>
          <w:u w:val="single"/>
          <w:lang w:eastAsia="zh-CN"/>
        </w:rPr>
        <w:t>。</w:t>
      </w:r>
    </w:p>
    <w:p w14:paraId="184585D9">
      <w:pPr>
        <w:keepNext/>
        <w:keepLines/>
        <w:spacing w:before="120" w:after="120"/>
        <w:outlineLvl w:val="2"/>
        <w:rPr>
          <w:rFonts w:ascii="Times New Roman" w:hAnsi="Times New Roman" w:eastAsia="黑体" w:cs="Times New Roman"/>
          <w:bCs/>
          <w:color w:val="auto"/>
          <w:sz w:val="24"/>
          <w:szCs w:val="32"/>
        </w:rPr>
      </w:pPr>
      <w:bookmarkStart w:id="79" w:name="_Toc26656959"/>
      <w:bookmarkStart w:id="80" w:name="_Toc14201228"/>
      <w:r>
        <w:rPr>
          <w:rFonts w:ascii="Times New Roman" w:hAnsi="Times New Roman" w:eastAsia="黑体" w:cs="Times New Roman"/>
          <w:bCs/>
          <w:color w:val="auto"/>
          <w:sz w:val="24"/>
          <w:szCs w:val="32"/>
        </w:rPr>
        <w:t>3.3</w:t>
      </w:r>
      <w:bookmarkEnd w:id="79"/>
      <w:bookmarkEnd w:id="80"/>
      <w:r>
        <w:rPr>
          <w:rFonts w:ascii="Times New Roman" w:hAnsi="Times New Roman" w:eastAsia="黑体" w:cs="Times New Roman"/>
          <w:bCs/>
          <w:color w:val="auto"/>
          <w:sz w:val="24"/>
          <w:szCs w:val="32"/>
        </w:rPr>
        <w:t>响应有效期</w:t>
      </w:r>
    </w:p>
    <w:p w14:paraId="373389F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3.3.1 响应有效期为</w:t>
      </w:r>
      <w:r>
        <w:rPr>
          <w:rFonts w:ascii="Times New Roman" w:hAnsi="Times New Roman" w:eastAsia="宋体" w:cs="Times New Roman"/>
          <w:color w:val="auto"/>
          <w:szCs w:val="21"/>
        </w:rPr>
        <w:t>自供应商递交响应文件截止之日起计算</w:t>
      </w: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0</w:t>
      </w:r>
      <w:r>
        <w:rPr>
          <w:rFonts w:ascii="Times New Roman" w:hAnsi="Times New Roman" w:cs="Times New Roman"/>
          <w:color w:val="auto"/>
        </w:rPr>
        <w:t>日。</w:t>
      </w:r>
    </w:p>
    <w:p w14:paraId="7B8C072D">
      <w:pPr>
        <w:spacing w:line="440" w:lineRule="exact"/>
        <w:ind w:firstLine="420"/>
        <w:rPr>
          <w:rFonts w:ascii="Times New Roman" w:hAnsi="Times New Roman" w:cs="Times New Roman"/>
          <w:color w:val="auto"/>
        </w:rPr>
      </w:pPr>
      <w:r>
        <w:rPr>
          <w:rFonts w:ascii="Times New Roman" w:hAnsi="Times New Roman" w:cs="Times New Roman"/>
          <w:color w:val="auto"/>
        </w:rPr>
        <w:t>3.3.2 在响应有效期内，供应商撤销响应文件的，应承担询比文件和法律规定的责任。</w:t>
      </w:r>
    </w:p>
    <w:p w14:paraId="6F51458D">
      <w:pPr>
        <w:keepNext/>
        <w:keepLines/>
        <w:spacing w:before="120" w:after="120" w:line="415" w:lineRule="auto"/>
        <w:outlineLvl w:val="2"/>
        <w:rPr>
          <w:rFonts w:ascii="Times New Roman" w:hAnsi="Times New Roman" w:eastAsia="黑体" w:cs="Times New Roman"/>
          <w:bCs/>
          <w:color w:val="auto"/>
          <w:sz w:val="24"/>
          <w:szCs w:val="32"/>
        </w:rPr>
      </w:pPr>
      <w:bookmarkStart w:id="81" w:name="_Toc14201229"/>
      <w:bookmarkStart w:id="82" w:name="_Toc26656960"/>
      <w:r>
        <w:rPr>
          <w:rFonts w:ascii="Times New Roman" w:hAnsi="Times New Roman" w:eastAsia="黑体" w:cs="Times New Roman"/>
          <w:bCs/>
          <w:color w:val="auto"/>
          <w:sz w:val="24"/>
          <w:szCs w:val="32"/>
        </w:rPr>
        <w:t>3.4</w:t>
      </w:r>
      <w:bookmarkEnd w:id="81"/>
      <w:bookmarkEnd w:id="82"/>
      <w:r>
        <w:rPr>
          <w:rFonts w:ascii="Times New Roman" w:hAnsi="Times New Roman" w:eastAsia="黑体" w:cs="Times New Roman"/>
          <w:bCs/>
          <w:color w:val="auto"/>
          <w:sz w:val="24"/>
          <w:szCs w:val="32"/>
        </w:rPr>
        <w:t>响应保证金</w:t>
      </w:r>
    </w:p>
    <w:p w14:paraId="7058D1A8">
      <w:pPr>
        <w:spacing w:line="440" w:lineRule="exact"/>
        <w:ind w:firstLine="420"/>
        <w:rPr>
          <w:rFonts w:ascii="Times New Roman" w:hAnsi="Times New Roman"/>
          <w:color w:val="auto"/>
        </w:rPr>
      </w:pPr>
      <w:r>
        <w:rPr>
          <w:rFonts w:ascii="Times New Roman" w:hAnsi="Times New Roman" w:cs="Times New Roman"/>
          <w:color w:val="auto"/>
        </w:rPr>
        <w:t>3.4.1 供应商在递交响应文件的同时，应按</w:t>
      </w:r>
      <w:r>
        <w:rPr>
          <w:rFonts w:hint="eastAsia" w:ascii="Times New Roman" w:hAnsi="Times New Roman" w:cs="Times New Roman"/>
          <w:color w:val="auto"/>
        </w:rPr>
        <w:t>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rPr>
        <w:t>第7条的要求</w:t>
      </w:r>
      <w:r>
        <w:rPr>
          <w:rFonts w:ascii="Times New Roman" w:hAnsi="Times New Roman" w:cs="Times New Roman"/>
          <w:color w:val="auto"/>
        </w:rPr>
        <w:t>递交响应保证金，并作为其响应文件的组成部分。</w:t>
      </w:r>
    </w:p>
    <w:p w14:paraId="40F8137F">
      <w:pPr>
        <w:spacing w:line="440" w:lineRule="exact"/>
        <w:ind w:firstLine="420"/>
        <w:rPr>
          <w:rFonts w:ascii="Times New Roman" w:hAnsi="Times New Roman" w:cs="Times New Roman"/>
          <w:color w:val="auto"/>
        </w:rPr>
      </w:pPr>
      <w:r>
        <w:rPr>
          <w:rFonts w:ascii="Times New Roman" w:hAnsi="Times New Roman" w:cs="Times New Roman"/>
          <w:color w:val="auto"/>
        </w:rPr>
        <w:t>无论采取何种形式的响应保证金，响应保证金有效期均应与响应有效期一致。</w:t>
      </w:r>
    </w:p>
    <w:p w14:paraId="517793AB">
      <w:pPr>
        <w:spacing w:line="440" w:lineRule="exact"/>
        <w:ind w:firstLine="420"/>
        <w:rPr>
          <w:rFonts w:ascii="Times New Roman" w:hAnsi="Times New Roman" w:cs="Times New Roman"/>
          <w:color w:val="auto"/>
        </w:rPr>
      </w:pPr>
      <w:r>
        <w:rPr>
          <w:rFonts w:ascii="Times New Roman" w:hAnsi="Times New Roman" w:cs="Times New Roman"/>
          <w:color w:val="auto"/>
        </w:rPr>
        <w:t>3.4.2 供应商不按本章第3.4.1项要求提交响应保证金的，</w:t>
      </w:r>
      <w:r>
        <w:rPr>
          <w:rFonts w:hint="eastAsia" w:ascii="Times New Roman" w:hAnsi="Times New Roman" w:cs="Times New Roman"/>
          <w:color w:val="auto"/>
        </w:rPr>
        <w:t>评审小组</w:t>
      </w:r>
      <w:r>
        <w:rPr>
          <w:rFonts w:ascii="Times New Roman" w:hAnsi="Times New Roman" w:cs="Times New Roman"/>
          <w:color w:val="auto"/>
        </w:rPr>
        <w:t>将否决其</w:t>
      </w:r>
      <w:r>
        <w:rPr>
          <w:rFonts w:hint="eastAsia" w:ascii="Times New Roman" w:hAnsi="Times New Roman" w:cs="Times New Roman"/>
          <w:color w:val="auto"/>
        </w:rPr>
        <w:t>响应文件</w:t>
      </w:r>
      <w:r>
        <w:rPr>
          <w:rFonts w:ascii="Times New Roman" w:hAnsi="Times New Roman" w:cs="Times New Roman"/>
          <w:color w:val="auto"/>
        </w:rPr>
        <w:t>。</w:t>
      </w:r>
    </w:p>
    <w:p w14:paraId="080F1E07">
      <w:pPr>
        <w:spacing w:line="440" w:lineRule="exact"/>
        <w:ind w:firstLine="420"/>
        <w:rPr>
          <w:rFonts w:ascii="Times New Roman" w:hAnsi="Times New Roman" w:cs="Times New Roman"/>
          <w:color w:val="auto"/>
        </w:rPr>
      </w:pPr>
      <w:r>
        <w:rPr>
          <w:rFonts w:ascii="Times New Roman" w:hAnsi="Times New Roman" w:cs="Times New Roman"/>
          <w:color w:val="auto"/>
        </w:rPr>
        <w:t>3.4.3 采购人在与成交人签订合同后5日内办理退还响应保证金手续。</w:t>
      </w:r>
    </w:p>
    <w:p w14:paraId="5F3423C2">
      <w:pPr>
        <w:spacing w:line="440" w:lineRule="exact"/>
        <w:ind w:firstLine="420"/>
        <w:outlineLvl w:val="3"/>
        <w:rPr>
          <w:rFonts w:ascii="Times New Roman" w:hAnsi="Times New Roman" w:cs="Times New Roman"/>
          <w:color w:val="auto"/>
        </w:rPr>
      </w:pPr>
      <w:r>
        <w:rPr>
          <w:rFonts w:ascii="Times New Roman" w:hAnsi="Times New Roman" w:cs="Times New Roman"/>
          <w:color w:val="auto"/>
        </w:rPr>
        <w:t>3.4.4 有下列情形之一的，响应保证金将不予退还：</w:t>
      </w:r>
    </w:p>
    <w:p w14:paraId="73CF6A3B">
      <w:pPr>
        <w:spacing w:line="440" w:lineRule="exact"/>
        <w:ind w:firstLine="420"/>
        <w:rPr>
          <w:rFonts w:ascii="Times New Roman" w:hAnsi="Times New Roman" w:cs="Times New Roman"/>
          <w:color w:val="auto"/>
        </w:rPr>
      </w:pPr>
      <w:r>
        <w:rPr>
          <w:rFonts w:ascii="Times New Roman" w:hAnsi="Times New Roman" w:cs="Times New Roman"/>
          <w:color w:val="auto"/>
        </w:rPr>
        <w:t>（1）供应商在规定的响应有效期内撤销其响应文件；</w:t>
      </w:r>
    </w:p>
    <w:p w14:paraId="0FB637BA">
      <w:pPr>
        <w:spacing w:line="440" w:lineRule="exact"/>
        <w:ind w:firstLine="420"/>
        <w:rPr>
          <w:rFonts w:ascii="Times New Roman" w:hAnsi="Times New Roman" w:cs="Times New Roman"/>
          <w:color w:val="auto"/>
        </w:rPr>
      </w:pPr>
      <w:r>
        <w:rPr>
          <w:rFonts w:ascii="Times New Roman" w:hAnsi="Times New Roman" w:cs="Times New Roman"/>
          <w:color w:val="auto"/>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r>
        <w:rPr>
          <w:rFonts w:hint="eastAsia" w:ascii="Times New Roman" w:hAnsi="Times New Roman" w:cs="Times New Roman"/>
          <w:color w:val="auto"/>
        </w:rPr>
        <w:t>。</w:t>
      </w:r>
    </w:p>
    <w:p w14:paraId="0F401E23">
      <w:pPr>
        <w:keepNext/>
        <w:keepLines/>
        <w:spacing w:before="120" w:after="120"/>
        <w:outlineLvl w:val="2"/>
        <w:rPr>
          <w:rFonts w:ascii="Times New Roman" w:hAnsi="Times New Roman" w:eastAsia="黑体" w:cs="Times New Roman"/>
          <w:bCs/>
          <w:color w:val="auto"/>
          <w:sz w:val="24"/>
          <w:szCs w:val="32"/>
        </w:rPr>
      </w:pPr>
      <w:bookmarkStart w:id="83" w:name="_Toc14201230"/>
      <w:bookmarkStart w:id="84" w:name="_Toc26656961"/>
      <w:r>
        <w:rPr>
          <w:rFonts w:ascii="Times New Roman" w:hAnsi="Times New Roman" w:eastAsia="黑体" w:cs="Times New Roman"/>
          <w:bCs/>
          <w:color w:val="auto"/>
          <w:sz w:val="24"/>
          <w:szCs w:val="32"/>
        </w:rPr>
        <w:t>3.5资格审查资料</w:t>
      </w:r>
      <w:bookmarkEnd w:id="83"/>
      <w:bookmarkEnd w:id="84"/>
    </w:p>
    <w:p w14:paraId="23D0BEAC">
      <w:pPr>
        <w:spacing w:line="440" w:lineRule="exact"/>
        <w:ind w:firstLine="420"/>
        <w:rPr>
          <w:rFonts w:ascii="Times New Roman" w:hAnsi="Times New Roman" w:cs="Times New Roman"/>
          <w:color w:val="auto"/>
        </w:rPr>
      </w:pPr>
      <w:r>
        <w:rPr>
          <w:rFonts w:ascii="Times New Roman" w:hAnsi="Times New Roman" w:cs="Times New Roman"/>
          <w:color w:val="auto"/>
        </w:rPr>
        <w:t>供应商应按第六章“响应文件格式”</w:t>
      </w:r>
      <w:r>
        <w:rPr>
          <w:rFonts w:hint="eastAsia" w:ascii="Times New Roman" w:hAnsi="Times New Roman" w:cs="Times New Roman"/>
          <w:color w:val="auto"/>
        </w:rPr>
        <w:t>的</w:t>
      </w:r>
      <w:r>
        <w:rPr>
          <w:rFonts w:ascii="Times New Roman" w:hAnsi="Times New Roman" w:cs="Times New Roman"/>
          <w:color w:val="auto"/>
        </w:rPr>
        <w:t>规定提供资格审查资料，以证明其满足本章第1.</w:t>
      </w:r>
      <w:r>
        <w:rPr>
          <w:rFonts w:hint="eastAsia" w:ascii="Times New Roman" w:hAnsi="Times New Roman" w:cs="Times New Roman"/>
          <w:color w:val="auto"/>
        </w:rPr>
        <w:t>2</w:t>
      </w:r>
      <w:r>
        <w:rPr>
          <w:rFonts w:ascii="Times New Roman" w:hAnsi="Times New Roman" w:cs="Times New Roman"/>
          <w:color w:val="auto"/>
        </w:rPr>
        <w:t>款规定的资质、业绩、信誉等要求。</w:t>
      </w:r>
    </w:p>
    <w:p w14:paraId="198ED635">
      <w:pPr>
        <w:keepNext/>
        <w:keepLines/>
        <w:spacing w:before="120" w:after="120"/>
        <w:outlineLvl w:val="2"/>
        <w:rPr>
          <w:rFonts w:ascii="Times New Roman" w:hAnsi="Times New Roman" w:eastAsia="黑体" w:cs="Times New Roman"/>
          <w:bCs/>
          <w:color w:val="auto"/>
          <w:sz w:val="24"/>
          <w:szCs w:val="32"/>
        </w:rPr>
      </w:pPr>
      <w:bookmarkStart w:id="85" w:name="_Toc26656963"/>
      <w:bookmarkStart w:id="86" w:name="_Toc14201232"/>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响应文件的编制</w:t>
      </w:r>
      <w:bookmarkEnd w:id="85"/>
      <w:bookmarkEnd w:id="86"/>
    </w:p>
    <w:p w14:paraId="5979456F">
      <w:pPr>
        <w:spacing w:line="440" w:lineRule="exact"/>
        <w:ind w:firstLine="420"/>
        <w:rPr>
          <w:rFonts w:hint="eastAsia" w:ascii="Times New Roman" w:hAnsi="Times New Roman" w:cs="Times New Roman" w:eastAsiaTheme="minorEastAsia"/>
          <w:color w:val="auto"/>
          <w:lang w:eastAsia="zh-CN"/>
        </w:rPr>
      </w:pPr>
      <w:bookmarkStart w:id="87" w:name="_Toc9067723"/>
      <w:bookmarkStart w:id="88" w:name="_Toc14201233"/>
      <w:bookmarkStart w:id="89" w:name="_Toc26656964"/>
      <w:r>
        <w:rPr>
          <w:rFonts w:hint="eastAsia" w:ascii="Times New Roman" w:hAnsi="Times New Roman" w:cs="Times New Roman"/>
          <w:color w:val="auto"/>
        </w:rPr>
        <w:t>（1）</w:t>
      </w:r>
      <w:r>
        <w:rPr>
          <w:rFonts w:ascii="Times New Roman" w:hAnsi="Times New Roman" w:cs="Times New Roman"/>
          <w:color w:val="auto"/>
        </w:rPr>
        <w:t>响应文件份数及其他要求：响应文件正本</w:t>
      </w:r>
      <w:r>
        <w:rPr>
          <w:rFonts w:hint="eastAsia" w:ascii="Times New Roman" w:hAnsi="Times New Roman" w:cs="Times New Roman"/>
          <w:color w:val="auto"/>
          <w:lang w:eastAsia="zh-CN"/>
        </w:rPr>
        <w:t>、</w:t>
      </w:r>
      <w:r>
        <w:rPr>
          <w:rFonts w:ascii="Times New Roman" w:hAnsi="Times New Roman" w:cs="Times New Roman"/>
          <w:color w:val="auto"/>
        </w:rPr>
        <w:t>副本</w:t>
      </w:r>
      <w:r>
        <w:rPr>
          <w:rFonts w:hint="eastAsia" w:ascii="Times New Roman" w:hAnsi="Times New Roman" w:cs="Times New Roman"/>
          <w:color w:val="auto"/>
          <w:lang w:val="en-US" w:eastAsia="zh-CN"/>
        </w:rPr>
        <w:t>各</w:t>
      </w:r>
      <w:r>
        <w:rPr>
          <w:rFonts w:ascii="Times New Roman" w:hAnsi="Times New Roman" w:cs="Times New Roman"/>
          <w:color w:val="auto"/>
        </w:rPr>
        <w:t>一份</w:t>
      </w:r>
      <w:r>
        <w:rPr>
          <w:rFonts w:hint="eastAsia" w:ascii="Times New Roman" w:hAnsi="Times New Roman" w:cs="Times New Roman"/>
          <w:color w:val="auto"/>
          <w:lang w:eastAsia="zh-CN"/>
        </w:rPr>
        <w:t>；</w:t>
      </w:r>
    </w:p>
    <w:p w14:paraId="178B31E6">
      <w:pPr>
        <w:spacing w:line="440" w:lineRule="exact"/>
        <w:ind w:firstLine="420"/>
        <w:rPr>
          <w:rFonts w:ascii="Times New Roman" w:hAnsi="Times New Roman" w:cs="Times New Roman"/>
          <w:b w:val="0"/>
          <w:bCs w:val="0"/>
          <w:color w:val="auto"/>
        </w:rPr>
      </w:pPr>
      <w:r>
        <w:rPr>
          <w:rFonts w:hint="eastAsia" w:ascii="Times New Roman" w:hAnsi="Times New Roman" w:cs="Times New Roman"/>
          <w:color w:val="auto"/>
        </w:rPr>
        <w:t>（2）电子版U盘：U盘上贴注所投项目名称为</w:t>
      </w:r>
      <w:r>
        <w:rPr>
          <w:rFonts w:hint="eastAsia" w:ascii="Times New Roman" w:hAnsi="Times New Roman" w:cs="Times New Roman"/>
          <w:color w:val="auto"/>
          <w:u w:val="single"/>
          <w:lang w:val="en-US" w:eastAsia="zh-CN"/>
        </w:rPr>
        <w:t>检定/校准服务量值溯源机构定点库采购</w:t>
      </w:r>
      <w:r>
        <w:rPr>
          <w:rFonts w:ascii="Times New Roman" w:hAnsi="Times New Roman" w:cs="Times New Roman"/>
          <w:color w:val="auto"/>
        </w:rPr>
        <w:t>且供应商填写的响应文件（</w:t>
      </w:r>
      <w:r>
        <w:rPr>
          <w:rFonts w:ascii="Times New Roman" w:hAnsi="Times New Roman" w:cs="Times New Roman"/>
          <w:b/>
          <w:bCs/>
          <w:color w:val="auto"/>
        </w:rPr>
        <w:t>盖章扫描件</w:t>
      </w:r>
      <w:r>
        <w:rPr>
          <w:rFonts w:ascii="Times New Roman" w:hAnsi="Times New Roman" w:cs="Times New Roman"/>
          <w:color w:val="auto"/>
        </w:rPr>
        <w:t>）备查</w:t>
      </w:r>
      <w:r>
        <w:rPr>
          <w:rFonts w:ascii="Times New Roman" w:hAnsi="Times New Roman" w:cs="Times New Roman"/>
          <w:b w:val="0"/>
          <w:bCs w:val="0"/>
          <w:color w:val="auto"/>
        </w:rPr>
        <w:t>，U盘和</w:t>
      </w:r>
      <w:r>
        <w:rPr>
          <w:rFonts w:hint="eastAsia" w:ascii="Times New Roman" w:hAnsi="Times New Roman" w:cs="Times New Roman"/>
          <w:b w:val="0"/>
          <w:bCs w:val="0"/>
          <w:color w:val="auto"/>
          <w:lang w:val="en-US" w:eastAsia="zh-CN"/>
        </w:rPr>
        <w:t>响应文件密</w:t>
      </w:r>
      <w:r>
        <w:rPr>
          <w:rFonts w:ascii="Times New Roman" w:hAnsi="Times New Roman" w:cs="Times New Roman"/>
          <w:b w:val="0"/>
          <w:bCs w:val="0"/>
          <w:color w:val="auto"/>
        </w:rPr>
        <w:t>封在一个封套内；</w:t>
      </w:r>
    </w:p>
    <w:p w14:paraId="53E78489">
      <w:pPr>
        <w:spacing w:line="440" w:lineRule="exact"/>
        <w:ind w:firstLine="420"/>
        <w:rPr>
          <w:rFonts w:ascii="Times New Roman" w:hAnsi="Times New Roman" w:cs="Times New Roman"/>
          <w:b w:val="0"/>
          <w:bCs w:val="0"/>
          <w:color w:val="auto"/>
        </w:rPr>
      </w:pPr>
      <w:r>
        <w:rPr>
          <w:rFonts w:ascii="Times New Roman" w:hAnsi="Times New Roman" w:cs="Times New Roman"/>
          <w:b w:val="0"/>
          <w:bCs w:val="0"/>
          <w:color w:val="auto"/>
        </w:rPr>
        <w:t>（3）装订要求：响应文件应</w:t>
      </w:r>
      <w:r>
        <w:rPr>
          <w:rFonts w:hint="eastAsia" w:ascii="Times New Roman" w:hAnsi="Times New Roman" w:cs="Times New Roman"/>
          <w:b w:val="0"/>
          <w:bCs w:val="0"/>
          <w:color w:val="auto"/>
        </w:rPr>
        <w:t>用A4纸</w:t>
      </w:r>
      <w:r>
        <w:rPr>
          <w:rFonts w:ascii="Times New Roman" w:hAnsi="Times New Roman" w:cs="Times New Roman"/>
          <w:b w:val="0"/>
          <w:bCs w:val="0"/>
          <w:color w:val="auto"/>
        </w:rPr>
        <w:t>胶装成册并标注连续页码，不允许活页装订，并逐页加盖公章</w:t>
      </w:r>
      <w:r>
        <w:rPr>
          <w:rFonts w:hint="eastAsia" w:ascii="Times New Roman" w:hAnsi="Times New Roman" w:cs="Times New Roman"/>
          <w:b w:val="0"/>
          <w:bCs w:val="0"/>
          <w:color w:val="auto"/>
          <w:lang w:val="en-US" w:eastAsia="zh-CN"/>
        </w:rPr>
        <w:t>、法人章或法人手写签名</w:t>
      </w:r>
      <w:r>
        <w:rPr>
          <w:rFonts w:ascii="Times New Roman" w:hAnsi="Times New Roman" w:cs="Times New Roman"/>
          <w:b w:val="0"/>
          <w:bCs w:val="0"/>
          <w:color w:val="auto"/>
        </w:rPr>
        <w:t>，</w:t>
      </w:r>
      <w:r>
        <w:rPr>
          <w:rFonts w:hint="eastAsia" w:ascii="Times New Roman" w:hAnsi="Times New Roman" w:cs="Times New Roman"/>
          <w:b w:val="0"/>
          <w:bCs w:val="0"/>
          <w:color w:val="auto"/>
          <w:lang w:val="en-US" w:eastAsia="zh-CN"/>
        </w:rPr>
        <w:t>法人签名处必须手签。</w:t>
      </w:r>
      <w:r>
        <w:rPr>
          <w:rFonts w:hint="eastAsia" w:ascii="Times New Roman" w:hAnsi="Times New Roman" w:cs="Times New Roman"/>
          <w:b w:val="0"/>
          <w:bCs w:val="0"/>
          <w:color w:val="auto"/>
        </w:rPr>
        <w:t>采购人不承担因此造成的任何后果。</w:t>
      </w:r>
    </w:p>
    <w:bookmarkEnd w:id="87"/>
    <w:bookmarkEnd w:id="88"/>
    <w:bookmarkEnd w:id="89"/>
    <w:p w14:paraId="48DD860E">
      <w:pPr>
        <w:keepNext/>
        <w:keepLines/>
        <w:spacing w:before="156" w:beforeLines="50" w:after="156" w:afterLines="50"/>
        <w:outlineLvl w:val="1"/>
        <w:rPr>
          <w:rFonts w:hint="default" w:ascii="Times New Roman" w:hAnsi="Times New Roman" w:eastAsia="黑体" w:cs="Times New Roman"/>
          <w:bCs/>
          <w:color w:val="auto"/>
          <w:sz w:val="24"/>
          <w:szCs w:val="32"/>
          <w:lang w:val="en-US" w:eastAsia="zh-CN"/>
        </w:rPr>
      </w:pPr>
      <w:bookmarkStart w:id="90" w:name="_Toc117"/>
      <w:r>
        <w:rPr>
          <w:rFonts w:ascii="Times New Roman" w:hAnsi="Times New Roman" w:eastAsia="黑体" w:cs="Times New Roman"/>
          <w:bCs/>
          <w:color w:val="auto"/>
          <w:sz w:val="24"/>
          <w:szCs w:val="32"/>
        </w:rPr>
        <w:t>4. 响应</w:t>
      </w:r>
      <w:r>
        <w:rPr>
          <w:rFonts w:hint="eastAsia" w:ascii="Times New Roman" w:hAnsi="Times New Roman" w:eastAsia="黑体" w:cs="Times New Roman"/>
          <w:bCs/>
          <w:color w:val="auto"/>
          <w:sz w:val="24"/>
          <w:szCs w:val="32"/>
          <w:lang w:val="en-US" w:eastAsia="zh-CN"/>
        </w:rPr>
        <w:t>文件的递交</w:t>
      </w:r>
    </w:p>
    <w:p w14:paraId="7171901D">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1" w:name="_Toc26656965"/>
      <w:bookmarkStart w:id="92" w:name="_Toc14201234"/>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1"/>
      <w:bookmarkEnd w:id="92"/>
    </w:p>
    <w:p w14:paraId="6CC22B61">
      <w:pPr>
        <w:snapToGrid w:val="0"/>
        <w:spacing w:line="312" w:lineRule="auto"/>
        <w:ind w:firstLine="420" w:firstLineChars="200"/>
        <w:rPr>
          <w:rFonts w:ascii="Times New Roman" w:hAnsi="Times New Roman"/>
          <w:sz w:val="22"/>
          <w:szCs w:val="21"/>
        </w:rPr>
      </w:pPr>
      <w:r>
        <w:rPr>
          <w:rFonts w:hint="default" w:ascii="Times New Roman" w:hAnsi="Times New Roman" w:cs="Times New Roman"/>
          <w:color w:val="auto"/>
          <w:highlight w:val="none"/>
        </w:rPr>
        <w:t>4.1.1</w:t>
      </w:r>
      <w:r>
        <w:rPr>
          <w:rFonts w:ascii="Times New Roman" w:hAnsi="Times New Roman"/>
          <w:sz w:val="22"/>
          <w:szCs w:val="21"/>
        </w:rPr>
        <w:t>本次</w:t>
      </w:r>
      <w:r>
        <w:rPr>
          <w:rFonts w:hint="eastAsia" w:ascii="Times New Roman" w:hAnsi="Times New Roman"/>
          <w:sz w:val="22"/>
          <w:szCs w:val="21"/>
          <w:lang w:val="en-US" w:eastAsia="zh-CN"/>
        </w:rPr>
        <w:t>询比采购</w:t>
      </w:r>
      <w:r>
        <w:rPr>
          <w:rFonts w:ascii="Times New Roman" w:hAnsi="Times New Roman"/>
          <w:sz w:val="22"/>
          <w:szCs w:val="21"/>
        </w:rPr>
        <w:t>采用</w:t>
      </w:r>
      <w:r>
        <w:rPr>
          <w:rFonts w:hint="eastAsia" w:ascii="Times New Roman" w:hAnsi="Times New Roman"/>
          <w:sz w:val="22"/>
          <w:szCs w:val="21"/>
          <w:lang w:val="en-US" w:eastAsia="zh-CN"/>
        </w:rPr>
        <w:t>单</w:t>
      </w:r>
      <w:r>
        <w:rPr>
          <w:rFonts w:ascii="Times New Roman" w:hAnsi="Times New Roman"/>
          <w:sz w:val="22"/>
          <w:szCs w:val="21"/>
        </w:rPr>
        <w:t>信封形式，</w:t>
      </w:r>
      <w:r>
        <w:rPr>
          <w:rFonts w:hint="eastAsia" w:ascii="Times New Roman" w:hAnsi="Times New Roman"/>
          <w:sz w:val="22"/>
          <w:szCs w:val="21"/>
          <w:lang w:val="en-US" w:eastAsia="zh-CN"/>
        </w:rPr>
        <w:t>响应</w:t>
      </w:r>
      <w:r>
        <w:rPr>
          <w:rFonts w:ascii="Times New Roman" w:hAnsi="Times New Roman"/>
          <w:sz w:val="22"/>
          <w:szCs w:val="21"/>
        </w:rPr>
        <w:t>文件的正本与副本密封在一个封套中。</w:t>
      </w:r>
    </w:p>
    <w:p w14:paraId="0E2FB736">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封套上注明：</w:t>
      </w:r>
    </w:p>
    <w:p w14:paraId="26267999">
      <w:pPr>
        <w:keepNext w:val="0"/>
        <w:keepLines w:val="0"/>
        <w:pageBreakBefore w:val="0"/>
        <w:kinsoku/>
        <w:wordWrap/>
        <w:overflowPunct/>
        <w:topLinePunct w:val="0"/>
        <w:autoSpaceDE/>
        <w:autoSpaceDN/>
        <w:bidi w:val="0"/>
        <w:spacing w:line="440" w:lineRule="exact"/>
        <w:ind w:firstLine="420" w:firstLineChars="0"/>
        <w:textAlignment w:val="auto"/>
        <w:rPr>
          <w:rFonts w:hint="default" w:ascii="Times New Roman" w:hAnsi="Times New Roman" w:eastAsia="黑体" w:cs="Times New Roman"/>
          <w:bCs/>
          <w:snapToGrid w:val="0"/>
          <w:color w:val="auto"/>
          <w:kern w:val="0"/>
          <w:szCs w:val="21"/>
          <w:highlight w:val="none"/>
        </w:rPr>
      </w:pPr>
      <w:r>
        <w:rPr>
          <w:rFonts w:hint="eastAsia" w:ascii="Times New Roman" w:hAnsi="Times New Roman" w:eastAsia="黑体" w:cs="Times New Roman"/>
          <w:bCs/>
          <w:snapToGrid w:val="0"/>
          <w:color w:val="auto"/>
          <w:kern w:val="0"/>
          <w:szCs w:val="21"/>
          <w:highlight w:val="none"/>
          <w:lang w:eastAsia="zh-CN"/>
        </w:rPr>
        <w:t>响应人</w:t>
      </w:r>
      <w:r>
        <w:rPr>
          <w:rFonts w:hint="default" w:ascii="Times New Roman" w:hAnsi="Times New Roman" w:eastAsia="黑体" w:cs="Times New Roman"/>
          <w:bCs/>
          <w:snapToGrid w:val="0"/>
          <w:color w:val="auto"/>
          <w:kern w:val="0"/>
          <w:szCs w:val="21"/>
          <w:highlight w:val="none"/>
        </w:rPr>
        <w:t>名称：</w:t>
      </w:r>
      <w:r>
        <w:rPr>
          <w:rFonts w:hint="default" w:ascii="Times New Roman" w:hAnsi="Times New Roman" w:eastAsia="黑体" w:cs="Times New Roman"/>
          <w:bCs/>
          <w:snapToGrid w:val="0"/>
          <w:color w:val="auto"/>
          <w:kern w:val="0"/>
          <w:szCs w:val="21"/>
          <w:highlight w:val="none"/>
          <w:u w:val="single"/>
        </w:rPr>
        <w:t xml:space="preserve">            </w:t>
      </w:r>
    </w:p>
    <w:p w14:paraId="59052307">
      <w:pPr>
        <w:keepNext w:val="0"/>
        <w:keepLines w:val="0"/>
        <w:pageBreakBefore w:val="0"/>
        <w:kinsoku/>
        <w:wordWrap/>
        <w:overflowPunct/>
        <w:topLinePunct w:val="0"/>
        <w:autoSpaceDE/>
        <w:autoSpaceDN/>
        <w:bidi w:val="0"/>
        <w:spacing w:line="440" w:lineRule="exact"/>
        <w:ind w:firstLine="420" w:firstLineChars="0"/>
        <w:textAlignment w:val="auto"/>
        <w:rPr>
          <w:rFonts w:hint="default" w:ascii="Times New Roman" w:hAnsi="Times New Roman" w:eastAsia="黑体" w:cs="Times New Roman"/>
          <w:bCs/>
          <w:snapToGrid w:val="0"/>
          <w:color w:val="auto"/>
          <w:kern w:val="0"/>
          <w:szCs w:val="21"/>
          <w:highlight w:val="none"/>
          <w:lang w:eastAsia="zh-CN"/>
        </w:rPr>
      </w:pPr>
      <w:r>
        <w:rPr>
          <w:rFonts w:hint="default" w:ascii="Times New Roman" w:hAnsi="Times New Roman" w:eastAsia="黑体" w:cs="Times New Roman"/>
          <w:bCs/>
          <w:snapToGrid w:val="0"/>
          <w:color w:val="auto"/>
          <w:kern w:val="0"/>
          <w:szCs w:val="21"/>
          <w:highlight w:val="none"/>
          <w:u w:val="single"/>
        </w:rPr>
        <w:t xml:space="preserve">            (项目</w:t>
      </w:r>
      <w:r>
        <w:rPr>
          <w:rFonts w:hint="default" w:ascii="Times New Roman" w:hAnsi="Times New Roman" w:eastAsia="黑体" w:cs="Times New Roman"/>
          <w:bCs w:val="0"/>
          <w:snapToGrid/>
          <w:color w:val="auto"/>
          <w:kern w:val="2"/>
          <w:szCs w:val="24"/>
          <w:highlight w:val="none"/>
          <w:u w:val="single"/>
        </w:rPr>
        <w:t>名称</w:t>
      </w:r>
      <w:r>
        <w:rPr>
          <w:rFonts w:hint="default" w:ascii="Times New Roman" w:hAnsi="Times New Roman" w:eastAsia="黑体" w:cs="Times New Roman"/>
          <w:bCs/>
          <w:snapToGrid w:val="0"/>
          <w:color w:val="auto"/>
          <w:kern w:val="0"/>
          <w:szCs w:val="21"/>
          <w:highlight w:val="none"/>
          <w:u w:val="single"/>
        </w:rPr>
        <w:t xml:space="preserve">)      </w:t>
      </w:r>
      <w:r>
        <w:rPr>
          <w:rFonts w:hint="eastAsia" w:ascii="Times New Roman" w:hAnsi="Times New Roman" w:eastAsia="黑体" w:cs="Times New Roman"/>
          <w:bCs/>
          <w:snapToGrid w:val="0"/>
          <w:color w:val="auto"/>
          <w:kern w:val="0"/>
          <w:szCs w:val="21"/>
          <w:highlight w:val="none"/>
          <w:u w:val="single"/>
          <w:lang w:val="en-US" w:eastAsia="zh-CN"/>
        </w:rPr>
        <w:t xml:space="preserve"> </w:t>
      </w:r>
      <w:r>
        <w:rPr>
          <w:rFonts w:hint="default" w:ascii="Times New Roman" w:hAnsi="Times New Roman" w:eastAsia="黑体" w:cs="Times New Roman"/>
          <w:bCs/>
          <w:snapToGrid w:val="0"/>
          <w:color w:val="auto"/>
          <w:kern w:val="0"/>
          <w:szCs w:val="21"/>
          <w:highlight w:val="none"/>
          <w:lang w:eastAsia="zh-CN"/>
        </w:rPr>
        <w:t>响应文件</w:t>
      </w:r>
    </w:p>
    <w:p w14:paraId="70EF12B7">
      <w:pPr>
        <w:keepNext w:val="0"/>
        <w:keepLines w:val="0"/>
        <w:pageBreakBefore w:val="0"/>
        <w:kinsoku/>
        <w:wordWrap/>
        <w:overflowPunct/>
        <w:topLinePunct w:val="0"/>
        <w:autoSpaceDE/>
        <w:autoSpaceDN/>
        <w:bidi w:val="0"/>
        <w:spacing w:line="440" w:lineRule="exact"/>
        <w:ind w:firstLine="420" w:firstLineChars="0"/>
        <w:textAlignment w:val="auto"/>
        <w:rPr>
          <w:rFonts w:hint="default" w:ascii="Times New Roman" w:hAnsi="Times New Roman" w:eastAsia="黑体" w:cs="Times New Roman"/>
          <w:bCs/>
          <w:snapToGrid w:val="0"/>
          <w:color w:val="auto"/>
          <w:kern w:val="0"/>
          <w:szCs w:val="21"/>
          <w:highlight w:val="none"/>
          <w:lang w:eastAsia="zh-CN"/>
        </w:rPr>
      </w:pPr>
      <w:r>
        <w:rPr>
          <w:rFonts w:hint="default" w:ascii="Times New Roman" w:hAnsi="Times New Roman" w:eastAsia="黑体" w:cs="Times New Roman"/>
          <w:bCs/>
          <w:snapToGrid w:val="0"/>
          <w:color w:val="auto"/>
          <w:kern w:val="0"/>
          <w:szCs w:val="21"/>
          <w:highlight w:val="none"/>
          <w:lang w:eastAsia="zh-CN"/>
        </w:rPr>
        <w:t>在    年   月   日    时   分（</w:t>
      </w:r>
      <w:r>
        <w:rPr>
          <w:rFonts w:hint="default" w:ascii="Times New Roman" w:hAnsi="Times New Roman" w:eastAsia="黑体" w:cs="Times New Roman"/>
          <w:bCs/>
          <w:snapToGrid w:val="0"/>
          <w:color w:val="auto"/>
          <w:kern w:val="0"/>
          <w:szCs w:val="21"/>
          <w:highlight w:val="none"/>
          <w:lang w:val="en-US" w:eastAsia="zh-CN"/>
        </w:rPr>
        <w:t>递交响应文件的截止时间</w:t>
      </w:r>
      <w:r>
        <w:rPr>
          <w:rFonts w:hint="default" w:ascii="Times New Roman" w:hAnsi="Times New Roman" w:eastAsia="黑体" w:cs="Times New Roman"/>
          <w:bCs/>
          <w:snapToGrid w:val="0"/>
          <w:color w:val="auto"/>
          <w:kern w:val="0"/>
          <w:szCs w:val="21"/>
          <w:highlight w:val="none"/>
          <w:lang w:eastAsia="zh-CN"/>
        </w:rPr>
        <w:t>）前不得开启</w:t>
      </w:r>
    </w:p>
    <w:p w14:paraId="495C9435">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s="Times New Roman"/>
          <w:color w:val="auto"/>
          <w:highlight w:val="none"/>
        </w:rPr>
        <w:t>未按本章第4.1.1项要求密封的</w:t>
      </w:r>
      <w:r>
        <w:rPr>
          <w:rFonts w:hint="default" w:ascii="Times New Roman" w:hAnsi="Times New Roman" w:cs="Times New Roman"/>
          <w:color w:val="auto"/>
          <w:highlight w:val="none"/>
          <w:lang w:eastAsia="zh-CN"/>
        </w:rPr>
        <w:t>响应文件</w:t>
      </w:r>
      <w:r>
        <w:rPr>
          <w:rFonts w:ascii="Times New Roman" w:hAnsi="Times New Roman" w:cs="Times New Roman"/>
          <w:color w:val="auto"/>
          <w:highlight w:val="none"/>
        </w:rPr>
        <w:t>，</w:t>
      </w:r>
      <w:r>
        <w:rPr>
          <w:rFonts w:hint="default" w:ascii="Times New Roman" w:hAnsi="Times New Roman" w:cs="Times New Roman"/>
          <w:color w:val="auto"/>
          <w:highlight w:val="none"/>
          <w:lang w:eastAsia="zh-CN"/>
        </w:rPr>
        <w:t>采购人</w:t>
      </w:r>
      <w:r>
        <w:rPr>
          <w:rFonts w:ascii="Times New Roman" w:hAnsi="Times New Roman" w:cs="Times New Roman"/>
          <w:color w:val="auto"/>
          <w:highlight w:val="none"/>
        </w:rPr>
        <w:t>将予以拒收。</w:t>
      </w:r>
    </w:p>
    <w:p w14:paraId="174DAD34">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3" w:name="_Toc14201235"/>
      <w:bookmarkStart w:id="94" w:name="_Toc26656966"/>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3"/>
      <w:bookmarkEnd w:id="94"/>
    </w:p>
    <w:p w14:paraId="6D0A82D5">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eastAsia" w:ascii="Times New Roman" w:hAnsi="Times New Roman" w:cs="Times New Roman"/>
          <w:color w:val="auto"/>
          <w:highlight w:val="none"/>
          <w:lang w:eastAsia="zh-CN"/>
        </w:rPr>
        <w:t>响应人</w:t>
      </w:r>
      <w:r>
        <w:rPr>
          <w:rFonts w:hint="default" w:ascii="Times New Roman" w:hAnsi="Times New Roman" w:cs="Times New Roman"/>
          <w:color w:val="auto"/>
          <w:highlight w:val="none"/>
        </w:rPr>
        <w:t>应当</w:t>
      </w:r>
      <w:r>
        <w:rPr>
          <w:rFonts w:hint="default" w:ascii="Times New Roman" w:hAnsi="Times New Roman" w:cs="Times New Roman"/>
          <w:color w:val="auto"/>
          <w:highlight w:val="none"/>
          <w:lang w:val="en-US" w:eastAsia="zh-CN"/>
        </w:rPr>
        <w:t>按照第一章“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14:paraId="60C588A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default" w:ascii="Times New Roman" w:hAnsi="Times New Roman" w:cs="Times New Roman"/>
          <w:color w:val="auto"/>
          <w:kern w:val="2"/>
          <w:sz w:val="21"/>
          <w:szCs w:val="24"/>
          <w:highlight w:val="none"/>
          <w:lang w:val="en-US" w:eastAsia="zh-CN" w:bidi="ar-SA"/>
        </w:rPr>
        <w:t>递交响应文件的</w:t>
      </w:r>
      <w:r>
        <w:rPr>
          <w:rFonts w:hint="eastAsia" w:ascii="Times New Roman" w:hAnsi="Times New Roman" w:cs="Times New Roman"/>
          <w:color w:val="auto"/>
          <w:kern w:val="2"/>
          <w:sz w:val="21"/>
          <w:szCs w:val="24"/>
          <w:highlight w:val="none"/>
          <w:lang w:val="en-US" w:eastAsia="zh-CN" w:bidi="ar-SA"/>
        </w:rPr>
        <w:t>有效响应人</w:t>
      </w:r>
      <w:r>
        <w:rPr>
          <w:rFonts w:hint="default" w:ascii="Times New Roman" w:hAnsi="Times New Roman" w:cs="Times New Roman"/>
          <w:color w:val="auto"/>
          <w:kern w:val="2"/>
          <w:sz w:val="21"/>
          <w:szCs w:val="24"/>
          <w:highlight w:val="none"/>
          <w:lang w:val="en-US" w:eastAsia="zh-CN" w:bidi="ar-SA"/>
        </w:rPr>
        <w:t>数量不足3家时，采购人将宣布本次采购失败，并退还已递交的响应文件。</w:t>
      </w:r>
    </w:p>
    <w:p w14:paraId="42348768">
      <w:pPr>
        <w:spacing w:line="440" w:lineRule="exact"/>
        <w:ind w:firstLine="420"/>
        <w:rPr>
          <w:rFonts w:ascii="Times New Roman" w:hAnsi="Times New Roman" w:eastAsia="宋体" w:cs="Times New Roman"/>
          <w:color w:val="auto"/>
        </w:rPr>
      </w:pPr>
      <w:r>
        <w:rPr>
          <w:rFonts w:hint="default" w:ascii="Times New Roman" w:hAnsi="Times New Roman" w:cs="Times New Roman" w:eastAsiaTheme="minorEastAsia"/>
          <w:color w:val="auto"/>
          <w:kern w:val="2"/>
          <w:sz w:val="21"/>
          <w:szCs w:val="24"/>
          <w:highlight w:val="none"/>
          <w:lang w:val="en-US" w:eastAsia="zh-CN" w:bidi="ar-SA"/>
        </w:rPr>
        <w:t>4.2.</w:t>
      </w:r>
      <w:r>
        <w:rPr>
          <w:rFonts w:hint="default" w:ascii="Times New Roman" w:hAnsi="Times New Roman" w:cs="Times New Roman"/>
          <w:color w:val="auto"/>
          <w:kern w:val="2"/>
          <w:sz w:val="21"/>
          <w:szCs w:val="24"/>
          <w:highlight w:val="none"/>
          <w:lang w:val="en-US" w:eastAsia="zh-CN" w:bidi="ar-SA"/>
        </w:rPr>
        <w:t>3 除第4.2.2项规定外，</w:t>
      </w:r>
      <w:r>
        <w:rPr>
          <w:rFonts w:hint="eastAsia" w:ascii="Times New Roman" w:hAnsi="Times New Roman" w:cs="Times New Roman"/>
          <w:color w:val="auto"/>
          <w:highlight w:val="none"/>
          <w:lang w:eastAsia="zh-CN"/>
        </w:rPr>
        <w:t>响应人</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14:paraId="6D183D0E">
      <w:pPr>
        <w:keepNext/>
        <w:keepLines/>
        <w:spacing w:before="156" w:beforeLines="50" w:after="156" w:afterLines="50"/>
        <w:outlineLvl w:val="1"/>
        <w:rPr>
          <w:rFonts w:ascii="Times New Roman" w:hAnsi="Times New Roman" w:eastAsia="黑体" w:cs="Times New Roman"/>
          <w:bCs/>
          <w:color w:val="auto"/>
          <w:sz w:val="24"/>
          <w:szCs w:val="32"/>
        </w:rPr>
      </w:pPr>
      <w:bookmarkStart w:id="95" w:name="_Toc28644"/>
      <w:r>
        <w:rPr>
          <w:rFonts w:ascii="Times New Roman" w:hAnsi="Times New Roman" w:eastAsia="黑体" w:cs="Times New Roman"/>
          <w:bCs/>
          <w:color w:val="auto"/>
          <w:sz w:val="24"/>
          <w:szCs w:val="32"/>
        </w:rPr>
        <w:t>5. 启封</w:t>
      </w:r>
      <w:bookmarkEnd w:id="95"/>
    </w:p>
    <w:p w14:paraId="20135614">
      <w:pPr>
        <w:keepNext/>
        <w:keepLines/>
        <w:spacing w:before="120" w:after="120"/>
        <w:outlineLvl w:val="2"/>
        <w:rPr>
          <w:rFonts w:ascii="Times New Roman" w:hAnsi="Times New Roman" w:eastAsia="黑体" w:cs="Times New Roman"/>
          <w:bCs/>
          <w:color w:val="auto"/>
          <w:sz w:val="24"/>
          <w:szCs w:val="32"/>
        </w:rPr>
      </w:pPr>
      <w:bookmarkStart w:id="96" w:name="_Toc7125"/>
      <w:r>
        <w:rPr>
          <w:rFonts w:ascii="Times New Roman" w:hAnsi="Times New Roman" w:eastAsia="黑体" w:cs="Times New Roman"/>
          <w:bCs/>
          <w:color w:val="auto"/>
          <w:sz w:val="24"/>
          <w:szCs w:val="32"/>
        </w:rPr>
        <w:t>5.1 启封时间和地点</w:t>
      </w:r>
      <w:bookmarkEnd w:id="96"/>
    </w:p>
    <w:p w14:paraId="28879E86">
      <w:pPr>
        <w:spacing w:line="440" w:lineRule="exact"/>
        <w:ind w:firstLine="420"/>
        <w:rPr>
          <w:rFonts w:ascii="Times New Roman" w:hAnsi="Times New Roman" w:eastAsia="宋体" w:cs="Times New Roman"/>
          <w:color w:val="auto"/>
        </w:rPr>
      </w:pPr>
      <w:bookmarkStart w:id="97" w:name="_Toc26656970"/>
      <w:bookmarkStart w:id="98" w:name="_Toc14201239"/>
      <w:r>
        <w:rPr>
          <w:rFonts w:ascii="Times New Roman" w:hAnsi="Times New Roman" w:eastAsia="宋体" w:cs="Times New Roman"/>
          <w:color w:val="auto"/>
        </w:rPr>
        <w:t>采购人在本章第4.2.1项规定的响应文件递交截止时间（启封时间），</w:t>
      </w:r>
      <w:r>
        <w:rPr>
          <w:rFonts w:hint="eastAsia" w:ascii="Times New Roman" w:hAnsi="Times New Roman" w:eastAsia="宋体" w:cs="Times New Roman"/>
          <w:color w:val="auto"/>
        </w:rPr>
        <w:t>按照第一章</w:t>
      </w:r>
      <w:r>
        <w:rPr>
          <w:rFonts w:ascii="Times New Roman" w:hAnsi="Times New Roman" w:eastAsia="宋体" w:cs="Times New Roman"/>
          <w:color w:val="auto"/>
        </w:rPr>
        <w:t>“</w:t>
      </w:r>
      <w:r>
        <w:rPr>
          <w:rFonts w:hint="eastAsia" w:ascii="Times New Roman" w:hAnsi="Times New Roman" w:eastAsia="宋体" w:cs="Times New Roman"/>
          <w:color w:val="auto"/>
        </w:rPr>
        <w:t>采购公告</w:t>
      </w:r>
      <w:r>
        <w:rPr>
          <w:rFonts w:ascii="Times New Roman" w:hAnsi="Times New Roman" w:eastAsia="宋体" w:cs="Times New Roman"/>
          <w:color w:val="auto"/>
        </w:rPr>
        <w:t>”</w:t>
      </w:r>
      <w:r>
        <w:rPr>
          <w:rFonts w:hint="eastAsia" w:ascii="Times New Roman" w:hAnsi="Times New Roman" w:eastAsia="宋体" w:cs="Times New Roman"/>
          <w:color w:val="auto"/>
        </w:rPr>
        <w:t>第6条的规定进行启封</w:t>
      </w:r>
      <w:r>
        <w:rPr>
          <w:rFonts w:ascii="Times New Roman" w:hAnsi="Times New Roman" w:eastAsia="宋体" w:cs="Times New Roman"/>
          <w:color w:val="auto"/>
        </w:rPr>
        <w:t>。</w:t>
      </w:r>
    </w:p>
    <w:p w14:paraId="1B86FB81">
      <w:pPr>
        <w:spacing w:line="440" w:lineRule="exact"/>
        <w:ind w:firstLine="420"/>
        <w:rPr>
          <w:rFonts w:ascii="Times New Roman" w:hAnsi="Times New Roman" w:eastAsia="宋体" w:cs="Times New Roman"/>
          <w:color w:val="auto"/>
        </w:rPr>
      </w:pPr>
      <w:r>
        <w:rPr>
          <w:rFonts w:hint="eastAsia" w:ascii="Times New Roman" w:hAnsi="Times New Roman" w:cs="Times New Roman"/>
          <w:color w:val="auto"/>
          <w:highlight w:val="none"/>
          <w:lang w:eastAsia="zh-CN"/>
        </w:rPr>
        <w:t>响应人</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eastAsia" w:ascii="Times New Roman" w:hAnsi="Times New Roman" w:cs="Times New Roman"/>
          <w:color w:val="auto"/>
          <w:highlight w:val="none"/>
          <w:lang w:eastAsia="zh-CN"/>
        </w:rPr>
        <w:t>响应人</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14:paraId="5F1C21ED">
      <w:pPr>
        <w:keepNext/>
        <w:keepLines/>
        <w:spacing w:before="120" w:after="120"/>
        <w:outlineLvl w:val="2"/>
        <w:rPr>
          <w:rFonts w:ascii="Times New Roman" w:hAnsi="Times New Roman" w:eastAsia="黑体" w:cs="Times New Roman"/>
          <w:bCs/>
          <w:color w:val="auto"/>
          <w:sz w:val="24"/>
          <w:szCs w:val="32"/>
        </w:rPr>
      </w:pPr>
      <w:bookmarkStart w:id="99" w:name="_Toc15600"/>
      <w:r>
        <w:rPr>
          <w:rFonts w:ascii="Times New Roman" w:hAnsi="Times New Roman" w:eastAsia="黑体" w:cs="Times New Roman"/>
          <w:bCs/>
          <w:color w:val="auto"/>
          <w:sz w:val="24"/>
          <w:szCs w:val="32"/>
        </w:rPr>
        <w:t>5.2启封程序</w:t>
      </w:r>
      <w:bookmarkEnd w:id="97"/>
      <w:bookmarkEnd w:id="98"/>
      <w:bookmarkEnd w:id="99"/>
    </w:p>
    <w:p w14:paraId="19A1F5AD">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14:paraId="1128F393">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响应人</w:t>
      </w:r>
      <w:r>
        <w:rPr>
          <w:rFonts w:hint="default" w:ascii="Times New Roman" w:hAnsi="Times New Roman" w:cs="Times New Roman"/>
          <w:color w:val="auto"/>
          <w:highlight w:val="none"/>
        </w:rPr>
        <w:t>名称；</w:t>
      </w:r>
    </w:p>
    <w:p w14:paraId="36B197FC">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eastAsia" w:ascii="Times New Roman" w:hAnsi="Times New Roman" w:cs="Times New Roman"/>
          <w:color w:val="auto"/>
          <w:highlight w:val="none"/>
          <w:lang w:eastAsia="zh-CN"/>
        </w:rPr>
        <w:t>响应人</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14:paraId="72CC3FEA">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eastAsia" w:ascii="Times New Roman" w:hAnsi="Times New Roman" w:cs="Times New Roman"/>
          <w:bCs/>
          <w:color w:val="auto"/>
          <w:highlight w:val="none"/>
          <w:lang w:eastAsia="zh-CN"/>
        </w:rPr>
        <w:t>响应人</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color w:val="auto"/>
          <w:sz w:val="21"/>
          <w:szCs w:val="22"/>
          <w:highlight w:val="none"/>
          <w:u w:val="none"/>
          <w:lang w:val="en-US" w:eastAsia="zh-CN"/>
        </w:rPr>
        <w:t>合同</w:t>
      </w:r>
      <w:r>
        <w:rPr>
          <w:rFonts w:hint="default" w:ascii="Times New Roman" w:hAnsi="Times New Roman" w:cs="Times New Roman"/>
          <w:color w:val="auto"/>
          <w:sz w:val="21"/>
          <w:szCs w:val="22"/>
          <w:highlight w:val="none"/>
          <w:u w:val="none"/>
          <w:lang w:val="en-US" w:eastAsia="zh-CN"/>
        </w:rPr>
        <w:t>执行有效期</w:t>
      </w:r>
      <w:r>
        <w:rPr>
          <w:rFonts w:hint="default" w:ascii="Times New Roman" w:hAnsi="Times New Roman" w:cs="Times New Roman"/>
          <w:bCs/>
          <w:color w:val="auto"/>
          <w:highlight w:val="none"/>
        </w:rPr>
        <w:t>及其他内容；</w:t>
      </w:r>
    </w:p>
    <w:p w14:paraId="1EB200E8">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default"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s="Times New Roman"/>
          <w:color w:val="auto"/>
          <w:highlight w:val="none"/>
          <w:lang w:val="en-US" w:eastAsia="zh-CN"/>
        </w:rPr>
        <w:t>响应人</w:t>
      </w:r>
      <w:r>
        <w:rPr>
          <w:rFonts w:ascii="Times New Roman" w:hAnsi="Times New Roman" w:cs="Times New Roman"/>
          <w:color w:val="auto"/>
          <w:highlight w:val="none"/>
        </w:rPr>
        <w:t>代表、</w:t>
      </w:r>
      <w:r>
        <w:rPr>
          <w:rFonts w:hint="default" w:ascii="Times New Roman" w:hAnsi="Times New Roman" w:cs="Times New Roman"/>
          <w:color w:val="auto"/>
          <w:highlight w:val="none"/>
          <w:lang w:val="en-US" w:eastAsia="zh-CN"/>
        </w:rPr>
        <w:t>采购</w:t>
      </w:r>
      <w:r>
        <w:rPr>
          <w:rFonts w:ascii="Times New Roman" w:hAnsi="Times New Roman" w:cs="Times New Roman"/>
          <w:color w:val="auto"/>
          <w:highlight w:val="none"/>
        </w:rPr>
        <w:t>人代表等有关人员在</w:t>
      </w:r>
      <w:r>
        <w:rPr>
          <w:rFonts w:hint="default" w:ascii="Times New Roman" w:hAnsi="Times New Roman" w:cs="Times New Roman"/>
          <w:color w:val="auto"/>
          <w:highlight w:val="none"/>
          <w:lang w:val="en-US" w:eastAsia="zh-CN"/>
        </w:rPr>
        <w:t>启封</w:t>
      </w:r>
      <w:r>
        <w:rPr>
          <w:rFonts w:ascii="Times New Roman" w:hAnsi="Times New Roman" w:cs="Times New Roman"/>
          <w:color w:val="auto"/>
          <w:highlight w:val="none"/>
        </w:rPr>
        <w:t>记录上</w:t>
      </w:r>
      <w:r>
        <w:rPr>
          <w:rFonts w:hint="default" w:ascii="Times New Roman" w:hAnsi="Times New Roman" w:cs="Times New Roman"/>
          <w:color w:val="auto"/>
          <w:highlight w:val="none"/>
          <w:lang w:eastAsia="zh-CN"/>
        </w:rPr>
        <w:t>签名</w:t>
      </w:r>
      <w:r>
        <w:rPr>
          <w:rFonts w:ascii="Times New Roman" w:hAnsi="Times New Roman" w:cs="Times New Roman"/>
          <w:color w:val="auto"/>
          <w:highlight w:val="none"/>
        </w:rPr>
        <w:t>确认；</w:t>
      </w:r>
    </w:p>
    <w:p w14:paraId="5743F2DB">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default"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14:paraId="3BDD2DC7">
      <w:pPr>
        <w:spacing w:line="440" w:lineRule="exact"/>
        <w:ind w:firstLine="420"/>
        <w:rPr>
          <w:rFonts w:ascii="Times New Roman" w:hAnsi="Times New Roman" w:eastAsia="宋体" w:cs="Times New Roman"/>
          <w:color w:val="auto"/>
        </w:rPr>
      </w:pPr>
      <w:r>
        <w:rPr>
          <w:rFonts w:hint="default" w:ascii="Times New Roman" w:hAnsi="Times New Roman" w:cs="Times New Roman"/>
          <w:color w:val="auto"/>
          <w:highlight w:val="none"/>
          <w:lang w:val="en-US" w:eastAsia="zh-CN"/>
        </w:rPr>
        <w:t>5.2.2</w:t>
      </w:r>
      <w:r>
        <w:rPr>
          <w:rFonts w:hint="eastAsia" w:ascii="Times New Roman" w:hAnsi="Times New Roman" w:cs="Times New Roman"/>
          <w:color w:val="auto"/>
          <w:highlight w:val="none"/>
          <w:lang w:eastAsia="zh-CN"/>
        </w:rPr>
        <w:t>响应人</w:t>
      </w:r>
      <w:r>
        <w:rPr>
          <w:rFonts w:hint="default" w:ascii="Times New Roman" w:hAnsi="Times New Roman" w:cs="Times New Roman"/>
          <w:color w:val="auto"/>
          <w:highlight w:val="none"/>
          <w:lang w:val="en-US" w:eastAsia="zh-CN"/>
        </w:rPr>
        <w:t>在启封过程中</w:t>
      </w:r>
      <w:r>
        <w:rPr>
          <w:rFonts w:hint="default" w:ascii="Times New Roman" w:hAnsi="Times New Roman" w:cs="Times New Roman"/>
          <w:color w:val="auto"/>
          <w:highlight w:val="none"/>
        </w:rPr>
        <w:t>有</w:t>
      </w:r>
      <w:r>
        <w:rPr>
          <w:rFonts w:hint="default"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default"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14:paraId="1F1B87A3">
      <w:pPr>
        <w:keepNext/>
        <w:keepLines/>
        <w:spacing w:before="156" w:beforeLines="50" w:after="156" w:afterLines="50"/>
        <w:outlineLvl w:val="1"/>
        <w:rPr>
          <w:rFonts w:ascii="Times New Roman" w:hAnsi="Times New Roman" w:eastAsia="黑体" w:cs="Times New Roman"/>
          <w:bCs/>
          <w:color w:val="auto"/>
          <w:sz w:val="24"/>
          <w:szCs w:val="32"/>
        </w:rPr>
      </w:pPr>
      <w:bookmarkStart w:id="100" w:name="_Toc19421"/>
      <w:r>
        <w:rPr>
          <w:rFonts w:ascii="Times New Roman" w:hAnsi="Times New Roman" w:eastAsia="黑体" w:cs="Times New Roman"/>
          <w:bCs/>
          <w:color w:val="auto"/>
          <w:sz w:val="24"/>
          <w:szCs w:val="32"/>
        </w:rPr>
        <w:t>6. 评审</w:t>
      </w:r>
      <w:bookmarkEnd w:id="100"/>
    </w:p>
    <w:p w14:paraId="783BF08B">
      <w:pPr>
        <w:keepNext/>
        <w:keepLines/>
        <w:spacing w:before="120" w:after="120"/>
        <w:outlineLvl w:val="2"/>
        <w:rPr>
          <w:rFonts w:ascii="Times New Roman" w:hAnsi="Times New Roman" w:eastAsia="黑体" w:cs="Times New Roman"/>
          <w:bCs/>
          <w:color w:val="auto"/>
          <w:sz w:val="24"/>
          <w:szCs w:val="32"/>
        </w:rPr>
      </w:pPr>
      <w:bookmarkStart w:id="101" w:name="_Toc1962"/>
      <w:r>
        <w:rPr>
          <w:rFonts w:ascii="Times New Roman" w:hAnsi="Times New Roman" w:eastAsia="黑体" w:cs="Times New Roman"/>
          <w:bCs/>
          <w:color w:val="auto"/>
          <w:sz w:val="24"/>
          <w:szCs w:val="32"/>
        </w:rPr>
        <w:t>6.1</w:t>
      </w:r>
      <w:r>
        <w:rPr>
          <w:rFonts w:hint="eastAsia" w:ascii="Times New Roman" w:hAnsi="Times New Roman" w:eastAsia="黑体" w:cs="Times New Roman"/>
          <w:bCs/>
          <w:color w:val="auto"/>
          <w:sz w:val="24"/>
          <w:szCs w:val="32"/>
        </w:rPr>
        <w:t>评审小组</w:t>
      </w:r>
      <w:bookmarkEnd w:id="101"/>
    </w:p>
    <w:p w14:paraId="117AB011">
      <w:pPr>
        <w:spacing w:line="440" w:lineRule="exact"/>
        <w:ind w:firstLine="420"/>
        <w:rPr>
          <w:rFonts w:ascii="Times New Roman" w:hAnsi="Times New Roman" w:eastAsia="宋体" w:cs="Times New Roman"/>
          <w:color w:val="auto"/>
        </w:rPr>
      </w:pPr>
      <w:r>
        <w:rPr>
          <w:rFonts w:ascii="Times New Roman" w:hAnsi="Times New Roman" w:eastAsia="宋体" w:cs="Times New Roman"/>
          <w:color w:val="auto"/>
        </w:rPr>
        <w:t>评审由采购人自行组建的评审小组负责。评审小组人数：</w:t>
      </w:r>
      <w:r>
        <w:rPr>
          <w:rFonts w:hint="eastAsia" w:ascii="Times New Roman" w:hAnsi="Times New Roman" w:eastAsia="宋体" w:cs="Times New Roman"/>
          <w:color w:val="auto"/>
        </w:rPr>
        <w:t>5人</w:t>
      </w:r>
      <w:r>
        <w:rPr>
          <w:rFonts w:ascii="Times New Roman" w:hAnsi="Times New Roman" w:eastAsia="宋体" w:cs="Times New Roman"/>
          <w:color w:val="auto"/>
        </w:rPr>
        <w:t>。</w:t>
      </w:r>
    </w:p>
    <w:p w14:paraId="2F21E217">
      <w:pPr>
        <w:keepNext/>
        <w:keepLines/>
        <w:spacing w:before="120" w:after="120"/>
        <w:outlineLvl w:val="2"/>
        <w:rPr>
          <w:rFonts w:ascii="Times New Roman" w:hAnsi="Times New Roman" w:eastAsia="黑体" w:cs="Times New Roman"/>
          <w:bCs/>
          <w:color w:val="auto"/>
          <w:sz w:val="24"/>
          <w:szCs w:val="32"/>
        </w:rPr>
      </w:pPr>
      <w:bookmarkStart w:id="102" w:name="_Toc13237"/>
      <w:r>
        <w:rPr>
          <w:rFonts w:ascii="Times New Roman" w:hAnsi="Times New Roman" w:eastAsia="黑体" w:cs="Times New Roman"/>
          <w:bCs/>
          <w:color w:val="auto"/>
          <w:sz w:val="24"/>
          <w:szCs w:val="32"/>
        </w:rPr>
        <w:t>6.</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评审</w:t>
      </w:r>
      <w:bookmarkEnd w:id="102"/>
    </w:p>
    <w:p w14:paraId="6048E2A3">
      <w:pPr>
        <w:spacing w:line="440" w:lineRule="exact"/>
        <w:ind w:firstLine="420"/>
        <w:rPr>
          <w:rFonts w:ascii="Times New Roman" w:hAnsi="Times New Roman" w:eastAsia="宋体" w:cs="Times New Roman"/>
          <w:color w:val="auto"/>
        </w:rPr>
      </w:pPr>
      <w:r>
        <w:rPr>
          <w:rFonts w:ascii="Times New Roman" w:hAnsi="Times New Roman" w:eastAsia="宋体" w:cs="Times New Roman"/>
          <w:color w:val="auto"/>
        </w:rPr>
        <w:t>6.</w:t>
      </w:r>
      <w:r>
        <w:rPr>
          <w:rFonts w:hint="eastAsia" w:ascii="Times New Roman" w:hAnsi="Times New Roman" w:eastAsia="宋体" w:cs="Times New Roman"/>
          <w:color w:val="auto"/>
        </w:rPr>
        <w:t>2</w:t>
      </w:r>
      <w:r>
        <w:rPr>
          <w:rFonts w:ascii="Times New Roman" w:hAnsi="Times New Roman" w:eastAsia="宋体" w:cs="Times New Roman"/>
          <w:color w:val="auto"/>
        </w:rPr>
        <w:t>.1</w:t>
      </w:r>
      <w:r>
        <w:rPr>
          <w:rFonts w:hint="eastAsia" w:ascii="Times New Roman" w:hAnsi="Times New Roman" w:eastAsia="宋体" w:cs="Times New Roman"/>
          <w:color w:val="auto"/>
        </w:rPr>
        <w:t>评审小组</w:t>
      </w:r>
      <w:r>
        <w:rPr>
          <w:rFonts w:ascii="Times New Roman" w:hAnsi="Times New Roman" w:eastAsia="宋体" w:cs="Times New Roman"/>
          <w:color w:val="auto"/>
        </w:rPr>
        <w:t>按照第三章“评审办法”规定的方法、评审因素、标准和程序对响应文件进行评审。</w:t>
      </w:r>
    </w:p>
    <w:p w14:paraId="2C3A4E6C">
      <w:pPr>
        <w:spacing w:line="440" w:lineRule="exact"/>
        <w:ind w:firstLine="420"/>
        <w:rPr>
          <w:rFonts w:ascii="Times New Roman" w:hAnsi="Times New Roman" w:eastAsia="宋体" w:cs="Times New Roman"/>
          <w:color w:val="auto"/>
        </w:rPr>
      </w:pPr>
      <w:r>
        <w:rPr>
          <w:rFonts w:hint="eastAsia" w:ascii="Times New Roman" w:hAnsi="Times New Roman" w:eastAsia="宋体" w:cs="Times New Roman"/>
          <w:color w:val="auto"/>
        </w:rPr>
        <w:t>6.2.2评审完成后，评审小组应向采购人提交书面评审报告和成交候选人名单。评审小组推荐成交候选人的人数为：</w:t>
      </w:r>
      <w:r>
        <w:rPr>
          <w:rFonts w:hint="eastAsia" w:ascii="Times New Roman" w:hAnsi="Times New Roman" w:cs="Times New Roman"/>
          <w:color w:val="auto"/>
          <w:highlight w:val="none"/>
          <w:lang w:val="en-US" w:eastAsia="zh-CN"/>
        </w:rPr>
        <w:t>4</w:t>
      </w:r>
      <w:bookmarkStart w:id="141" w:name="_GoBack"/>
      <w:bookmarkEnd w:id="141"/>
      <w:r>
        <w:rPr>
          <w:rFonts w:hint="eastAsia" w:ascii="Times New Roman" w:hAnsi="Times New Roman" w:cs="Times New Roman"/>
          <w:color w:val="auto"/>
          <w:highlight w:val="none"/>
        </w:rPr>
        <w:t>人</w:t>
      </w:r>
    </w:p>
    <w:p w14:paraId="17407BAC">
      <w:pPr>
        <w:keepNext/>
        <w:keepLines/>
        <w:spacing w:before="156" w:beforeLines="50" w:after="156" w:afterLines="50"/>
        <w:outlineLvl w:val="1"/>
        <w:rPr>
          <w:rFonts w:ascii="Times New Roman" w:hAnsi="Times New Roman" w:eastAsia="黑体" w:cs="Times New Roman"/>
          <w:bCs/>
          <w:color w:val="auto"/>
          <w:sz w:val="24"/>
          <w:szCs w:val="32"/>
        </w:rPr>
      </w:pPr>
      <w:bookmarkStart w:id="103" w:name="_Toc1453"/>
      <w:r>
        <w:rPr>
          <w:rFonts w:ascii="Times New Roman" w:hAnsi="Times New Roman" w:eastAsia="黑体" w:cs="Times New Roman"/>
          <w:bCs/>
          <w:color w:val="auto"/>
          <w:sz w:val="24"/>
          <w:szCs w:val="32"/>
        </w:rPr>
        <w:t>7. 合同授予</w:t>
      </w:r>
      <w:bookmarkEnd w:id="103"/>
    </w:p>
    <w:p w14:paraId="4834E6A0">
      <w:pPr>
        <w:keepNext/>
        <w:keepLines/>
        <w:spacing w:before="120" w:after="120"/>
        <w:outlineLvl w:val="2"/>
        <w:rPr>
          <w:rFonts w:ascii="Times New Roman" w:hAnsi="Times New Roman" w:eastAsia="黑体" w:cs="Times New Roman"/>
          <w:bCs/>
          <w:color w:val="auto"/>
          <w:sz w:val="24"/>
          <w:szCs w:val="32"/>
        </w:rPr>
      </w:pPr>
      <w:bookmarkStart w:id="104" w:name="_Toc28714"/>
      <w:r>
        <w:rPr>
          <w:rFonts w:ascii="Times New Roman" w:hAnsi="Times New Roman" w:eastAsia="黑体" w:cs="Times New Roman"/>
          <w:bCs/>
          <w:color w:val="auto"/>
          <w:sz w:val="24"/>
          <w:szCs w:val="32"/>
        </w:rPr>
        <w:t>7.1成交候选人公示</w:t>
      </w:r>
      <w:bookmarkEnd w:id="104"/>
    </w:p>
    <w:p w14:paraId="7715C969">
      <w:pPr>
        <w:spacing w:line="440" w:lineRule="exact"/>
        <w:ind w:firstLine="420"/>
        <w:rPr>
          <w:rFonts w:ascii="Times New Roman" w:hAnsi="Times New Roman" w:eastAsia="宋体" w:cs="Times New Roman"/>
          <w:color w:val="auto"/>
        </w:rPr>
      </w:pPr>
      <w:bookmarkStart w:id="105" w:name="_Toc10099"/>
      <w:r>
        <w:rPr>
          <w:rFonts w:hint="eastAsia" w:ascii="Times New Roman" w:hAnsi="Times New Roman" w:eastAsia="宋体" w:cs="Times New Roman"/>
          <w:color w:val="auto"/>
        </w:rPr>
        <w:t>采用公开询比方式采购的项目，公示期不得少于</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日。</w:t>
      </w:r>
      <w:bookmarkEnd w:id="105"/>
    </w:p>
    <w:p w14:paraId="3EC9CB24">
      <w:pPr>
        <w:keepNext/>
        <w:keepLines/>
        <w:spacing w:before="120" w:after="120"/>
        <w:outlineLvl w:val="2"/>
        <w:rPr>
          <w:rFonts w:ascii="Times New Roman" w:hAnsi="Times New Roman" w:eastAsia="黑体" w:cs="Times New Roman"/>
          <w:bCs/>
          <w:color w:val="auto"/>
          <w:sz w:val="24"/>
          <w:szCs w:val="32"/>
        </w:rPr>
      </w:pPr>
      <w:bookmarkStart w:id="106" w:name="_Toc5512"/>
      <w:r>
        <w:rPr>
          <w:rFonts w:ascii="Times New Roman" w:hAnsi="Times New Roman" w:eastAsia="黑体" w:cs="Times New Roman"/>
          <w:bCs/>
          <w:color w:val="auto"/>
          <w:sz w:val="24"/>
          <w:szCs w:val="32"/>
        </w:rPr>
        <w:t>7.2评审结果异议</w:t>
      </w:r>
      <w:bookmarkEnd w:id="106"/>
    </w:p>
    <w:p w14:paraId="519E782A">
      <w:pPr>
        <w:spacing w:line="440" w:lineRule="exact"/>
        <w:ind w:firstLine="420"/>
        <w:rPr>
          <w:rFonts w:ascii="Times New Roman" w:hAnsi="Times New Roman" w:eastAsia="宋体" w:cs="Times New Roman"/>
          <w:color w:val="auto"/>
        </w:rPr>
      </w:pPr>
      <w:r>
        <w:rPr>
          <w:rFonts w:hint="eastAsia" w:ascii="Times New Roman" w:hAnsi="Times New Roman" w:eastAsia="宋体" w:cs="Times New Roman"/>
          <w:color w:val="auto"/>
        </w:rPr>
        <w:t>供应商</w:t>
      </w:r>
      <w:r>
        <w:rPr>
          <w:rFonts w:ascii="Times New Roman" w:hAnsi="Times New Roman" w:eastAsia="宋体" w:cs="Times New Roman"/>
          <w:color w:val="auto"/>
        </w:rPr>
        <w:t>或其他利害关系人对评审结果有异议的，应在成交候选人公示期间提出。</w:t>
      </w:r>
    </w:p>
    <w:p w14:paraId="553B3ADF">
      <w:pPr>
        <w:keepNext/>
        <w:keepLines/>
        <w:spacing w:before="120" w:after="120"/>
        <w:outlineLvl w:val="2"/>
        <w:rPr>
          <w:rFonts w:ascii="Times New Roman" w:hAnsi="Times New Roman" w:eastAsia="黑体" w:cs="Times New Roman"/>
          <w:bCs/>
          <w:color w:val="auto"/>
          <w:sz w:val="24"/>
          <w:szCs w:val="32"/>
        </w:rPr>
      </w:pPr>
      <w:bookmarkStart w:id="107" w:name="_Toc26347"/>
      <w:r>
        <w:rPr>
          <w:rFonts w:ascii="Times New Roman" w:hAnsi="Times New Roman" w:eastAsia="黑体" w:cs="Times New Roman"/>
          <w:bCs/>
          <w:color w:val="auto"/>
          <w:sz w:val="24"/>
          <w:szCs w:val="32"/>
        </w:rPr>
        <w:t>7.3成交候选人履约能力审查</w:t>
      </w:r>
      <w:bookmarkEnd w:id="107"/>
    </w:p>
    <w:p w14:paraId="5F166058">
      <w:pPr>
        <w:spacing w:line="440" w:lineRule="exact"/>
        <w:ind w:firstLine="420"/>
        <w:rPr>
          <w:rFonts w:ascii="Times New Roman" w:hAnsi="Times New Roman" w:eastAsia="宋体" w:cs="Times New Roman"/>
          <w:color w:val="auto"/>
        </w:rPr>
      </w:pPr>
      <w:r>
        <w:rPr>
          <w:rFonts w:ascii="Times New Roman" w:hAnsi="Times New Roman" w:eastAsia="宋体" w:cs="Times New Roman"/>
          <w:color w:val="auto"/>
        </w:rPr>
        <w:t>成交候选人的经营、财务状况发生较大变化或存在违法行为，采购人认为可能影响其履约能力的，将在发出成交通知书前提请原</w:t>
      </w:r>
      <w:r>
        <w:rPr>
          <w:rFonts w:hint="eastAsia" w:ascii="Times New Roman" w:hAnsi="Times New Roman" w:eastAsia="宋体" w:cs="Times New Roman"/>
          <w:color w:val="auto"/>
        </w:rPr>
        <w:t>评审小组</w:t>
      </w:r>
      <w:r>
        <w:rPr>
          <w:rFonts w:ascii="Times New Roman" w:hAnsi="Times New Roman" w:eastAsia="宋体" w:cs="Times New Roman"/>
          <w:color w:val="auto"/>
        </w:rPr>
        <w:t>按照询比文件规定的标准和方法进行审查确认。</w:t>
      </w:r>
    </w:p>
    <w:p w14:paraId="04B76247">
      <w:pPr>
        <w:keepNext/>
        <w:keepLines/>
        <w:spacing w:before="120"/>
        <w:outlineLvl w:val="2"/>
        <w:rPr>
          <w:rFonts w:ascii="Times New Roman" w:hAnsi="Times New Roman" w:eastAsia="黑体" w:cs="Times New Roman"/>
          <w:bCs/>
          <w:color w:val="auto"/>
          <w:sz w:val="24"/>
          <w:szCs w:val="32"/>
        </w:rPr>
      </w:pPr>
      <w:bookmarkStart w:id="108" w:name="_Toc22923"/>
      <w:r>
        <w:rPr>
          <w:rFonts w:ascii="Times New Roman" w:hAnsi="Times New Roman" w:eastAsia="黑体" w:cs="Times New Roman"/>
          <w:bCs/>
          <w:color w:val="auto"/>
          <w:sz w:val="24"/>
          <w:szCs w:val="32"/>
        </w:rPr>
        <w:t>7.4履约保证金</w:t>
      </w:r>
      <w:bookmarkEnd w:id="108"/>
    </w:p>
    <w:p w14:paraId="22EBFE8A">
      <w:pPr>
        <w:spacing w:line="440" w:lineRule="exact"/>
        <w:ind w:firstLine="420"/>
        <w:rPr>
          <w:rFonts w:ascii="Times New Roman" w:hAnsi="Times New Roman" w:eastAsia="宋体" w:cs="Times New Roman"/>
          <w:color w:val="auto"/>
        </w:rPr>
      </w:pPr>
      <w:r>
        <w:rPr>
          <w:rFonts w:ascii="Times New Roman" w:hAnsi="Times New Roman" w:eastAsia="宋体" w:cs="Times New Roman"/>
          <w:color w:val="auto"/>
        </w:rPr>
        <w:t>7.4.1在签订合同前，</w:t>
      </w:r>
      <w:r>
        <w:rPr>
          <w:rFonts w:hint="eastAsia" w:ascii="Times New Roman" w:hAnsi="Times New Roman" w:eastAsia="宋体" w:cs="Times New Roman"/>
          <w:color w:val="auto"/>
        </w:rPr>
        <w:t>各家</w:t>
      </w:r>
      <w:r>
        <w:rPr>
          <w:rFonts w:ascii="Times New Roman" w:hAnsi="Times New Roman" w:eastAsia="宋体" w:cs="Times New Roman"/>
          <w:color w:val="auto"/>
        </w:rPr>
        <w:t>成交人应向采购人提交履约保证金。履约保证金</w:t>
      </w:r>
      <w:r>
        <w:rPr>
          <w:rFonts w:hint="eastAsia" w:ascii="Times New Roman" w:hAnsi="Times New Roman" w:eastAsia="宋体" w:cs="Times New Roman"/>
          <w:color w:val="auto"/>
        </w:rPr>
        <w:t>的金额</w:t>
      </w:r>
      <w:r>
        <w:rPr>
          <w:rFonts w:ascii="Times New Roman" w:hAnsi="Times New Roman" w:eastAsia="宋体" w:cs="Times New Roman"/>
          <w:color w:val="auto"/>
        </w:rPr>
        <w:t>为</w:t>
      </w:r>
      <w:r>
        <w:rPr>
          <w:rFonts w:hint="eastAsia" w:ascii="Times New Roman" w:hAnsi="Times New Roman" w:eastAsia="宋体" w:cs="Times New Roman"/>
          <w:b/>
          <w:bCs/>
          <w:color w:val="auto"/>
          <w:u w:val="single"/>
          <w:lang w:val="en-US" w:eastAsia="zh-CN"/>
        </w:rPr>
        <w:t>贰万</w:t>
      </w:r>
      <w:r>
        <w:rPr>
          <w:rFonts w:hint="eastAsia" w:ascii="Times New Roman" w:hAnsi="Times New Roman" w:eastAsia="宋体" w:cs="Times New Roman"/>
          <w:b/>
          <w:bCs/>
          <w:color w:val="auto"/>
          <w:u w:val="single"/>
        </w:rPr>
        <w:t>元整/家</w:t>
      </w:r>
      <w:r>
        <w:rPr>
          <w:rFonts w:hint="eastAsia" w:ascii="Times New Roman" w:hAnsi="Times New Roman" w:eastAsia="宋体" w:cs="Times New Roman"/>
          <w:color w:val="auto"/>
        </w:rPr>
        <w:t>，履约保证金的形式为银行转账或银行保函。</w:t>
      </w:r>
    </w:p>
    <w:p w14:paraId="27C7E90D">
      <w:pPr>
        <w:spacing w:line="440" w:lineRule="exact"/>
        <w:ind w:firstLine="420"/>
        <w:rPr>
          <w:rFonts w:ascii="Times New Roman" w:hAnsi="Times New Roman" w:eastAsia="宋体" w:cs="Times New Roman"/>
          <w:color w:val="auto"/>
        </w:rPr>
      </w:pPr>
      <w:r>
        <w:rPr>
          <w:rFonts w:ascii="Times New Roman" w:hAnsi="Times New Roman" w:eastAsia="宋体" w:cs="Times New Roman"/>
          <w:color w:val="auto"/>
        </w:rPr>
        <w:t>7.4.2 成交人不能按本章第7.</w:t>
      </w:r>
      <w:r>
        <w:rPr>
          <w:rFonts w:hint="eastAsia" w:ascii="Times New Roman" w:hAnsi="Times New Roman" w:eastAsia="宋体" w:cs="Times New Roman"/>
          <w:color w:val="auto"/>
        </w:rPr>
        <w:t>4</w:t>
      </w:r>
      <w:r>
        <w:rPr>
          <w:rFonts w:ascii="Times New Roman" w:hAnsi="Times New Roman" w:eastAsia="宋体" w:cs="Times New Roman"/>
          <w:color w:val="auto"/>
        </w:rPr>
        <w:t>.1项要求提交履约保证金的，视为放弃成交候选人，其响应保证金不予退还，给采购人造成的损失超过响应保证金数额的，成交人还应当对超过部分予以赔偿。</w:t>
      </w:r>
    </w:p>
    <w:p w14:paraId="492E7263">
      <w:pPr>
        <w:spacing w:line="440" w:lineRule="exact"/>
        <w:ind w:firstLine="420"/>
        <w:rPr>
          <w:rFonts w:ascii="Times New Roman" w:hAnsi="Times New Roman" w:eastAsia="宋体" w:cs="Times New Roman"/>
          <w:color w:val="auto"/>
        </w:rPr>
      </w:pPr>
      <w:r>
        <w:rPr>
          <w:rFonts w:ascii="Times New Roman" w:hAnsi="Times New Roman" w:eastAsia="宋体" w:cs="Times New Roman"/>
          <w:color w:val="auto"/>
        </w:rPr>
        <w:t xml:space="preserve">7.4.3 </w:t>
      </w:r>
      <w:r>
        <w:rPr>
          <w:rFonts w:hint="eastAsia" w:ascii="Times New Roman" w:hAnsi="Times New Roman" w:eastAsia="宋体" w:cs="Times New Roman"/>
          <w:color w:val="auto"/>
        </w:rPr>
        <w:t>履约保证金的退还：在合同履行结束10个工作日内一次性无息返还。</w:t>
      </w:r>
    </w:p>
    <w:p w14:paraId="4FFBB813">
      <w:pPr>
        <w:keepNext/>
        <w:keepLines/>
        <w:spacing w:before="120"/>
        <w:outlineLvl w:val="2"/>
        <w:rPr>
          <w:rFonts w:ascii="Times New Roman" w:hAnsi="Times New Roman" w:eastAsia="黑体" w:cs="Times New Roman"/>
          <w:bCs/>
          <w:color w:val="auto"/>
          <w:sz w:val="24"/>
          <w:szCs w:val="32"/>
        </w:rPr>
      </w:pPr>
      <w:bookmarkStart w:id="109" w:name="_Toc24643"/>
      <w:r>
        <w:rPr>
          <w:rFonts w:ascii="Times New Roman" w:hAnsi="Times New Roman" w:eastAsia="黑体" w:cs="Times New Roman"/>
          <w:bCs/>
          <w:color w:val="auto"/>
          <w:sz w:val="24"/>
          <w:szCs w:val="32"/>
        </w:rPr>
        <w:t>7.</w:t>
      </w:r>
      <w:r>
        <w:rPr>
          <w:rFonts w:hint="eastAsia" w:ascii="Times New Roman" w:hAnsi="Times New Roman" w:eastAsia="黑体" w:cs="Times New Roman"/>
          <w:bCs/>
          <w:color w:val="auto"/>
          <w:sz w:val="24"/>
          <w:szCs w:val="32"/>
        </w:rPr>
        <w:t>5</w:t>
      </w:r>
      <w:r>
        <w:rPr>
          <w:rFonts w:ascii="Times New Roman" w:hAnsi="Times New Roman" w:eastAsia="黑体" w:cs="Times New Roman"/>
          <w:bCs/>
          <w:color w:val="auto"/>
          <w:sz w:val="24"/>
          <w:szCs w:val="32"/>
        </w:rPr>
        <w:t>签订合同</w:t>
      </w:r>
      <w:bookmarkEnd w:id="109"/>
    </w:p>
    <w:p w14:paraId="08A52B17">
      <w:pPr>
        <w:spacing w:line="440"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采购人和成交人应在响应有效期内以及成交通知书发出之日起</w:t>
      </w:r>
      <w:r>
        <w:rPr>
          <w:rFonts w:hint="eastAsia" w:ascii="Times New Roman" w:hAnsi="Times New Roman" w:eastAsia="宋体" w:cs="Times New Roman"/>
          <w:color w:val="auto"/>
        </w:rPr>
        <w:t>30</w:t>
      </w:r>
      <w:r>
        <w:rPr>
          <w:rFonts w:ascii="Times New Roman" w:hAnsi="Times New Roman" w:eastAsia="宋体" w:cs="Times New Roman"/>
          <w:color w:val="auto"/>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38CE4ABF">
      <w:pPr>
        <w:keepNext/>
        <w:keepLines/>
        <w:spacing w:before="156" w:beforeLines="50" w:after="156" w:afterLines="50"/>
        <w:outlineLvl w:val="1"/>
        <w:rPr>
          <w:rFonts w:ascii="Times New Roman" w:hAnsi="Times New Roman" w:eastAsia="黑体" w:cs="Times New Roman"/>
          <w:bCs/>
          <w:color w:val="auto"/>
          <w:sz w:val="24"/>
          <w:szCs w:val="32"/>
        </w:rPr>
      </w:pPr>
      <w:bookmarkStart w:id="110" w:name="_Toc14209"/>
      <w:r>
        <w:rPr>
          <w:rFonts w:ascii="Times New Roman" w:hAnsi="Times New Roman" w:eastAsia="黑体" w:cs="Times New Roman"/>
          <w:bCs/>
          <w:color w:val="auto"/>
          <w:sz w:val="24"/>
          <w:szCs w:val="32"/>
        </w:rPr>
        <w:t>8. 纪律和监督</w:t>
      </w:r>
      <w:bookmarkEnd w:id="110"/>
    </w:p>
    <w:p w14:paraId="5AE70092">
      <w:pPr>
        <w:spacing w:line="440" w:lineRule="exact"/>
        <w:ind w:firstLine="420"/>
        <w:rPr>
          <w:rFonts w:ascii="Times New Roman" w:hAnsi="Times New Roman" w:eastAsia="宋体" w:cs="Times New Roman"/>
          <w:color w:val="auto"/>
        </w:rPr>
      </w:pPr>
      <w:r>
        <w:rPr>
          <w:rFonts w:hint="eastAsia" w:ascii="Times New Roman" w:hAnsi="Times New Roman" w:eastAsia="宋体" w:cs="Times New Roman"/>
          <w:color w:val="auto"/>
        </w:rPr>
        <w:t>供应商</w:t>
      </w:r>
      <w:r>
        <w:rPr>
          <w:rFonts w:ascii="Times New Roman" w:hAnsi="Times New Roman" w:eastAsia="宋体" w:cs="Times New Roman"/>
          <w:color w:val="auto"/>
        </w:rPr>
        <w:t>不得相互串通报价或与采购人串通报价，不得向采购人或</w:t>
      </w:r>
      <w:r>
        <w:rPr>
          <w:rFonts w:hint="eastAsia" w:ascii="Times New Roman" w:hAnsi="Times New Roman" w:eastAsia="宋体" w:cs="Times New Roman"/>
          <w:color w:val="auto"/>
        </w:rPr>
        <w:t>评审小组</w:t>
      </w:r>
      <w:r>
        <w:rPr>
          <w:rFonts w:ascii="Times New Roman" w:hAnsi="Times New Roman" w:eastAsia="宋体" w:cs="Times New Roman"/>
          <w:color w:val="auto"/>
        </w:rPr>
        <w:t>成员行贿谋取成交，不得以他人名义报价或以其他方式弄虚作假骗取成交；</w:t>
      </w:r>
      <w:r>
        <w:rPr>
          <w:rFonts w:hint="eastAsia" w:ascii="Times New Roman" w:hAnsi="Times New Roman" w:eastAsia="宋体" w:cs="Times New Roman"/>
          <w:color w:val="auto"/>
        </w:rPr>
        <w:t>供应商</w:t>
      </w:r>
      <w:r>
        <w:rPr>
          <w:rFonts w:ascii="Times New Roman" w:hAnsi="Times New Roman" w:eastAsia="宋体" w:cs="Times New Roman"/>
          <w:color w:val="auto"/>
        </w:rPr>
        <w:t>不得以任何方式干扰、影响评审工作。</w:t>
      </w:r>
    </w:p>
    <w:p w14:paraId="4E3861DC">
      <w:pPr>
        <w:keepNext/>
        <w:keepLines/>
        <w:spacing w:before="156" w:beforeLines="50" w:after="156" w:afterLines="50"/>
        <w:outlineLvl w:val="1"/>
        <w:rPr>
          <w:rFonts w:ascii="Times New Roman" w:hAnsi="Times New Roman" w:eastAsia="黑体" w:cs="Times New Roman"/>
          <w:bCs/>
          <w:color w:val="auto"/>
          <w:sz w:val="24"/>
          <w:szCs w:val="32"/>
        </w:rPr>
      </w:pPr>
      <w:bookmarkStart w:id="111" w:name="_Toc6656"/>
      <w:r>
        <w:rPr>
          <w:rFonts w:hint="eastAsia" w:ascii="Times New Roman" w:hAnsi="Times New Roman" w:eastAsia="黑体" w:cs="Times New Roman"/>
          <w:bCs/>
          <w:color w:val="auto"/>
          <w:sz w:val="24"/>
          <w:szCs w:val="32"/>
        </w:rPr>
        <w:t>9</w:t>
      </w:r>
      <w:r>
        <w:rPr>
          <w:rFonts w:ascii="Times New Roman" w:hAnsi="Times New Roman" w:eastAsia="黑体" w:cs="Times New Roman"/>
          <w:bCs/>
          <w:color w:val="auto"/>
          <w:sz w:val="24"/>
          <w:szCs w:val="32"/>
        </w:rPr>
        <w:t xml:space="preserve"> 投诉</w:t>
      </w:r>
      <w:bookmarkEnd w:id="111"/>
    </w:p>
    <w:p w14:paraId="7A32C828">
      <w:pPr>
        <w:spacing w:line="440" w:lineRule="exact"/>
        <w:ind w:firstLine="420"/>
        <w:rPr>
          <w:rFonts w:ascii="Times New Roman" w:hAnsi="Times New Roman" w:eastAsia="宋体" w:cs="Times New Roman"/>
          <w:color w:val="auto"/>
        </w:rPr>
      </w:pPr>
      <w:r>
        <w:rPr>
          <w:rFonts w:hint="eastAsia" w:ascii="Times New Roman" w:hAnsi="Times New Roman" w:eastAsia="宋体" w:cs="Times New Roman"/>
          <w:color w:val="auto"/>
        </w:rPr>
        <w:t>9</w:t>
      </w:r>
      <w:r>
        <w:rPr>
          <w:rFonts w:ascii="Times New Roman" w:hAnsi="Times New Roman" w:eastAsia="宋体" w:cs="Times New Roman"/>
          <w:color w:val="auto"/>
        </w:rPr>
        <w:t xml:space="preserve">.1 </w:t>
      </w:r>
      <w:r>
        <w:rPr>
          <w:rFonts w:hint="eastAsia" w:ascii="Times New Roman" w:hAnsi="Times New Roman" w:eastAsia="宋体" w:cs="Times New Roman"/>
          <w:color w:val="auto"/>
        </w:rPr>
        <w:t>供应商</w:t>
      </w:r>
      <w:r>
        <w:rPr>
          <w:rFonts w:ascii="Times New Roman" w:hAnsi="Times New Roman" w:eastAsia="宋体" w:cs="Times New Roman"/>
          <w:color w:val="auto"/>
        </w:rPr>
        <w:t>或其他利害关系人认为询比活动不符合法律法规规定的，可以自知道或应当知道之日起10日内向有关监督部门投诉。投诉应有明确的请求和必要的证明材料。</w:t>
      </w:r>
    </w:p>
    <w:p w14:paraId="2D581562">
      <w:pPr>
        <w:spacing w:line="44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9.2 监督部门及联系方式：</w:t>
      </w:r>
    </w:p>
    <w:p w14:paraId="29A9FC8D">
      <w:pPr>
        <w:widowControl/>
        <w:spacing w:line="440" w:lineRule="exact"/>
        <w:ind w:firstLine="420"/>
        <w:jc w:val="left"/>
        <w:rPr>
          <w:rFonts w:hint="eastAsia" w:asciiTheme="minorEastAsia" w:hAnsiTheme="minorEastAsia" w:eastAsiaTheme="minorEastAsia" w:cstheme="minorEastAsia"/>
          <w:highlight w:val="none"/>
          <w:lang w:bidi="ar"/>
        </w:rPr>
      </w:pPr>
      <w:r>
        <w:rPr>
          <w:rFonts w:hint="eastAsia" w:asciiTheme="minorEastAsia" w:hAnsiTheme="minorEastAsia" w:eastAsiaTheme="minorEastAsia" w:cstheme="minorEastAsia"/>
          <w:highlight w:val="none"/>
        </w:rPr>
        <w:t>（1）部门：</w:t>
      </w:r>
      <w:r>
        <w:rPr>
          <w:rFonts w:hint="eastAsia" w:asciiTheme="minorEastAsia" w:hAnsiTheme="minorEastAsia" w:eastAsiaTheme="minorEastAsia" w:cstheme="minorEastAsia"/>
          <w:highlight w:val="none"/>
          <w:u w:val="single"/>
        </w:rPr>
        <w:t>安徽省高速公路试验检测科研中心有限公司</w:t>
      </w:r>
      <w:r>
        <w:rPr>
          <w:rFonts w:hint="eastAsia" w:asciiTheme="minorEastAsia" w:hAnsiTheme="minorEastAsia" w:cstheme="minorEastAsia"/>
          <w:highlight w:val="none"/>
          <w:u w:val="single"/>
          <w:lang w:val="en-US" w:eastAsia="zh-CN"/>
        </w:rPr>
        <w:t>运营</w:t>
      </w:r>
      <w:r>
        <w:rPr>
          <w:rFonts w:hint="eastAsia" w:asciiTheme="minorEastAsia" w:hAnsiTheme="minorEastAsia" w:eastAsiaTheme="minorEastAsia" w:cstheme="minorEastAsia"/>
          <w:highlight w:val="none"/>
          <w:u w:val="single"/>
        </w:rPr>
        <w:t>管理部</w:t>
      </w:r>
    </w:p>
    <w:p w14:paraId="4C5E4DA7">
      <w:pPr>
        <w:spacing w:line="44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bidi="ar"/>
        </w:rPr>
        <w:t>（2）联系方式：</w:t>
      </w:r>
      <w:r>
        <w:rPr>
          <w:rFonts w:hint="eastAsia" w:asciiTheme="minorEastAsia" w:hAnsiTheme="minorEastAsia" w:eastAsiaTheme="minorEastAsia" w:cstheme="minorEastAsia"/>
          <w:highlight w:val="none"/>
          <w:u w:val="single"/>
        </w:rPr>
        <w:t>0551-63813024</w:t>
      </w:r>
      <w:r>
        <w:rPr>
          <w:rFonts w:hint="eastAsia" w:asciiTheme="minorEastAsia" w:hAnsiTheme="minorEastAsia" w:eastAsiaTheme="minorEastAsia" w:cstheme="minorEastAsia"/>
          <w:highlight w:val="none"/>
          <w:u w:val="single"/>
          <w:lang w:bidi="ar"/>
        </w:rPr>
        <w:t xml:space="preserve"> </w:t>
      </w:r>
      <w:r>
        <w:rPr>
          <w:rFonts w:hint="eastAsia" w:asciiTheme="minorEastAsia" w:hAnsiTheme="minorEastAsia" w:eastAsiaTheme="minorEastAsia" w:cstheme="minorEastAsia"/>
          <w:highlight w:val="none"/>
          <w:lang w:bidi="ar"/>
        </w:rPr>
        <w:t xml:space="preserve">  </w:t>
      </w:r>
    </w:p>
    <w:p w14:paraId="0FC72D21">
      <w:pPr>
        <w:spacing w:after="120"/>
        <w:rPr>
          <w:rFonts w:ascii="Times New Roman" w:hAnsi="Times New Roman" w:eastAsia="宋体" w:cs="Times New Roman"/>
          <w:color w:val="auto"/>
        </w:rPr>
      </w:pPr>
    </w:p>
    <w:p w14:paraId="3BEC7FB3">
      <w:pPr>
        <w:widowControl/>
        <w:jc w:val="left"/>
        <w:rPr>
          <w:rFonts w:ascii="宋体" w:hAnsi="宋体" w:eastAsia="宋体" w:cs="宋体"/>
          <w:color w:val="auto"/>
        </w:rPr>
      </w:pPr>
      <w:r>
        <w:rPr>
          <w:rFonts w:hint="eastAsia" w:ascii="宋体" w:hAnsi="宋体" w:eastAsia="宋体" w:cs="宋体"/>
          <w:color w:val="auto"/>
        </w:rPr>
        <w:br w:type="page"/>
      </w:r>
    </w:p>
    <w:p w14:paraId="235696E2">
      <w:pPr>
        <w:pStyle w:val="4"/>
        <w:numPr>
          <w:ilvl w:val="0"/>
          <w:numId w:val="0"/>
        </w:numPr>
        <w:spacing w:before="312" w:after="312"/>
        <w:rPr>
          <w:color w:val="auto"/>
        </w:rPr>
      </w:pPr>
      <w:r>
        <w:rPr>
          <w:rFonts w:hint="eastAsia" w:ascii="Times New Roman" w:hAnsi="Times New Roman" w:eastAsia="宋体" w:cs="Times New Roman"/>
          <w:color w:val="auto"/>
        </w:rPr>
        <w:t xml:space="preserve">第三章 </w:t>
      </w:r>
      <w:r>
        <w:rPr>
          <w:rFonts w:ascii="Times New Roman" w:hAnsi="Times New Roman" w:eastAsia="宋体" w:cs="Times New Roman"/>
          <w:color w:val="auto"/>
        </w:rPr>
        <w:t>评审办法</w:t>
      </w:r>
      <w:bookmarkEnd w:id="90"/>
    </w:p>
    <w:p w14:paraId="006F028D">
      <w:pPr>
        <w:snapToGrid w:val="0"/>
        <w:spacing w:before="156" w:beforeLines="50" w:line="360" w:lineRule="auto"/>
        <w:jc w:val="center"/>
        <w:rPr>
          <w:rFonts w:ascii="黑体" w:hAnsi="黑体" w:eastAsia="黑体" w:cs="黑体"/>
          <w:color w:val="auto"/>
          <w:sz w:val="24"/>
        </w:rPr>
      </w:pPr>
      <w:r>
        <w:rPr>
          <w:rFonts w:hint="eastAsia" w:ascii="黑体" w:hAnsi="黑体" w:eastAsia="黑体" w:cs="黑体"/>
          <w:color w:val="auto"/>
          <w:sz w:val="24"/>
        </w:rPr>
        <w:t xml:space="preserve">表1 </w:t>
      </w:r>
      <w:r>
        <w:rPr>
          <w:rFonts w:ascii="黑体" w:hAnsi="黑体" w:eastAsia="黑体" w:cs="黑体"/>
          <w:color w:val="auto"/>
          <w:sz w:val="24"/>
        </w:rPr>
        <w:t>评审办法前附表</w:t>
      </w:r>
      <w:r>
        <w:rPr>
          <w:rFonts w:hint="eastAsia" w:ascii="黑体" w:hAnsi="黑体" w:eastAsia="黑体" w:cs="黑体"/>
          <w:color w:val="auto"/>
          <w:sz w:val="24"/>
        </w:rPr>
        <w:t>（综合评分法）</w:t>
      </w:r>
    </w:p>
    <w:tbl>
      <w:tblPr>
        <w:tblStyle w:val="20"/>
        <w:tblW w:w="503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33"/>
        <w:gridCol w:w="935"/>
        <w:gridCol w:w="1562"/>
        <w:gridCol w:w="5375"/>
      </w:tblGrid>
      <w:tr w14:paraId="4B822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105" w:type="pct"/>
            <w:gridSpan w:val="2"/>
            <w:tcBorders>
              <w:tl2br w:val="nil"/>
              <w:tr2bl w:val="nil"/>
            </w:tcBorders>
            <w:vAlign w:val="center"/>
          </w:tcPr>
          <w:p w14:paraId="21C3000D">
            <w:pPr>
              <w:widowControl/>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877" w:type="pct"/>
            <w:tcBorders>
              <w:tl2br w:val="nil"/>
              <w:tr2bl w:val="nil"/>
            </w:tcBorders>
            <w:vAlign w:val="center"/>
          </w:tcPr>
          <w:p w14:paraId="1BEEAED2">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3017" w:type="pct"/>
            <w:tcBorders>
              <w:tl2br w:val="nil"/>
              <w:tr2bl w:val="nil"/>
            </w:tcBorders>
            <w:vAlign w:val="center"/>
          </w:tcPr>
          <w:p w14:paraId="30AAE2DB">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0C523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80" w:type="pct"/>
            <w:tcBorders>
              <w:tl2br w:val="nil"/>
              <w:tr2bl w:val="nil"/>
            </w:tcBorders>
            <w:vAlign w:val="center"/>
          </w:tcPr>
          <w:p w14:paraId="3BD3BEDF">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1</w:t>
            </w:r>
          </w:p>
        </w:tc>
        <w:tc>
          <w:tcPr>
            <w:tcW w:w="525" w:type="pct"/>
            <w:tcBorders>
              <w:tl2br w:val="nil"/>
              <w:tr2bl w:val="nil"/>
            </w:tcBorders>
            <w:vAlign w:val="center"/>
          </w:tcPr>
          <w:p w14:paraId="740B7501">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评审</w:t>
            </w:r>
            <w:r>
              <w:rPr>
                <w:rFonts w:hint="eastAsia" w:ascii="Times New Roman" w:hAnsi="Times New Roman" w:cs="Times New Roman"/>
                <w:bCs/>
                <w:color w:val="auto"/>
                <w:kern w:val="0"/>
                <w:szCs w:val="21"/>
              </w:rPr>
              <w:t>方</w:t>
            </w:r>
            <w:r>
              <w:rPr>
                <w:rFonts w:ascii="Times New Roman" w:hAnsi="Times New Roman" w:cs="Times New Roman"/>
                <w:bCs/>
                <w:color w:val="auto"/>
                <w:kern w:val="0"/>
                <w:szCs w:val="21"/>
              </w:rPr>
              <w:t>法</w:t>
            </w:r>
          </w:p>
        </w:tc>
        <w:tc>
          <w:tcPr>
            <w:tcW w:w="877" w:type="pct"/>
            <w:tcBorders>
              <w:tl2br w:val="nil"/>
              <w:tr2bl w:val="nil"/>
            </w:tcBorders>
            <w:tcMar>
              <w:left w:w="75" w:type="dxa"/>
            </w:tcMar>
            <w:vAlign w:val="center"/>
          </w:tcPr>
          <w:p w14:paraId="4F628600">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成交候选人</w:t>
            </w:r>
          </w:p>
          <w:p w14:paraId="36C4A213">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排序方法</w:t>
            </w:r>
          </w:p>
        </w:tc>
        <w:tc>
          <w:tcPr>
            <w:tcW w:w="3017" w:type="pct"/>
            <w:tcBorders>
              <w:tl2br w:val="nil"/>
              <w:tr2bl w:val="nil"/>
            </w:tcBorders>
            <w:tcMar>
              <w:left w:w="75" w:type="dxa"/>
            </w:tcMar>
            <w:vAlign w:val="center"/>
          </w:tcPr>
          <w:p w14:paraId="4460C8DC">
            <w:pPr>
              <w:widowControl/>
              <w:adjustRightInd w:val="0"/>
              <w:snapToGrid w:val="0"/>
              <w:spacing w:line="360" w:lineRule="atLeast"/>
              <w:jc w:val="left"/>
              <w:rPr>
                <w:rFonts w:hint="eastAsia" w:ascii="Times New Roman" w:hAnsi="Times New Roman" w:cs="Times New Roman" w:eastAsiaTheme="minorEastAsia"/>
                <w:color w:val="auto"/>
                <w:kern w:val="0"/>
                <w:szCs w:val="21"/>
                <w:lang w:val="zh-CN" w:eastAsia="zh-CN"/>
              </w:rPr>
            </w:pPr>
            <w:r>
              <w:rPr>
                <w:rFonts w:hint="eastAsia" w:ascii="Times New Roman" w:hAnsi="Times New Roman" w:cs="Times New Roman"/>
                <w:color w:val="auto"/>
                <w:kern w:val="0"/>
                <w:szCs w:val="21"/>
                <w:lang w:val="zh-CN"/>
              </w:rPr>
              <w:t>（</w:t>
            </w:r>
            <w:r>
              <w:rPr>
                <w:rFonts w:hint="eastAsia" w:ascii="Times New Roman" w:hAnsi="Times New Roman" w:cs="Times New Roman"/>
                <w:color w:val="auto"/>
                <w:kern w:val="0"/>
                <w:szCs w:val="21"/>
                <w:lang w:val="en-US" w:eastAsia="zh-CN"/>
              </w:rPr>
              <w:t>1</w:t>
            </w:r>
            <w:r>
              <w:rPr>
                <w:rFonts w:hint="eastAsia" w:ascii="Times New Roman" w:hAnsi="Times New Roman" w:cs="Times New Roman"/>
                <w:color w:val="auto"/>
                <w:kern w:val="0"/>
                <w:szCs w:val="21"/>
                <w:lang w:val="zh-CN"/>
              </w:rPr>
              <w:t>）对满足询比文件要求的响应文件，按照得分由高到低的顺序推荐4名成交候选人（如不足4名，可以按实际数量推荐）。</w:t>
            </w:r>
          </w:p>
          <w:p w14:paraId="4874DEE0">
            <w:pPr>
              <w:widowControl/>
              <w:adjustRightInd w:val="0"/>
              <w:snapToGrid w:val="0"/>
              <w:spacing w:line="360" w:lineRule="atLeast"/>
              <w:jc w:val="left"/>
              <w:rPr>
                <w:rFonts w:hint="eastAsia" w:ascii="Times New Roman" w:hAnsi="Times New Roman" w:cs="Times New Roman"/>
                <w:color w:val="auto"/>
                <w:kern w:val="0"/>
                <w:szCs w:val="21"/>
                <w:lang w:val="zh-CN"/>
              </w:rPr>
            </w:pPr>
            <w:r>
              <w:rPr>
                <w:rFonts w:hint="eastAsia" w:ascii="Times New Roman" w:hAnsi="Times New Roman" w:cs="Times New Roman"/>
                <w:color w:val="auto"/>
                <w:kern w:val="0"/>
                <w:szCs w:val="21"/>
                <w:lang w:val="zh-CN"/>
              </w:rPr>
              <w:t>（</w:t>
            </w:r>
            <w:r>
              <w:rPr>
                <w:rFonts w:hint="eastAsia" w:ascii="Times New Roman" w:hAnsi="Times New Roman" w:cs="Times New Roman"/>
                <w:color w:val="auto"/>
                <w:kern w:val="0"/>
                <w:szCs w:val="21"/>
                <w:lang w:val="en-US" w:eastAsia="zh-CN"/>
              </w:rPr>
              <w:t>2</w:t>
            </w:r>
            <w:r>
              <w:rPr>
                <w:rFonts w:hint="eastAsia" w:ascii="Times New Roman" w:hAnsi="Times New Roman" w:cs="Times New Roman"/>
                <w:color w:val="auto"/>
                <w:kern w:val="0"/>
                <w:szCs w:val="21"/>
                <w:lang w:val="zh-CN"/>
              </w:rPr>
              <w:t>）若存在有供应商得分相同情况，根据供应商提交响应文件中</w:t>
            </w:r>
            <w:r>
              <w:rPr>
                <w:rFonts w:hint="eastAsia" w:ascii="Times New Roman" w:hAnsi="Times New Roman" w:cs="Times New Roman"/>
                <w:color w:val="auto"/>
                <w:kern w:val="0"/>
                <w:szCs w:val="21"/>
                <w:lang w:val="en-US" w:eastAsia="zh-CN"/>
              </w:rPr>
              <w:t>报价由低到高的顺序确定排名先后</w:t>
            </w:r>
            <w:r>
              <w:rPr>
                <w:rFonts w:hint="eastAsia" w:ascii="Times New Roman" w:hAnsi="Times New Roman" w:cs="Times New Roman"/>
                <w:color w:val="auto"/>
                <w:kern w:val="0"/>
                <w:szCs w:val="21"/>
                <w:lang w:val="zh-CN"/>
              </w:rPr>
              <w:t>；如</w:t>
            </w:r>
            <w:r>
              <w:rPr>
                <w:rFonts w:hint="eastAsia" w:ascii="Times New Roman" w:hAnsi="Times New Roman" w:cs="Times New Roman"/>
                <w:color w:val="auto"/>
                <w:kern w:val="0"/>
                <w:szCs w:val="21"/>
                <w:lang w:val="en-US" w:eastAsia="zh-CN"/>
              </w:rPr>
              <w:t>报价</w:t>
            </w:r>
            <w:r>
              <w:rPr>
                <w:rFonts w:hint="eastAsia" w:ascii="Times New Roman" w:hAnsi="Times New Roman" w:cs="Times New Roman"/>
                <w:color w:val="auto"/>
                <w:kern w:val="0"/>
                <w:szCs w:val="21"/>
                <w:lang w:val="zh-CN"/>
              </w:rPr>
              <w:t>相同，以提交响应文件时间的先后顺序，确定排名先后。</w:t>
            </w:r>
          </w:p>
          <w:p w14:paraId="392947C9">
            <w:pPr>
              <w:widowControl/>
              <w:adjustRightInd w:val="0"/>
              <w:snapToGrid w:val="0"/>
              <w:spacing w:line="360" w:lineRule="atLeast"/>
              <w:jc w:val="left"/>
              <w:rPr>
                <w:rFonts w:hint="eastAsia" w:ascii="Times New Roman" w:hAnsi="Times New Roman" w:cs="Times New Roman"/>
                <w:color w:val="auto"/>
                <w:kern w:val="0"/>
                <w:szCs w:val="21"/>
              </w:rPr>
            </w:pPr>
            <w:r>
              <w:rPr>
                <w:rFonts w:hint="eastAsia" w:ascii="Times New Roman" w:hAnsi="Times New Roman" w:cs="Times New Roman"/>
                <w:color w:val="auto"/>
                <w:kern w:val="0"/>
                <w:szCs w:val="21"/>
                <w:lang w:val="zh-CN"/>
              </w:rPr>
              <w:t>（</w:t>
            </w:r>
            <w:r>
              <w:rPr>
                <w:rFonts w:hint="eastAsia" w:ascii="Times New Roman" w:hAnsi="Times New Roman" w:cs="Times New Roman"/>
                <w:color w:val="auto"/>
                <w:kern w:val="0"/>
                <w:szCs w:val="21"/>
                <w:lang w:val="en-US" w:eastAsia="zh-CN"/>
              </w:rPr>
              <w:t>3</w:t>
            </w:r>
            <w:r>
              <w:rPr>
                <w:rFonts w:hint="eastAsia" w:ascii="Times New Roman" w:hAnsi="Times New Roman" w:cs="Times New Roman"/>
                <w:color w:val="auto"/>
                <w:kern w:val="0"/>
                <w:szCs w:val="21"/>
                <w:lang w:val="zh-CN"/>
              </w:rPr>
              <w:t>）</w:t>
            </w:r>
            <w:r>
              <w:rPr>
                <w:rFonts w:hint="eastAsia" w:ascii="Times New Roman" w:hAnsi="Times New Roman" w:cs="Times New Roman"/>
                <w:color w:val="auto"/>
                <w:kern w:val="0"/>
                <w:szCs w:val="21"/>
              </w:rPr>
              <w:t>评审小组对通过资格审查的报价文件，在满足采购文件实质性要求的前提下，以供应商的综合得分由高到低的顺序进行排序，确认排名，综合得分最高者、次高者为合作供应商候选人。</w:t>
            </w:r>
          </w:p>
          <w:p w14:paraId="156C67AA">
            <w:pPr>
              <w:widowControl/>
              <w:adjustRightInd w:val="0"/>
              <w:snapToGrid w:val="0"/>
              <w:spacing w:line="360" w:lineRule="atLeast"/>
              <w:jc w:val="left"/>
              <w:rPr>
                <w:color w:val="auto"/>
              </w:rPr>
            </w:pPr>
            <w:r>
              <w:rPr>
                <w:rFonts w:hint="eastAsia" w:ascii="Times New Roman" w:hAnsi="Times New Roman" w:cs="Times New Roman"/>
                <w:color w:val="auto"/>
                <w:kern w:val="0"/>
                <w:szCs w:val="21"/>
                <w:lang w:val="zh-CN"/>
              </w:rPr>
              <w:t>（4）采购人组织对排名</w:t>
            </w:r>
            <w:r>
              <w:rPr>
                <w:rFonts w:hint="eastAsia" w:ascii="Times New Roman" w:hAnsi="Times New Roman" w:cs="Times New Roman"/>
                <w:color w:val="auto"/>
                <w:kern w:val="0"/>
                <w:szCs w:val="21"/>
                <w:lang w:val="en-US" w:eastAsia="zh-CN"/>
              </w:rPr>
              <w:t>前</w:t>
            </w:r>
            <w:r>
              <w:rPr>
                <w:rFonts w:hint="eastAsia" w:ascii="Times New Roman" w:hAnsi="Times New Roman" w:cs="Times New Roman"/>
                <w:color w:val="auto"/>
                <w:kern w:val="0"/>
                <w:szCs w:val="21"/>
                <w:lang w:val="zh-CN"/>
              </w:rPr>
              <w:t>2名的成交候选人</w:t>
            </w:r>
            <w:r>
              <w:rPr>
                <w:rFonts w:hint="eastAsia" w:ascii="Times New Roman" w:hAnsi="Times New Roman" w:cs="Times New Roman"/>
                <w:color w:val="auto"/>
                <w:kern w:val="0"/>
                <w:szCs w:val="21"/>
                <w:lang w:val="en-US" w:eastAsia="zh-CN"/>
              </w:rPr>
              <w:t>进行价格</w:t>
            </w:r>
            <w:r>
              <w:rPr>
                <w:rFonts w:hint="eastAsia" w:ascii="Times New Roman" w:hAnsi="Times New Roman" w:cs="Times New Roman"/>
                <w:color w:val="auto"/>
                <w:kern w:val="0"/>
                <w:szCs w:val="21"/>
                <w:lang w:val="zh-CN"/>
              </w:rPr>
              <w:t>谈判，按照前两名最低价执行。若不接受议价，书面拒绝后由接受议价的候选人依次后补。</w:t>
            </w:r>
          </w:p>
        </w:tc>
      </w:tr>
    </w:tbl>
    <w:p w14:paraId="629848AE">
      <w:pPr>
        <w:rPr>
          <w:color w:val="auto"/>
        </w:rPr>
      </w:pPr>
    </w:p>
    <w:p w14:paraId="45FB5546">
      <w:pPr>
        <w:snapToGrid w:val="0"/>
        <w:spacing w:before="156" w:beforeLines="50" w:line="360" w:lineRule="auto"/>
        <w:jc w:val="center"/>
        <w:rPr>
          <w:rFonts w:ascii="黑体" w:hAnsi="黑体" w:eastAsia="黑体" w:cs="黑体"/>
          <w:color w:val="auto"/>
          <w:sz w:val="24"/>
        </w:rPr>
      </w:pPr>
      <w:r>
        <w:rPr>
          <w:rFonts w:hint="eastAsia" w:ascii="黑体" w:hAnsi="黑体" w:eastAsia="黑体" w:cs="黑体"/>
          <w:color w:val="auto"/>
          <w:sz w:val="24"/>
        </w:rPr>
        <w:t>表2初步评审标准</w:t>
      </w:r>
    </w:p>
    <w:tbl>
      <w:tblPr>
        <w:tblStyle w:val="20"/>
        <w:tblW w:w="511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94"/>
        <w:gridCol w:w="904"/>
        <w:gridCol w:w="1899"/>
        <w:gridCol w:w="5158"/>
      </w:tblGrid>
      <w:tr w14:paraId="7D790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103" w:type="pct"/>
            <w:gridSpan w:val="2"/>
            <w:tcBorders>
              <w:tl2br w:val="nil"/>
              <w:tr2bl w:val="nil"/>
            </w:tcBorders>
            <w:vAlign w:val="center"/>
          </w:tcPr>
          <w:p w14:paraId="4509145E">
            <w:pPr>
              <w:widowControl/>
              <w:spacing w:line="360" w:lineRule="atLeast"/>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条款号</w:t>
            </w:r>
          </w:p>
        </w:tc>
        <w:tc>
          <w:tcPr>
            <w:tcW w:w="1048" w:type="pct"/>
            <w:tcBorders>
              <w:tl2br w:val="nil"/>
              <w:tr2bl w:val="nil"/>
            </w:tcBorders>
            <w:vAlign w:val="center"/>
          </w:tcPr>
          <w:p w14:paraId="137878FE">
            <w:pPr>
              <w:widowControl/>
              <w:spacing w:line="360" w:lineRule="atLeast"/>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评审因素</w:t>
            </w:r>
          </w:p>
        </w:tc>
        <w:tc>
          <w:tcPr>
            <w:tcW w:w="2847" w:type="pct"/>
            <w:tcBorders>
              <w:tl2br w:val="nil"/>
              <w:tr2bl w:val="nil"/>
            </w:tcBorders>
            <w:vAlign w:val="center"/>
          </w:tcPr>
          <w:p w14:paraId="1895E38E">
            <w:pPr>
              <w:widowControl/>
              <w:spacing w:line="360" w:lineRule="atLeast"/>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评审标准</w:t>
            </w:r>
          </w:p>
        </w:tc>
      </w:tr>
      <w:tr w14:paraId="2DA33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04" w:type="pct"/>
            <w:vMerge w:val="restart"/>
            <w:tcBorders>
              <w:tl2br w:val="nil"/>
              <w:tr2bl w:val="nil"/>
            </w:tcBorders>
            <w:vAlign w:val="center"/>
          </w:tcPr>
          <w:p w14:paraId="5E69E34B">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2</w:t>
            </w:r>
            <w:r>
              <w:rPr>
                <w:rFonts w:ascii="Times New Roman" w:hAnsi="Times New Roman" w:cs="Times New Roman"/>
                <w:color w:val="auto"/>
                <w:kern w:val="0"/>
                <w:szCs w:val="21"/>
              </w:rPr>
              <w:t>.1</w:t>
            </w:r>
            <w:r>
              <w:rPr>
                <w:rFonts w:hint="eastAsia" w:ascii="Times New Roman" w:hAnsi="Times New Roman" w:cs="Times New Roman"/>
                <w:color w:val="auto"/>
                <w:kern w:val="0"/>
                <w:szCs w:val="21"/>
              </w:rPr>
              <w:t>.1</w:t>
            </w:r>
          </w:p>
        </w:tc>
        <w:tc>
          <w:tcPr>
            <w:tcW w:w="499" w:type="pct"/>
            <w:vMerge w:val="restart"/>
            <w:tcBorders>
              <w:tl2br w:val="nil"/>
              <w:tr2bl w:val="nil"/>
            </w:tcBorders>
            <w:vAlign w:val="center"/>
          </w:tcPr>
          <w:p w14:paraId="68AF4D48">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初步评审</w:t>
            </w:r>
          </w:p>
        </w:tc>
        <w:tc>
          <w:tcPr>
            <w:tcW w:w="1048" w:type="pct"/>
            <w:tcBorders>
              <w:tl2br w:val="nil"/>
              <w:tr2bl w:val="nil"/>
            </w:tcBorders>
            <w:tcMar>
              <w:left w:w="75" w:type="dxa"/>
            </w:tcMar>
            <w:vAlign w:val="center"/>
          </w:tcPr>
          <w:p w14:paraId="6B6CCE53">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供应商名称</w:t>
            </w:r>
          </w:p>
        </w:tc>
        <w:tc>
          <w:tcPr>
            <w:tcW w:w="2847" w:type="pct"/>
            <w:tcBorders>
              <w:tl2br w:val="nil"/>
              <w:tr2bl w:val="nil"/>
            </w:tcBorders>
            <w:tcMar>
              <w:left w:w="75" w:type="dxa"/>
            </w:tcMar>
            <w:vAlign w:val="center"/>
          </w:tcPr>
          <w:p w14:paraId="40AE86E9">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与营业执照</w:t>
            </w:r>
            <w:r>
              <w:rPr>
                <w:rFonts w:hint="eastAsia" w:ascii="Times New Roman" w:hAnsi="Times New Roman" w:cs="Times New Roman"/>
                <w:color w:val="auto"/>
                <w:kern w:val="0"/>
                <w:szCs w:val="21"/>
              </w:rPr>
              <w:t>或事业单位法人证书</w:t>
            </w:r>
            <w:r>
              <w:rPr>
                <w:rFonts w:ascii="Times New Roman" w:hAnsi="Times New Roman" w:cs="Times New Roman"/>
                <w:color w:val="auto"/>
                <w:kern w:val="0"/>
                <w:szCs w:val="21"/>
              </w:rPr>
              <w:t>一致</w:t>
            </w:r>
          </w:p>
        </w:tc>
      </w:tr>
      <w:tr w14:paraId="669DB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604" w:type="pct"/>
            <w:vMerge w:val="continue"/>
            <w:tcBorders>
              <w:tl2br w:val="nil"/>
              <w:tr2bl w:val="nil"/>
            </w:tcBorders>
            <w:vAlign w:val="center"/>
          </w:tcPr>
          <w:p w14:paraId="30643B07">
            <w:pPr>
              <w:widowControl/>
              <w:adjustRightInd w:val="0"/>
              <w:snapToGrid w:val="0"/>
              <w:spacing w:line="360" w:lineRule="atLeast"/>
              <w:jc w:val="center"/>
              <w:rPr>
                <w:rFonts w:ascii="Times New Roman" w:hAnsi="Times New Roman" w:cs="Times New Roman"/>
                <w:color w:val="auto"/>
                <w:kern w:val="0"/>
                <w:szCs w:val="21"/>
              </w:rPr>
            </w:pPr>
          </w:p>
        </w:tc>
        <w:tc>
          <w:tcPr>
            <w:tcW w:w="499" w:type="pct"/>
            <w:vMerge w:val="continue"/>
            <w:tcBorders>
              <w:tl2br w:val="nil"/>
              <w:tr2bl w:val="nil"/>
            </w:tcBorders>
            <w:vAlign w:val="center"/>
          </w:tcPr>
          <w:p w14:paraId="0F83345D">
            <w:pPr>
              <w:widowControl/>
              <w:adjustRightInd w:val="0"/>
              <w:snapToGrid w:val="0"/>
              <w:spacing w:line="360" w:lineRule="atLeast"/>
              <w:jc w:val="center"/>
              <w:rPr>
                <w:rFonts w:ascii="Times New Roman" w:hAnsi="Times New Roman" w:cs="Times New Roman"/>
                <w:color w:val="auto"/>
                <w:kern w:val="0"/>
                <w:szCs w:val="21"/>
              </w:rPr>
            </w:pPr>
          </w:p>
        </w:tc>
        <w:tc>
          <w:tcPr>
            <w:tcW w:w="1048" w:type="pct"/>
            <w:tcBorders>
              <w:tl2br w:val="nil"/>
              <w:tr2bl w:val="nil"/>
            </w:tcBorders>
            <w:tcMar>
              <w:left w:w="75" w:type="dxa"/>
            </w:tcMar>
            <w:vAlign w:val="center"/>
          </w:tcPr>
          <w:p w14:paraId="1A16C3BA">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响应文件格式</w:t>
            </w:r>
          </w:p>
        </w:tc>
        <w:tc>
          <w:tcPr>
            <w:tcW w:w="2847" w:type="pct"/>
            <w:tcBorders>
              <w:tl2br w:val="nil"/>
              <w:tr2bl w:val="nil"/>
            </w:tcBorders>
            <w:tcMar>
              <w:left w:w="75" w:type="dxa"/>
            </w:tcMar>
            <w:vAlign w:val="center"/>
          </w:tcPr>
          <w:p w14:paraId="569778D3">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符合第六章“响应文件格式”的规定，关键字迹清晰可辨</w:t>
            </w:r>
          </w:p>
        </w:tc>
      </w:tr>
      <w:tr w14:paraId="1C9E8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604" w:type="pct"/>
            <w:vMerge w:val="continue"/>
            <w:tcBorders>
              <w:tl2br w:val="nil"/>
              <w:tr2bl w:val="nil"/>
            </w:tcBorders>
            <w:vAlign w:val="center"/>
          </w:tcPr>
          <w:p w14:paraId="630E55C2">
            <w:pPr>
              <w:widowControl/>
              <w:adjustRightInd w:val="0"/>
              <w:snapToGrid w:val="0"/>
              <w:spacing w:line="360" w:lineRule="atLeast"/>
              <w:jc w:val="center"/>
              <w:rPr>
                <w:rFonts w:ascii="Times New Roman" w:hAnsi="Times New Roman" w:cs="Times New Roman"/>
                <w:color w:val="auto"/>
                <w:kern w:val="0"/>
                <w:szCs w:val="21"/>
              </w:rPr>
            </w:pPr>
          </w:p>
        </w:tc>
        <w:tc>
          <w:tcPr>
            <w:tcW w:w="499" w:type="pct"/>
            <w:vMerge w:val="continue"/>
            <w:tcBorders>
              <w:tl2br w:val="nil"/>
              <w:tr2bl w:val="nil"/>
            </w:tcBorders>
            <w:vAlign w:val="center"/>
          </w:tcPr>
          <w:p w14:paraId="40C99151">
            <w:pPr>
              <w:widowControl/>
              <w:adjustRightInd w:val="0"/>
              <w:snapToGrid w:val="0"/>
              <w:spacing w:line="360" w:lineRule="atLeast"/>
              <w:jc w:val="center"/>
              <w:rPr>
                <w:rFonts w:ascii="Times New Roman" w:hAnsi="Times New Roman" w:cs="Times New Roman"/>
                <w:color w:val="auto"/>
                <w:kern w:val="0"/>
                <w:szCs w:val="21"/>
              </w:rPr>
            </w:pPr>
          </w:p>
        </w:tc>
        <w:tc>
          <w:tcPr>
            <w:tcW w:w="1048" w:type="pct"/>
            <w:tcBorders>
              <w:tl2br w:val="nil"/>
              <w:tr2bl w:val="nil"/>
            </w:tcBorders>
            <w:tcMar>
              <w:left w:w="75" w:type="dxa"/>
            </w:tcMar>
            <w:vAlign w:val="center"/>
          </w:tcPr>
          <w:p w14:paraId="2735FAB8">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签名及</w:t>
            </w:r>
            <w:r>
              <w:rPr>
                <w:rFonts w:ascii="Times New Roman" w:hAnsi="Times New Roman" w:cs="Times New Roman"/>
                <w:color w:val="auto"/>
                <w:kern w:val="0"/>
                <w:szCs w:val="21"/>
              </w:rPr>
              <w:t>盖章</w:t>
            </w:r>
          </w:p>
        </w:tc>
        <w:tc>
          <w:tcPr>
            <w:tcW w:w="2847" w:type="pct"/>
            <w:tcBorders>
              <w:tl2br w:val="nil"/>
              <w:tr2bl w:val="nil"/>
            </w:tcBorders>
            <w:tcMar>
              <w:left w:w="75" w:type="dxa"/>
            </w:tcMar>
            <w:vAlign w:val="center"/>
          </w:tcPr>
          <w:p w14:paraId="589F554B">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符合第二章“供应商须知”规定</w:t>
            </w:r>
          </w:p>
        </w:tc>
      </w:tr>
      <w:tr w14:paraId="25F11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604" w:type="pct"/>
            <w:vMerge w:val="continue"/>
            <w:tcBorders>
              <w:tl2br w:val="nil"/>
              <w:tr2bl w:val="nil"/>
            </w:tcBorders>
            <w:vAlign w:val="center"/>
          </w:tcPr>
          <w:p w14:paraId="4F74BC1B">
            <w:pPr>
              <w:widowControl/>
              <w:adjustRightInd w:val="0"/>
              <w:snapToGrid w:val="0"/>
              <w:spacing w:line="360" w:lineRule="atLeast"/>
              <w:jc w:val="center"/>
              <w:rPr>
                <w:rFonts w:ascii="Times New Roman" w:hAnsi="Times New Roman" w:cs="Times New Roman"/>
                <w:color w:val="auto"/>
                <w:kern w:val="0"/>
                <w:szCs w:val="21"/>
              </w:rPr>
            </w:pPr>
          </w:p>
        </w:tc>
        <w:tc>
          <w:tcPr>
            <w:tcW w:w="499" w:type="pct"/>
            <w:vMerge w:val="continue"/>
            <w:tcBorders>
              <w:tl2br w:val="nil"/>
              <w:tr2bl w:val="nil"/>
            </w:tcBorders>
            <w:vAlign w:val="center"/>
          </w:tcPr>
          <w:p w14:paraId="08F6008F">
            <w:pPr>
              <w:widowControl/>
              <w:adjustRightInd w:val="0"/>
              <w:snapToGrid w:val="0"/>
              <w:spacing w:line="360" w:lineRule="atLeast"/>
              <w:jc w:val="center"/>
              <w:rPr>
                <w:rFonts w:ascii="Times New Roman" w:hAnsi="Times New Roman" w:cs="Times New Roman"/>
                <w:color w:val="auto"/>
                <w:kern w:val="0"/>
                <w:szCs w:val="21"/>
              </w:rPr>
            </w:pPr>
          </w:p>
        </w:tc>
        <w:tc>
          <w:tcPr>
            <w:tcW w:w="1048" w:type="pct"/>
            <w:tcBorders>
              <w:tl2br w:val="nil"/>
              <w:tr2bl w:val="nil"/>
            </w:tcBorders>
            <w:tcMar>
              <w:left w:w="75" w:type="dxa"/>
            </w:tcMar>
            <w:vAlign w:val="center"/>
          </w:tcPr>
          <w:p w14:paraId="11F92067">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报价</w:t>
            </w:r>
          </w:p>
        </w:tc>
        <w:tc>
          <w:tcPr>
            <w:tcW w:w="2847" w:type="pct"/>
            <w:tcBorders>
              <w:tl2br w:val="nil"/>
              <w:tr2bl w:val="nil"/>
            </w:tcBorders>
            <w:tcMar>
              <w:left w:w="75" w:type="dxa"/>
            </w:tcMar>
            <w:vAlign w:val="center"/>
          </w:tcPr>
          <w:p w14:paraId="62FDC7D1">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bCs/>
                <w:color w:val="auto"/>
                <w:kern w:val="0"/>
                <w:szCs w:val="21"/>
              </w:rPr>
              <w:t>按第六章“响应文件格式”的规定进行填写，且未超过规定的限价</w:t>
            </w:r>
          </w:p>
        </w:tc>
      </w:tr>
      <w:tr w14:paraId="0FA68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604" w:type="pct"/>
            <w:vMerge w:val="continue"/>
            <w:tcBorders>
              <w:tl2br w:val="nil"/>
              <w:tr2bl w:val="nil"/>
            </w:tcBorders>
            <w:vAlign w:val="center"/>
          </w:tcPr>
          <w:p w14:paraId="29C1E35B">
            <w:pPr>
              <w:widowControl/>
              <w:adjustRightInd w:val="0"/>
              <w:snapToGrid w:val="0"/>
              <w:spacing w:line="360" w:lineRule="atLeast"/>
              <w:jc w:val="center"/>
              <w:rPr>
                <w:rFonts w:ascii="Times New Roman" w:hAnsi="Times New Roman" w:cs="Times New Roman"/>
                <w:color w:val="auto"/>
                <w:kern w:val="0"/>
                <w:szCs w:val="21"/>
              </w:rPr>
            </w:pPr>
          </w:p>
        </w:tc>
        <w:tc>
          <w:tcPr>
            <w:tcW w:w="499" w:type="pct"/>
            <w:vMerge w:val="continue"/>
            <w:tcBorders>
              <w:tl2br w:val="nil"/>
              <w:tr2bl w:val="nil"/>
            </w:tcBorders>
            <w:vAlign w:val="center"/>
          </w:tcPr>
          <w:p w14:paraId="341D68C0">
            <w:pPr>
              <w:widowControl/>
              <w:adjustRightInd w:val="0"/>
              <w:snapToGrid w:val="0"/>
              <w:spacing w:line="360" w:lineRule="atLeast"/>
              <w:jc w:val="center"/>
              <w:rPr>
                <w:rFonts w:ascii="Times New Roman" w:hAnsi="Times New Roman" w:cs="Times New Roman"/>
                <w:color w:val="auto"/>
                <w:kern w:val="0"/>
                <w:szCs w:val="21"/>
              </w:rPr>
            </w:pPr>
          </w:p>
        </w:tc>
        <w:tc>
          <w:tcPr>
            <w:tcW w:w="1048" w:type="pct"/>
            <w:tcBorders>
              <w:tl2br w:val="nil"/>
              <w:tr2bl w:val="nil"/>
            </w:tcBorders>
            <w:tcMar>
              <w:left w:w="75" w:type="dxa"/>
            </w:tcMar>
            <w:vAlign w:val="center"/>
          </w:tcPr>
          <w:p w14:paraId="3775886F">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供应商资格条件、</w:t>
            </w:r>
          </w:p>
          <w:p w14:paraId="6C563B51">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信誉要求</w:t>
            </w:r>
          </w:p>
        </w:tc>
        <w:tc>
          <w:tcPr>
            <w:tcW w:w="2847" w:type="pct"/>
            <w:tcBorders>
              <w:tl2br w:val="nil"/>
              <w:tr2bl w:val="nil"/>
            </w:tcBorders>
            <w:tcMar>
              <w:left w:w="75" w:type="dxa"/>
            </w:tcMar>
            <w:vAlign w:val="center"/>
          </w:tcPr>
          <w:p w14:paraId="4E1A71CB">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w:t>
            </w:r>
            <w:r>
              <w:rPr>
                <w:rFonts w:hint="eastAsia" w:ascii="Times New Roman" w:hAnsi="Times New Roman" w:cs="Times New Roman"/>
                <w:bCs/>
                <w:color w:val="auto"/>
                <w:kern w:val="0"/>
                <w:szCs w:val="21"/>
              </w:rPr>
              <w:t>一</w:t>
            </w:r>
            <w:r>
              <w:rPr>
                <w:rFonts w:ascii="Times New Roman" w:hAnsi="Times New Roman" w:cs="Times New Roman"/>
                <w:bCs/>
                <w:color w:val="auto"/>
                <w:kern w:val="0"/>
                <w:szCs w:val="21"/>
              </w:rPr>
              <w:t>章“</w:t>
            </w:r>
            <w:r>
              <w:rPr>
                <w:rFonts w:hint="eastAsia" w:ascii="Times New Roman" w:hAnsi="Times New Roman" w:cs="Times New Roman"/>
                <w:color w:val="auto"/>
                <w:szCs w:val="21"/>
              </w:rPr>
              <w:t>采购公告</w:t>
            </w:r>
            <w:r>
              <w:rPr>
                <w:rFonts w:ascii="Times New Roman" w:hAnsi="Times New Roman" w:cs="Times New Roman"/>
                <w:bCs/>
                <w:color w:val="auto"/>
                <w:kern w:val="0"/>
                <w:szCs w:val="21"/>
              </w:rPr>
              <w:t>”规定</w:t>
            </w:r>
          </w:p>
        </w:tc>
      </w:tr>
      <w:tr w14:paraId="3AE1C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04" w:type="pct"/>
            <w:vMerge w:val="continue"/>
            <w:tcBorders>
              <w:tl2br w:val="nil"/>
              <w:tr2bl w:val="nil"/>
            </w:tcBorders>
            <w:vAlign w:val="center"/>
          </w:tcPr>
          <w:p w14:paraId="447255E2">
            <w:pPr>
              <w:widowControl/>
              <w:adjustRightInd w:val="0"/>
              <w:snapToGrid w:val="0"/>
              <w:spacing w:line="360" w:lineRule="atLeast"/>
              <w:jc w:val="center"/>
              <w:rPr>
                <w:rFonts w:ascii="Times New Roman" w:hAnsi="Times New Roman" w:cs="Times New Roman"/>
                <w:color w:val="auto"/>
                <w:kern w:val="0"/>
                <w:szCs w:val="21"/>
              </w:rPr>
            </w:pPr>
          </w:p>
        </w:tc>
        <w:tc>
          <w:tcPr>
            <w:tcW w:w="499" w:type="pct"/>
            <w:vMerge w:val="continue"/>
            <w:tcBorders>
              <w:tl2br w:val="nil"/>
              <w:tr2bl w:val="nil"/>
            </w:tcBorders>
            <w:vAlign w:val="center"/>
          </w:tcPr>
          <w:p w14:paraId="1CD705F0">
            <w:pPr>
              <w:widowControl/>
              <w:adjustRightInd w:val="0"/>
              <w:snapToGrid w:val="0"/>
              <w:spacing w:line="360" w:lineRule="atLeast"/>
              <w:jc w:val="center"/>
              <w:rPr>
                <w:rFonts w:ascii="Times New Roman" w:hAnsi="Times New Roman" w:cs="Times New Roman"/>
                <w:color w:val="auto"/>
                <w:kern w:val="0"/>
                <w:szCs w:val="21"/>
              </w:rPr>
            </w:pPr>
          </w:p>
        </w:tc>
        <w:tc>
          <w:tcPr>
            <w:tcW w:w="1048" w:type="pct"/>
            <w:tcBorders>
              <w:tl2br w:val="nil"/>
              <w:tr2bl w:val="nil"/>
            </w:tcBorders>
            <w:tcMar>
              <w:left w:w="75" w:type="dxa"/>
            </w:tcMar>
            <w:vAlign w:val="center"/>
          </w:tcPr>
          <w:p w14:paraId="6FC7876D">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业绩</w:t>
            </w:r>
          </w:p>
        </w:tc>
        <w:tc>
          <w:tcPr>
            <w:tcW w:w="2847" w:type="pct"/>
            <w:tcBorders>
              <w:tl2br w:val="nil"/>
              <w:tr2bl w:val="nil"/>
            </w:tcBorders>
            <w:tcMar>
              <w:left w:w="75" w:type="dxa"/>
            </w:tcMar>
            <w:vAlign w:val="center"/>
          </w:tcPr>
          <w:p w14:paraId="2D6421ED">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w:t>
            </w:r>
            <w:r>
              <w:rPr>
                <w:rFonts w:hint="eastAsia" w:ascii="Times New Roman" w:hAnsi="Times New Roman" w:cs="Times New Roman"/>
                <w:bCs/>
                <w:color w:val="auto"/>
                <w:kern w:val="0"/>
                <w:szCs w:val="21"/>
              </w:rPr>
              <w:t>一</w:t>
            </w:r>
            <w:r>
              <w:rPr>
                <w:rFonts w:ascii="Times New Roman" w:hAnsi="Times New Roman" w:cs="Times New Roman"/>
                <w:bCs/>
                <w:color w:val="auto"/>
                <w:kern w:val="0"/>
                <w:szCs w:val="21"/>
              </w:rPr>
              <w:t>章“</w:t>
            </w:r>
            <w:r>
              <w:rPr>
                <w:rFonts w:hint="eastAsia" w:ascii="Times New Roman" w:hAnsi="Times New Roman" w:cs="Times New Roman"/>
                <w:color w:val="auto"/>
                <w:szCs w:val="21"/>
              </w:rPr>
              <w:t>采购公告</w:t>
            </w:r>
            <w:r>
              <w:rPr>
                <w:rFonts w:ascii="Times New Roman" w:hAnsi="Times New Roman" w:cs="Times New Roman"/>
                <w:bCs/>
                <w:color w:val="auto"/>
                <w:kern w:val="0"/>
                <w:szCs w:val="21"/>
              </w:rPr>
              <w:t>”规定</w:t>
            </w:r>
          </w:p>
        </w:tc>
      </w:tr>
      <w:tr w14:paraId="4B57C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04" w:type="pct"/>
            <w:vMerge w:val="continue"/>
            <w:tcBorders>
              <w:tl2br w:val="nil"/>
              <w:tr2bl w:val="nil"/>
            </w:tcBorders>
            <w:vAlign w:val="center"/>
          </w:tcPr>
          <w:p w14:paraId="6E412496">
            <w:pPr>
              <w:widowControl/>
              <w:adjustRightInd w:val="0"/>
              <w:snapToGrid w:val="0"/>
              <w:spacing w:line="360" w:lineRule="atLeast"/>
              <w:jc w:val="center"/>
              <w:rPr>
                <w:rFonts w:ascii="Times New Roman" w:hAnsi="Times New Roman" w:cs="Times New Roman"/>
                <w:color w:val="auto"/>
                <w:kern w:val="0"/>
                <w:szCs w:val="21"/>
              </w:rPr>
            </w:pPr>
          </w:p>
        </w:tc>
        <w:tc>
          <w:tcPr>
            <w:tcW w:w="499" w:type="pct"/>
            <w:vMerge w:val="continue"/>
            <w:tcBorders>
              <w:tl2br w:val="nil"/>
              <w:tr2bl w:val="nil"/>
            </w:tcBorders>
            <w:vAlign w:val="center"/>
          </w:tcPr>
          <w:p w14:paraId="15957A28">
            <w:pPr>
              <w:widowControl/>
              <w:adjustRightInd w:val="0"/>
              <w:snapToGrid w:val="0"/>
              <w:spacing w:line="360" w:lineRule="atLeast"/>
              <w:jc w:val="center"/>
              <w:rPr>
                <w:rFonts w:ascii="Times New Roman" w:hAnsi="Times New Roman" w:cs="Times New Roman"/>
                <w:color w:val="auto"/>
                <w:kern w:val="0"/>
                <w:szCs w:val="21"/>
              </w:rPr>
            </w:pPr>
          </w:p>
        </w:tc>
        <w:tc>
          <w:tcPr>
            <w:tcW w:w="1048" w:type="pct"/>
            <w:tcBorders>
              <w:tl2br w:val="nil"/>
              <w:tr2bl w:val="nil"/>
            </w:tcBorders>
            <w:tcMar>
              <w:left w:w="75" w:type="dxa"/>
            </w:tcMar>
            <w:vAlign w:val="center"/>
          </w:tcPr>
          <w:p w14:paraId="60789B50">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响应保证金</w:t>
            </w:r>
          </w:p>
        </w:tc>
        <w:tc>
          <w:tcPr>
            <w:tcW w:w="2847" w:type="pct"/>
            <w:tcBorders>
              <w:tl2br w:val="nil"/>
              <w:tr2bl w:val="nil"/>
            </w:tcBorders>
            <w:tcMar>
              <w:left w:w="75" w:type="dxa"/>
            </w:tcMar>
            <w:vAlign w:val="center"/>
          </w:tcPr>
          <w:p w14:paraId="7EC57B88">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符合第二章“供应商须知”规定</w:t>
            </w:r>
          </w:p>
        </w:tc>
      </w:tr>
      <w:tr w14:paraId="67462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604" w:type="pct"/>
            <w:vMerge w:val="continue"/>
            <w:tcBorders>
              <w:tl2br w:val="nil"/>
              <w:tr2bl w:val="nil"/>
            </w:tcBorders>
            <w:vAlign w:val="center"/>
          </w:tcPr>
          <w:p w14:paraId="490C1B3E">
            <w:pPr>
              <w:widowControl/>
              <w:adjustRightInd w:val="0"/>
              <w:snapToGrid w:val="0"/>
              <w:spacing w:line="360" w:lineRule="atLeast"/>
              <w:jc w:val="center"/>
              <w:rPr>
                <w:rFonts w:ascii="Times New Roman" w:hAnsi="Times New Roman" w:cs="Times New Roman"/>
                <w:color w:val="auto"/>
                <w:kern w:val="0"/>
                <w:szCs w:val="21"/>
              </w:rPr>
            </w:pPr>
          </w:p>
        </w:tc>
        <w:tc>
          <w:tcPr>
            <w:tcW w:w="499" w:type="pct"/>
            <w:vMerge w:val="continue"/>
            <w:tcBorders>
              <w:tl2br w:val="nil"/>
              <w:tr2bl w:val="nil"/>
            </w:tcBorders>
            <w:vAlign w:val="center"/>
          </w:tcPr>
          <w:p w14:paraId="1C6D3D93">
            <w:pPr>
              <w:widowControl/>
              <w:adjustRightInd w:val="0"/>
              <w:snapToGrid w:val="0"/>
              <w:spacing w:line="360" w:lineRule="atLeast"/>
              <w:jc w:val="center"/>
              <w:rPr>
                <w:rFonts w:ascii="Times New Roman" w:hAnsi="Times New Roman" w:cs="Times New Roman"/>
                <w:color w:val="auto"/>
                <w:kern w:val="0"/>
                <w:szCs w:val="21"/>
              </w:rPr>
            </w:pPr>
          </w:p>
        </w:tc>
        <w:tc>
          <w:tcPr>
            <w:tcW w:w="1048" w:type="pct"/>
            <w:tcBorders>
              <w:tl2br w:val="nil"/>
              <w:tr2bl w:val="nil"/>
            </w:tcBorders>
            <w:tcMar>
              <w:left w:w="75" w:type="dxa"/>
            </w:tcMar>
            <w:vAlign w:val="center"/>
          </w:tcPr>
          <w:p w14:paraId="5ABA270E">
            <w:pPr>
              <w:widowControl/>
              <w:adjustRightInd w:val="0"/>
              <w:snapToGrid w:val="0"/>
              <w:spacing w:line="360" w:lineRule="atLeast"/>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询比文件的获取</w:t>
            </w:r>
          </w:p>
        </w:tc>
        <w:tc>
          <w:tcPr>
            <w:tcW w:w="2847" w:type="pct"/>
            <w:tcBorders>
              <w:tl2br w:val="nil"/>
              <w:tr2bl w:val="nil"/>
            </w:tcBorders>
            <w:tcMar>
              <w:left w:w="75" w:type="dxa"/>
            </w:tcMar>
            <w:vAlign w:val="center"/>
          </w:tcPr>
          <w:p w14:paraId="68D8C7D3">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w:t>
            </w:r>
            <w:r>
              <w:rPr>
                <w:rFonts w:ascii="Times New Roman" w:hAnsi="Times New Roman" w:cs="Times New Roman"/>
                <w:color w:val="auto"/>
              </w:rPr>
              <w:t>第一章“</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bCs/>
                <w:color w:val="auto"/>
                <w:kern w:val="0"/>
                <w:szCs w:val="21"/>
              </w:rPr>
              <w:t>规定</w:t>
            </w:r>
          </w:p>
        </w:tc>
      </w:tr>
      <w:tr w14:paraId="4589D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604" w:type="pct"/>
            <w:vMerge w:val="continue"/>
            <w:tcBorders>
              <w:tl2br w:val="nil"/>
              <w:tr2bl w:val="nil"/>
            </w:tcBorders>
            <w:vAlign w:val="center"/>
          </w:tcPr>
          <w:p w14:paraId="106AB8CC">
            <w:pPr>
              <w:widowControl/>
              <w:adjustRightInd w:val="0"/>
              <w:snapToGrid w:val="0"/>
              <w:spacing w:line="360" w:lineRule="atLeast"/>
              <w:jc w:val="center"/>
              <w:rPr>
                <w:rFonts w:ascii="Times New Roman" w:hAnsi="Times New Roman" w:cs="Times New Roman"/>
                <w:color w:val="auto"/>
                <w:kern w:val="0"/>
                <w:szCs w:val="21"/>
              </w:rPr>
            </w:pPr>
          </w:p>
        </w:tc>
        <w:tc>
          <w:tcPr>
            <w:tcW w:w="499" w:type="pct"/>
            <w:vMerge w:val="continue"/>
            <w:tcBorders>
              <w:tl2br w:val="nil"/>
              <w:tr2bl w:val="nil"/>
            </w:tcBorders>
            <w:vAlign w:val="center"/>
          </w:tcPr>
          <w:p w14:paraId="58EE36DF">
            <w:pPr>
              <w:widowControl/>
              <w:adjustRightInd w:val="0"/>
              <w:snapToGrid w:val="0"/>
              <w:spacing w:line="360" w:lineRule="atLeast"/>
              <w:jc w:val="center"/>
              <w:rPr>
                <w:rFonts w:ascii="Times New Roman" w:hAnsi="Times New Roman" w:cs="Times New Roman"/>
                <w:color w:val="auto"/>
                <w:kern w:val="0"/>
                <w:szCs w:val="21"/>
              </w:rPr>
            </w:pPr>
          </w:p>
        </w:tc>
        <w:tc>
          <w:tcPr>
            <w:tcW w:w="1048" w:type="pct"/>
            <w:tcBorders>
              <w:tl2br w:val="nil"/>
              <w:tr2bl w:val="nil"/>
            </w:tcBorders>
            <w:tcMar>
              <w:left w:w="75" w:type="dxa"/>
            </w:tcMar>
            <w:vAlign w:val="center"/>
          </w:tcPr>
          <w:p w14:paraId="3E1D504A">
            <w:pPr>
              <w:widowControl/>
              <w:adjustRightInd w:val="0"/>
              <w:snapToGrid w:val="0"/>
              <w:spacing w:line="360" w:lineRule="atLeast"/>
              <w:jc w:val="center"/>
              <w:rPr>
                <w:rFonts w:ascii="Times New Roman" w:hAnsi="Times New Roman" w:cs="Times New Roman"/>
                <w:bCs/>
                <w:color w:val="auto"/>
                <w:kern w:val="0"/>
                <w:szCs w:val="21"/>
              </w:rPr>
            </w:pPr>
            <w:r>
              <w:rPr>
                <w:rFonts w:hint="eastAsia" w:ascii="Times New Roman" w:hAnsi="Times New Roman" w:cs="Times New Roman"/>
                <w:bCs/>
                <w:color w:val="auto"/>
                <w:kern w:val="0"/>
                <w:szCs w:val="21"/>
              </w:rPr>
              <w:t>联合体</w:t>
            </w:r>
          </w:p>
        </w:tc>
        <w:tc>
          <w:tcPr>
            <w:tcW w:w="2847" w:type="pct"/>
            <w:tcBorders>
              <w:tl2br w:val="nil"/>
              <w:tr2bl w:val="nil"/>
            </w:tcBorders>
            <w:tcMar>
              <w:left w:w="75" w:type="dxa"/>
            </w:tcMar>
            <w:vAlign w:val="center"/>
          </w:tcPr>
          <w:p w14:paraId="42E73492">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未以联合体形式报价</w:t>
            </w:r>
          </w:p>
        </w:tc>
      </w:tr>
      <w:tr w14:paraId="3DE17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604" w:type="pct"/>
            <w:vMerge w:val="continue"/>
            <w:tcBorders>
              <w:tl2br w:val="nil"/>
              <w:tr2bl w:val="nil"/>
            </w:tcBorders>
            <w:vAlign w:val="center"/>
          </w:tcPr>
          <w:p w14:paraId="2C180330">
            <w:pPr>
              <w:widowControl/>
              <w:adjustRightInd w:val="0"/>
              <w:snapToGrid w:val="0"/>
              <w:spacing w:line="360" w:lineRule="atLeast"/>
              <w:jc w:val="center"/>
              <w:rPr>
                <w:rFonts w:ascii="Times New Roman" w:hAnsi="Times New Roman" w:cs="Times New Roman"/>
                <w:color w:val="auto"/>
                <w:kern w:val="0"/>
                <w:szCs w:val="21"/>
              </w:rPr>
            </w:pPr>
          </w:p>
        </w:tc>
        <w:tc>
          <w:tcPr>
            <w:tcW w:w="499" w:type="pct"/>
            <w:vMerge w:val="continue"/>
            <w:tcBorders>
              <w:tl2br w:val="nil"/>
              <w:tr2bl w:val="nil"/>
            </w:tcBorders>
            <w:vAlign w:val="center"/>
          </w:tcPr>
          <w:p w14:paraId="5620E498">
            <w:pPr>
              <w:widowControl/>
              <w:adjustRightInd w:val="0"/>
              <w:snapToGrid w:val="0"/>
              <w:spacing w:line="360" w:lineRule="atLeast"/>
              <w:jc w:val="center"/>
              <w:rPr>
                <w:rFonts w:ascii="Times New Roman" w:hAnsi="Times New Roman" w:cs="Times New Roman"/>
                <w:color w:val="auto"/>
                <w:kern w:val="0"/>
                <w:szCs w:val="21"/>
              </w:rPr>
            </w:pPr>
          </w:p>
        </w:tc>
        <w:tc>
          <w:tcPr>
            <w:tcW w:w="1048" w:type="pct"/>
            <w:tcBorders>
              <w:tl2br w:val="nil"/>
              <w:tr2bl w:val="nil"/>
            </w:tcBorders>
            <w:tcMar>
              <w:left w:w="75" w:type="dxa"/>
            </w:tcMar>
            <w:vAlign w:val="center"/>
          </w:tcPr>
          <w:p w14:paraId="17C8D808">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bCs/>
                <w:color w:val="auto"/>
                <w:kern w:val="0"/>
                <w:szCs w:val="21"/>
              </w:rPr>
              <w:t>分包</w:t>
            </w:r>
          </w:p>
        </w:tc>
        <w:tc>
          <w:tcPr>
            <w:tcW w:w="2847" w:type="pct"/>
            <w:tcBorders>
              <w:tl2br w:val="nil"/>
              <w:tr2bl w:val="nil"/>
            </w:tcBorders>
            <w:tcMar>
              <w:left w:w="75" w:type="dxa"/>
            </w:tcMar>
            <w:vAlign w:val="center"/>
          </w:tcPr>
          <w:p w14:paraId="7D270BB4">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没有分包</w:t>
            </w:r>
          </w:p>
        </w:tc>
      </w:tr>
      <w:tr w14:paraId="03ECA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04" w:type="pct"/>
            <w:vMerge w:val="continue"/>
            <w:tcBorders>
              <w:tl2br w:val="nil"/>
              <w:tr2bl w:val="nil"/>
            </w:tcBorders>
            <w:vAlign w:val="center"/>
          </w:tcPr>
          <w:p w14:paraId="396FA63F">
            <w:pPr>
              <w:widowControl/>
              <w:adjustRightInd w:val="0"/>
              <w:snapToGrid w:val="0"/>
              <w:spacing w:line="360" w:lineRule="atLeast"/>
              <w:jc w:val="center"/>
              <w:rPr>
                <w:rFonts w:ascii="Times New Roman" w:hAnsi="Times New Roman" w:cs="Times New Roman"/>
                <w:color w:val="auto"/>
                <w:kern w:val="0"/>
                <w:szCs w:val="21"/>
              </w:rPr>
            </w:pPr>
          </w:p>
        </w:tc>
        <w:tc>
          <w:tcPr>
            <w:tcW w:w="499" w:type="pct"/>
            <w:vMerge w:val="continue"/>
            <w:tcBorders>
              <w:tl2br w:val="nil"/>
              <w:tr2bl w:val="nil"/>
            </w:tcBorders>
            <w:vAlign w:val="center"/>
          </w:tcPr>
          <w:p w14:paraId="05DBE5CD">
            <w:pPr>
              <w:widowControl/>
              <w:adjustRightInd w:val="0"/>
              <w:snapToGrid w:val="0"/>
              <w:spacing w:line="360" w:lineRule="atLeast"/>
              <w:jc w:val="center"/>
              <w:rPr>
                <w:rFonts w:ascii="Times New Roman" w:hAnsi="Times New Roman" w:cs="Times New Roman"/>
                <w:color w:val="auto"/>
                <w:kern w:val="0"/>
                <w:szCs w:val="21"/>
              </w:rPr>
            </w:pPr>
          </w:p>
        </w:tc>
        <w:tc>
          <w:tcPr>
            <w:tcW w:w="1048" w:type="pct"/>
            <w:tcBorders>
              <w:tl2br w:val="nil"/>
              <w:tr2bl w:val="nil"/>
            </w:tcBorders>
            <w:tcMar>
              <w:left w:w="75" w:type="dxa"/>
            </w:tcMar>
            <w:vAlign w:val="center"/>
          </w:tcPr>
          <w:p w14:paraId="7CF11116">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其他实质性要求</w:t>
            </w:r>
          </w:p>
        </w:tc>
        <w:tc>
          <w:tcPr>
            <w:tcW w:w="2847" w:type="pct"/>
            <w:tcBorders>
              <w:tl2br w:val="nil"/>
              <w:tr2bl w:val="nil"/>
            </w:tcBorders>
            <w:tcMar>
              <w:left w:w="75" w:type="dxa"/>
            </w:tcMar>
            <w:vAlign w:val="center"/>
          </w:tcPr>
          <w:p w14:paraId="6D336407">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符合询比文件的其他实质性要求和条件</w:t>
            </w:r>
          </w:p>
        </w:tc>
      </w:tr>
    </w:tbl>
    <w:p w14:paraId="46D67E89">
      <w:pPr>
        <w:snapToGrid w:val="0"/>
        <w:spacing w:before="156" w:beforeLines="50" w:line="360" w:lineRule="auto"/>
        <w:jc w:val="center"/>
        <w:rPr>
          <w:rFonts w:ascii="黑体" w:hAnsi="黑体" w:eastAsia="黑体" w:cs="黑体"/>
          <w:color w:val="auto"/>
          <w:sz w:val="24"/>
        </w:rPr>
      </w:pPr>
      <w:r>
        <w:rPr>
          <w:rFonts w:hint="eastAsia" w:ascii="黑体" w:hAnsi="黑体" w:eastAsia="黑体" w:cs="黑体"/>
          <w:color w:val="auto"/>
          <w:sz w:val="24"/>
        </w:rPr>
        <w:t>表3 分值构成</w:t>
      </w:r>
    </w:p>
    <w:tbl>
      <w:tblPr>
        <w:tblStyle w:val="21"/>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543"/>
        <w:gridCol w:w="5707"/>
      </w:tblGrid>
      <w:tr w14:paraId="0CCC0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4" w:type="pct"/>
            <w:tcBorders>
              <w:tl2br w:val="nil"/>
              <w:tr2bl w:val="nil"/>
            </w:tcBorders>
            <w:vAlign w:val="center"/>
          </w:tcPr>
          <w:p w14:paraId="6E09D8D2">
            <w:pPr>
              <w:jc w:val="center"/>
              <w:rPr>
                <w:rFonts w:ascii="Times New Roman" w:hAnsi="Times New Roman" w:eastAsia="宋体" w:cs="Times New Roman"/>
                <w:b/>
                <w:bCs/>
                <w:color w:val="auto"/>
              </w:rPr>
            </w:pPr>
            <w:r>
              <w:rPr>
                <w:rFonts w:ascii="Times New Roman" w:hAnsi="Times New Roman" w:eastAsia="宋体" w:cs="Times New Roman"/>
                <w:b/>
                <w:bCs/>
                <w:color w:val="auto"/>
              </w:rPr>
              <w:t>条款号</w:t>
            </w:r>
          </w:p>
        </w:tc>
        <w:tc>
          <w:tcPr>
            <w:tcW w:w="1407" w:type="pct"/>
            <w:tcBorders>
              <w:tl2br w:val="nil"/>
              <w:tr2bl w:val="nil"/>
            </w:tcBorders>
            <w:vAlign w:val="center"/>
          </w:tcPr>
          <w:p w14:paraId="34450A5A">
            <w:pPr>
              <w:jc w:val="center"/>
              <w:rPr>
                <w:rFonts w:ascii="Times New Roman" w:hAnsi="Times New Roman" w:eastAsia="宋体" w:cs="Times New Roman"/>
                <w:b/>
                <w:bCs/>
                <w:color w:val="auto"/>
              </w:rPr>
            </w:pPr>
            <w:r>
              <w:rPr>
                <w:rFonts w:ascii="Times New Roman" w:hAnsi="Times New Roman" w:eastAsia="宋体" w:cs="Times New Roman"/>
                <w:b/>
                <w:bCs/>
                <w:color w:val="auto"/>
              </w:rPr>
              <w:t>条款内容</w:t>
            </w:r>
          </w:p>
        </w:tc>
        <w:tc>
          <w:tcPr>
            <w:tcW w:w="3158" w:type="pct"/>
            <w:tcBorders>
              <w:tl2br w:val="nil"/>
              <w:tr2bl w:val="nil"/>
            </w:tcBorders>
            <w:vAlign w:val="center"/>
          </w:tcPr>
          <w:p w14:paraId="46416D35">
            <w:pPr>
              <w:jc w:val="center"/>
              <w:rPr>
                <w:rFonts w:ascii="Times New Roman" w:hAnsi="Times New Roman" w:eastAsia="宋体" w:cs="Times New Roman"/>
                <w:b/>
                <w:bCs/>
                <w:color w:val="auto"/>
              </w:rPr>
            </w:pPr>
            <w:r>
              <w:rPr>
                <w:rFonts w:ascii="Times New Roman" w:hAnsi="Times New Roman" w:eastAsia="宋体" w:cs="Times New Roman"/>
                <w:b/>
                <w:bCs/>
                <w:color w:val="auto"/>
              </w:rPr>
              <w:t>编列内容</w:t>
            </w:r>
          </w:p>
        </w:tc>
      </w:tr>
      <w:tr w14:paraId="55A67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34" w:type="pct"/>
            <w:tcBorders>
              <w:tl2br w:val="nil"/>
              <w:tr2bl w:val="nil"/>
            </w:tcBorders>
            <w:vAlign w:val="center"/>
          </w:tcPr>
          <w:p w14:paraId="670502CC">
            <w:pPr>
              <w:jc w:val="center"/>
              <w:rPr>
                <w:rFonts w:ascii="Times New Roman" w:hAnsi="Times New Roman" w:eastAsia="宋体" w:cs="Times New Roman"/>
                <w:color w:val="auto"/>
              </w:rPr>
            </w:pPr>
            <w:r>
              <w:rPr>
                <w:rFonts w:hint="eastAsia" w:ascii="Times New Roman" w:hAnsi="Times New Roman" w:eastAsia="宋体" w:cs="Times New Roman"/>
                <w:color w:val="auto"/>
              </w:rPr>
              <w:t>2.2.1</w:t>
            </w:r>
          </w:p>
        </w:tc>
        <w:tc>
          <w:tcPr>
            <w:tcW w:w="1407" w:type="pct"/>
            <w:tcBorders>
              <w:tl2br w:val="nil"/>
              <w:tr2bl w:val="nil"/>
            </w:tcBorders>
            <w:vAlign w:val="center"/>
          </w:tcPr>
          <w:p w14:paraId="77EBCF6D">
            <w:pPr>
              <w:jc w:val="center"/>
              <w:rPr>
                <w:rFonts w:ascii="Times New Roman" w:hAnsi="Times New Roman" w:eastAsia="宋体" w:cs="Times New Roman"/>
                <w:color w:val="auto"/>
              </w:rPr>
            </w:pPr>
            <w:r>
              <w:rPr>
                <w:rFonts w:ascii="Times New Roman" w:hAnsi="Times New Roman" w:eastAsia="宋体" w:cs="Times New Roman"/>
                <w:color w:val="auto"/>
              </w:rPr>
              <w:t>分值构成</w:t>
            </w:r>
          </w:p>
          <w:p w14:paraId="367518FA">
            <w:pPr>
              <w:jc w:val="center"/>
              <w:rPr>
                <w:rFonts w:ascii="Times New Roman" w:hAnsi="Times New Roman" w:eastAsia="宋体" w:cs="Times New Roman"/>
                <w:color w:val="auto"/>
              </w:rPr>
            </w:pPr>
            <w:r>
              <w:rPr>
                <w:rFonts w:ascii="Times New Roman" w:hAnsi="Times New Roman" w:eastAsia="宋体" w:cs="Times New Roman"/>
                <w:color w:val="auto"/>
              </w:rPr>
              <w:t>（总分100分）</w:t>
            </w:r>
          </w:p>
        </w:tc>
        <w:tc>
          <w:tcPr>
            <w:tcW w:w="3158" w:type="pct"/>
            <w:tcBorders>
              <w:tl2br w:val="nil"/>
              <w:tr2bl w:val="nil"/>
            </w:tcBorders>
            <w:vAlign w:val="center"/>
          </w:tcPr>
          <w:p w14:paraId="18BF1A17">
            <w:pPr>
              <w:widowControl/>
              <w:adjustRightInd w:val="0"/>
              <w:snapToGrid w:val="0"/>
              <w:spacing w:line="360" w:lineRule="atLeast"/>
              <w:jc w:val="left"/>
              <w:rPr>
                <w:color w:val="auto"/>
              </w:rPr>
            </w:pPr>
            <w:r>
              <w:rPr>
                <w:rFonts w:hint="eastAsia"/>
                <w:color w:val="auto"/>
              </w:rPr>
              <w:t>商务技术部分</w:t>
            </w:r>
            <w:r>
              <w:rPr>
                <w:color w:val="auto"/>
              </w:rPr>
              <w:t>：</w:t>
            </w:r>
            <w:r>
              <w:rPr>
                <w:rFonts w:hint="eastAsia"/>
                <w:color w:val="auto"/>
              </w:rPr>
              <w:t>70</w:t>
            </w:r>
            <w:r>
              <w:rPr>
                <w:color w:val="auto"/>
              </w:rPr>
              <w:t>分</w:t>
            </w:r>
          </w:p>
          <w:p w14:paraId="63817700">
            <w:pPr>
              <w:widowControl/>
              <w:adjustRightInd w:val="0"/>
              <w:snapToGrid w:val="0"/>
              <w:spacing w:line="360" w:lineRule="atLeast"/>
              <w:jc w:val="left"/>
              <w:rPr>
                <w:rFonts w:ascii="Times New Roman" w:hAnsi="Times New Roman" w:eastAsia="宋体" w:cs="Times New Roman"/>
                <w:color w:val="auto"/>
              </w:rPr>
            </w:pPr>
            <w:r>
              <w:rPr>
                <w:color w:val="auto"/>
              </w:rPr>
              <w:t>评</w:t>
            </w:r>
            <w:r>
              <w:rPr>
                <w:rFonts w:hint="eastAsia"/>
                <w:color w:val="auto"/>
              </w:rPr>
              <w:t>审</w:t>
            </w:r>
            <w:r>
              <w:rPr>
                <w:color w:val="auto"/>
              </w:rPr>
              <w:t>价：</w:t>
            </w:r>
            <w:r>
              <w:rPr>
                <w:rFonts w:hint="eastAsia"/>
                <w:color w:val="auto"/>
              </w:rPr>
              <w:t>30</w:t>
            </w:r>
            <w:r>
              <w:rPr>
                <w:color w:val="auto"/>
              </w:rPr>
              <w:t>分</w:t>
            </w:r>
          </w:p>
        </w:tc>
      </w:tr>
      <w:tr w14:paraId="0D5CF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4" w:type="pct"/>
            <w:tcBorders>
              <w:tl2br w:val="nil"/>
              <w:tr2bl w:val="nil"/>
            </w:tcBorders>
            <w:vAlign w:val="center"/>
          </w:tcPr>
          <w:p w14:paraId="3CA8D491">
            <w:pPr>
              <w:jc w:val="center"/>
              <w:rPr>
                <w:rFonts w:ascii="Times New Roman" w:hAnsi="Times New Roman" w:eastAsia="宋体" w:cs="Times New Roman"/>
                <w:color w:val="auto"/>
              </w:rPr>
            </w:pPr>
            <w:r>
              <w:rPr>
                <w:rFonts w:hint="eastAsia" w:ascii="Times New Roman" w:hAnsi="Times New Roman" w:eastAsia="宋体" w:cs="Times New Roman"/>
                <w:color w:val="auto"/>
              </w:rPr>
              <w:t>2.2.2</w:t>
            </w:r>
          </w:p>
        </w:tc>
        <w:tc>
          <w:tcPr>
            <w:tcW w:w="1407" w:type="pct"/>
            <w:tcBorders>
              <w:tl2br w:val="nil"/>
              <w:tr2bl w:val="nil"/>
            </w:tcBorders>
            <w:vAlign w:val="center"/>
          </w:tcPr>
          <w:p w14:paraId="303A5EE3">
            <w:pPr>
              <w:jc w:val="center"/>
              <w:rPr>
                <w:rFonts w:ascii="Times New Roman" w:hAnsi="Times New Roman" w:eastAsia="宋体" w:cs="Times New Roman"/>
                <w:color w:val="auto"/>
              </w:rPr>
            </w:pPr>
            <w:r>
              <w:rPr>
                <w:rFonts w:hint="eastAsia" w:ascii="Times New Roman" w:hAnsi="Times New Roman" w:eastAsia="宋体" w:cs="Times New Roman"/>
                <w:color w:val="auto"/>
              </w:rPr>
              <w:t>评审基准价</w:t>
            </w:r>
          </w:p>
          <w:p w14:paraId="235755D6">
            <w:pPr>
              <w:jc w:val="center"/>
              <w:rPr>
                <w:rFonts w:ascii="Times New Roman" w:hAnsi="Times New Roman" w:eastAsia="宋体" w:cs="Times New Roman"/>
                <w:color w:val="auto"/>
              </w:rPr>
            </w:pPr>
            <w:r>
              <w:rPr>
                <w:rFonts w:hint="eastAsia" w:ascii="Times New Roman" w:hAnsi="Times New Roman" w:eastAsia="宋体" w:cs="Times New Roman"/>
                <w:color w:val="auto"/>
              </w:rPr>
              <w:t>计算方式</w:t>
            </w:r>
          </w:p>
        </w:tc>
        <w:tc>
          <w:tcPr>
            <w:tcW w:w="3158" w:type="pct"/>
            <w:tcBorders>
              <w:tl2br w:val="nil"/>
              <w:tr2bl w:val="nil"/>
            </w:tcBorders>
            <w:vAlign w:val="center"/>
          </w:tcPr>
          <w:p w14:paraId="11B5421F">
            <w:pPr>
              <w:widowControl/>
              <w:adjustRightInd w:val="0"/>
              <w:snapToGrid w:val="0"/>
              <w:spacing w:line="360" w:lineRule="atLeast"/>
              <w:jc w:val="left"/>
              <w:rPr>
                <w:color w:val="auto"/>
              </w:rPr>
            </w:pPr>
            <w:r>
              <w:rPr>
                <w:rFonts w:hint="eastAsia"/>
                <w:color w:val="auto"/>
              </w:rPr>
              <w:t>评审基准价的计算：</w:t>
            </w:r>
          </w:p>
          <w:p w14:paraId="64BF47EE">
            <w:pPr>
              <w:widowControl/>
              <w:adjustRightInd w:val="0"/>
              <w:snapToGrid w:val="0"/>
              <w:spacing w:line="360" w:lineRule="atLeast"/>
              <w:jc w:val="left"/>
              <w:rPr>
                <w:color w:val="auto"/>
              </w:rPr>
            </w:pPr>
            <w:r>
              <w:rPr>
                <w:rFonts w:hint="eastAsia"/>
                <w:color w:val="auto"/>
              </w:rPr>
              <w:t>（1）评标价的确定：</w:t>
            </w:r>
          </w:p>
          <w:p w14:paraId="32E0B5BA">
            <w:pPr>
              <w:widowControl/>
              <w:adjustRightInd w:val="0"/>
              <w:snapToGrid w:val="0"/>
              <w:spacing w:line="360" w:lineRule="atLeast"/>
              <w:jc w:val="left"/>
              <w:rPr>
                <w:color w:val="auto"/>
              </w:rPr>
            </w:pPr>
            <w:r>
              <w:rPr>
                <w:rFonts w:hint="eastAsia"/>
                <w:color w:val="auto"/>
              </w:rPr>
              <w:t>评审价＝报价表中填写的响应费率</w:t>
            </w:r>
          </w:p>
          <w:p w14:paraId="0B6F52AD">
            <w:pPr>
              <w:widowControl/>
              <w:adjustRightInd w:val="0"/>
              <w:snapToGrid w:val="0"/>
              <w:spacing w:line="360" w:lineRule="atLeast"/>
              <w:jc w:val="left"/>
              <w:rPr>
                <w:color w:val="auto"/>
              </w:rPr>
            </w:pPr>
            <w:r>
              <w:rPr>
                <w:rFonts w:hint="eastAsia"/>
                <w:color w:val="auto"/>
              </w:rPr>
              <w:t>（2）评标基准价的确定：</w:t>
            </w:r>
          </w:p>
          <w:p w14:paraId="7ED0F8C5">
            <w:pPr>
              <w:widowControl/>
              <w:adjustRightInd w:val="0"/>
              <w:snapToGrid w:val="0"/>
              <w:spacing w:line="360" w:lineRule="atLeast"/>
              <w:jc w:val="left"/>
              <w:rPr>
                <w:rFonts w:ascii="Times New Roman" w:hAnsi="Times New Roman" w:eastAsia="宋体" w:cs="Times New Roman"/>
                <w:color w:val="auto"/>
              </w:rPr>
            </w:pPr>
            <w:r>
              <w:rPr>
                <w:rFonts w:hint="eastAsia"/>
                <w:color w:val="auto"/>
              </w:rPr>
              <w:t>所有通过响应文件初步评审的供应商的评审价去除一个最高值和一个最低值后的算术平均值（如果参与评</w:t>
            </w:r>
            <w:r>
              <w:rPr>
                <w:rFonts w:hint="eastAsia" w:ascii="Times New Roman" w:hAnsi="Times New Roman" w:eastAsia="宋体" w:cs="Times New Roman"/>
                <w:color w:val="auto"/>
              </w:rPr>
              <w:t>审</w:t>
            </w:r>
            <w:r>
              <w:rPr>
                <w:rFonts w:hint="eastAsia"/>
                <w:color w:val="auto"/>
              </w:rPr>
              <w:t>价平均值计算的有效供应商少于等于5家时，则不去除最高值和最低值）作为评审基准价。</w:t>
            </w:r>
          </w:p>
        </w:tc>
      </w:tr>
      <w:tr w14:paraId="7E0BD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4" w:type="pct"/>
            <w:tcBorders>
              <w:tl2br w:val="nil"/>
              <w:tr2bl w:val="nil"/>
            </w:tcBorders>
            <w:vAlign w:val="center"/>
          </w:tcPr>
          <w:p w14:paraId="2D369F64">
            <w:pPr>
              <w:jc w:val="center"/>
              <w:rPr>
                <w:rFonts w:ascii="Times New Roman" w:hAnsi="Times New Roman" w:eastAsia="宋体" w:cs="Times New Roman"/>
                <w:color w:val="auto"/>
              </w:rPr>
            </w:pPr>
            <w:r>
              <w:rPr>
                <w:rFonts w:hint="eastAsia" w:ascii="Times New Roman" w:hAnsi="Times New Roman" w:eastAsia="宋体" w:cs="Times New Roman"/>
                <w:color w:val="auto"/>
              </w:rPr>
              <w:t>2.2.3</w:t>
            </w:r>
          </w:p>
        </w:tc>
        <w:tc>
          <w:tcPr>
            <w:tcW w:w="1407" w:type="pct"/>
            <w:tcBorders>
              <w:tl2br w:val="nil"/>
              <w:tr2bl w:val="nil"/>
            </w:tcBorders>
            <w:vAlign w:val="center"/>
          </w:tcPr>
          <w:p w14:paraId="3BC91352">
            <w:pPr>
              <w:jc w:val="center"/>
              <w:rPr>
                <w:rFonts w:ascii="Times New Roman" w:hAnsi="Times New Roman" w:eastAsia="宋体" w:cs="Times New Roman"/>
                <w:color w:val="auto"/>
              </w:rPr>
            </w:pPr>
            <w:r>
              <w:rPr>
                <w:rFonts w:hint="eastAsia" w:ascii="Times New Roman" w:hAnsi="Times New Roman" w:eastAsia="宋体" w:cs="Times New Roman"/>
                <w:color w:val="auto"/>
              </w:rPr>
              <w:t>评审价的偏差率计算公式</w:t>
            </w:r>
          </w:p>
        </w:tc>
        <w:tc>
          <w:tcPr>
            <w:tcW w:w="3158" w:type="pct"/>
            <w:tcBorders>
              <w:tl2br w:val="nil"/>
              <w:tr2bl w:val="nil"/>
            </w:tcBorders>
            <w:vAlign w:val="center"/>
          </w:tcPr>
          <w:p w14:paraId="1A73D745">
            <w:pPr>
              <w:jc w:val="left"/>
              <w:rPr>
                <w:rFonts w:ascii="Times New Roman" w:hAnsi="Times New Roman" w:eastAsia="宋体" w:cs="Times New Roman"/>
                <w:color w:val="auto"/>
              </w:rPr>
            </w:pPr>
            <w:r>
              <w:rPr>
                <w:rFonts w:hint="eastAsia" w:ascii="Times New Roman" w:hAnsi="Times New Roman" w:eastAsia="宋体" w:cs="Times New Roman"/>
                <w:color w:val="auto"/>
              </w:rPr>
              <w:t>偏差率=100%×（供应商评审价－评审基准价）/评审基准价</w:t>
            </w:r>
          </w:p>
          <w:p w14:paraId="0EB0E56D">
            <w:pPr>
              <w:jc w:val="left"/>
              <w:rPr>
                <w:rFonts w:ascii="Times New Roman" w:hAnsi="Times New Roman" w:eastAsia="宋体" w:cs="Times New Roman"/>
                <w:color w:val="auto"/>
              </w:rPr>
            </w:pPr>
            <w:r>
              <w:rPr>
                <w:rFonts w:ascii="Times New Roman" w:hAnsi="Times New Roman" w:eastAsia="宋体" w:cs="Times New Roman"/>
                <w:color w:val="auto"/>
              </w:rPr>
              <w:t>注：计算结果</w:t>
            </w:r>
            <w:r>
              <w:rPr>
                <w:rFonts w:hint="eastAsia" w:ascii="Times New Roman" w:hAnsi="Times New Roman" w:eastAsia="宋体" w:cs="Times New Roman"/>
                <w:color w:val="auto"/>
              </w:rPr>
              <w:t>小数点后保留2位小数</w:t>
            </w:r>
            <w:r>
              <w:rPr>
                <w:rFonts w:ascii="Times New Roman" w:hAnsi="Times New Roman" w:eastAsia="宋体" w:cs="Times New Roman"/>
                <w:color w:val="auto"/>
              </w:rPr>
              <w:t>，第三位四舍五入。</w:t>
            </w:r>
          </w:p>
        </w:tc>
      </w:tr>
    </w:tbl>
    <w:p w14:paraId="687D0BB6">
      <w:pPr>
        <w:pStyle w:val="2"/>
        <w:rPr>
          <w:rFonts w:ascii="黑体" w:hAnsi="黑体" w:eastAsia="黑体" w:cs="黑体"/>
          <w:color w:val="auto"/>
          <w:sz w:val="24"/>
        </w:rPr>
      </w:pPr>
    </w:p>
    <w:p w14:paraId="6948B012">
      <w:pPr>
        <w:rPr>
          <w:color w:val="auto"/>
        </w:rPr>
      </w:pPr>
    </w:p>
    <w:tbl>
      <w:tblPr>
        <w:tblStyle w:val="20"/>
        <w:tblW w:w="512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0"/>
        <w:gridCol w:w="597"/>
        <w:gridCol w:w="668"/>
        <w:gridCol w:w="1068"/>
        <w:gridCol w:w="747"/>
        <w:gridCol w:w="5537"/>
      </w:tblGrid>
      <w:tr w14:paraId="45DF5C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2012" w:type="pct"/>
            <w:gridSpan w:val="5"/>
            <w:tcBorders>
              <w:tl2br w:val="nil"/>
              <w:tr2bl w:val="nil"/>
            </w:tcBorders>
            <w:noWrap/>
            <w:vAlign w:val="center"/>
          </w:tcPr>
          <w:p w14:paraId="78CE17AF">
            <w:pPr>
              <w:widowControl/>
              <w:adjustRightInd w:val="0"/>
              <w:snapToGrid w:val="0"/>
              <w:spacing w:line="360" w:lineRule="auto"/>
              <w:jc w:val="center"/>
              <w:rPr>
                <w:b/>
                <w:bCs/>
                <w:color w:val="auto"/>
              </w:rPr>
            </w:pPr>
            <w:r>
              <w:rPr>
                <w:rFonts w:hint="eastAsia"/>
                <w:b/>
                <w:bCs/>
                <w:color w:val="auto"/>
              </w:rPr>
              <w:t>评分因素与权重分值</w:t>
            </w:r>
          </w:p>
        </w:tc>
        <w:tc>
          <w:tcPr>
            <w:tcW w:w="2987" w:type="pct"/>
            <w:vMerge w:val="restart"/>
            <w:tcBorders>
              <w:tl2br w:val="nil"/>
              <w:tr2bl w:val="nil"/>
            </w:tcBorders>
            <w:noWrap/>
            <w:vAlign w:val="center"/>
          </w:tcPr>
          <w:p w14:paraId="500FE743">
            <w:pPr>
              <w:widowControl/>
              <w:adjustRightInd w:val="0"/>
              <w:snapToGrid w:val="0"/>
              <w:spacing w:line="360" w:lineRule="auto"/>
              <w:jc w:val="center"/>
              <w:rPr>
                <w:color w:val="auto"/>
              </w:rPr>
            </w:pPr>
            <w:r>
              <w:rPr>
                <w:rFonts w:hint="eastAsia"/>
                <w:b/>
                <w:bCs/>
                <w:color w:val="auto"/>
              </w:rPr>
              <w:t>评分标准</w:t>
            </w:r>
          </w:p>
        </w:tc>
      </w:tr>
      <w:tr w14:paraId="40A9C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16" w:hRule="atLeast"/>
        </w:trPr>
        <w:tc>
          <w:tcPr>
            <w:tcW w:w="350" w:type="pct"/>
            <w:tcBorders>
              <w:tl2br w:val="nil"/>
              <w:tr2bl w:val="nil"/>
            </w:tcBorders>
            <w:noWrap/>
            <w:vAlign w:val="center"/>
          </w:tcPr>
          <w:p w14:paraId="645237EA">
            <w:pPr>
              <w:widowControl/>
              <w:adjustRightInd w:val="0"/>
              <w:snapToGrid w:val="0"/>
              <w:spacing w:line="360" w:lineRule="auto"/>
              <w:jc w:val="center"/>
              <w:rPr>
                <w:b/>
                <w:bCs/>
                <w:color w:val="auto"/>
              </w:rPr>
            </w:pPr>
            <w:r>
              <w:rPr>
                <w:rFonts w:hint="eastAsia"/>
                <w:b/>
                <w:bCs/>
                <w:color w:val="auto"/>
              </w:rPr>
              <w:t>条款号</w:t>
            </w:r>
          </w:p>
        </w:tc>
        <w:tc>
          <w:tcPr>
            <w:tcW w:w="322" w:type="pct"/>
            <w:tcBorders>
              <w:tl2br w:val="nil"/>
              <w:tr2bl w:val="nil"/>
            </w:tcBorders>
            <w:noWrap/>
            <w:vAlign w:val="center"/>
          </w:tcPr>
          <w:p w14:paraId="5151564A">
            <w:pPr>
              <w:widowControl/>
              <w:adjustRightInd w:val="0"/>
              <w:snapToGrid w:val="0"/>
              <w:spacing w:line="360" w:lineRule="auto"/>
              <w:jc w:val="center"/>
              <w:rPr>
                <w:b/>
                <w:bCs/>
                <w:color w:val="auto"/>
              </w:rPr>
            </w:pPr>
            <w:r>
              <w:rPr>
                <w:rFonts w:hint="eastAsia"/>
                <w:b/>
                <w:bCs/>
                <w:color w:val="auto"/>
              </w:rPr>
              <w:t>评分</w:t>
            </w:r>
          </w:p>
          <w:p w14:paraId="1E491337">
            <w:pPr>
              <w:widowControl/>
              <w:adjustRightInd w:val="0"/>
              <w:snapToGrid w:val="0"/>
              <w:spacing w:line="360" w:lineRule="auto"/>
              <w:jc w:val="center"/>
              <w:rPr>
                <w:b/>
                <w:bCs/>
                <w:color w:val="auto"/>
              </w:rPr>
            </w:pPr>
            <w:r>
              <w:rPr>
                <w:rFonts w:hint="eastAsia"/>
                <w:b/>
                <w:bCs/>
                <w:color w:val="auto"/>
              </w:rPr>
              <w:t>因素</w:t>
            </w:r>
          </w:p>
        </w:tc>
        <w:tc>
          <w:tcPr>
            <w:tcW w:w="360" w:type="pct"/>
            <w:tcBorders>
              <w:tl2br w:val="nil"/>
              <w:tr2bl w:val="nil"/>
            </w:tcBorders>
            <w:noWrap/>
            <w:vAlign w:val="center"/>
          </w:tcPr>
          <w:p w14:paraId="25320438">
            <w:pPr>
              <w:widowControl/>
              <w:adjustRightInd w:val="0"/>
              <w:snapToGrid w:val="0"/>
              <w:jc w:val="center"/>
              <w:rPr>
                <w:b/>
                <w:bCs/>
                <w:color w:val="auto"/>
              </w:rPr>
            </w:pPr>
            <w:r>
              <w:rPr>
                <w:rFonts w:hint="eastAsia"/>
                <w:b/>
                <w:bCs/>
                <w:color w:val="auto"/>
              </w:rPr>
              <w:t>评分因素权重分值</w:t>
            </w:r>
          </w:p>
        </w:tc>
        <w:tc>
          <w:tcPr>
            <w:tcW w:w="576" w:type="pct"/>
            <w:tcBorders>
              <w:tl2br w:val="nil"/>
              <w:tr2bl w:val="nil"/>
            </w:tcBorders>
            <w:noWrap/>
            <w:vAlign w:val="center"/>
          </w:tcPr>
          <w:p w14:paraId="22CB65CB">
            <w:pPr>
              <w:widowControl/>
              <w:adjustRightInd w:val="0"/>
              <w:snapToGrid w:val="0"/>
              <w:jc w:val="center"/>
              <w:rPr>
                <w:b/>
                <w:bCs/>
                <w:color w:val="auto"/>
              </w:rPr>
            </w:pPr>
            <w:r>
              <w:rPr>
                <w:rFonts w:hint="eastAsia"/>
                <w:b/>
                <w:bCs/>
                <w:color w:val="auto"/>
              </w:rPr>
              <w:t>各评分因素细分项</w:t>
            </w:r>
          </w:p>
        </w:tc>
        <w:tc>
          <w:tcPr>
            <w:tcW w:w="402" w:type="pct"/>
            <w:tcBorders>
              <w:tl2br w:val="nil"/>
              <w:tr2bl w:val="nil"/>
            </w:tcBorders>
            <w:noWrap/>
            <w:vAlign w:val="center"/>
          </w:tcPr>
          <w:p w14:paraId="455C737D">
            <w:pPr>
              <w:widowControl/>
              <w:adjustRightInd w:val="0"/>
              <w:snapToGrid w:val="0"/>
              <w:spacing w:line="360" w:lineRule="auto"/>
              <w:jc w:val="center"/>
              <w:rPr>
                <w:b/>
                <w:bCs/>
                <w:color w:val="auto"/>
              </w:rPr>
            </w:pPr>
            <w:r>
              <w:rPr>
                <w:rFonts w:hint="eastAsia"/>
                <w:b/>
                <w:bCs/>
                <w:color w:val="auto"/>
              </w:rPr>
              <w:t>分值</w:t>
            </w:r>
          </w:p>
        </w:tc>
        <w:tc>
          <w:tcPr>
            <w:tcW w:w="2987" w:type="pct"/>
            <w:vMerge w:val="continue"/>
            <w:tcBorders>
              <w:tl2br w:val="nil"/>
              <w:tr2bl w:val="nil"/>
            </w:tcBorders>
            <w:noWrap/>
            <w:vAlign w:val="center"/>
          </w:tcPr>
          <w:p w14:paraId="7DE52ADF">
            <w:pPr>
              <w:widowControl/>
              <w:adjustRightInd w:val="0"/>
              <w:snapToGrid w:val="0"/>
              <w:spacing w:line="360" w:lineRule="auto"/>
              <w:jc w:val="center"/>
              <w:rPr>
                <w:color w:val="auto"/>
              </w:rPr>
            </w:pPr>
          </w:p>
        </w:tc>
      </w:tr>
      <w:tr w14:paraId="575AC5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14" w:hRule="atLeast"/>
        </w:trPr>
        <w:tc>
          <w:tcPr>
            <w:tcW w:w="350" w:type="pct"/>
            <w:vMerge w:val="restart"/>
            <w:tcBorders>
              <w:tl2br w:val="nil"/>
              <w:tr2bl w:val="nil"/>
            </w:tcBorders>
            <w:noWrap/>
            <w:vAlign w:val="center"/>
          </w:tcPr>
          <w:p w14:paraId="43BFD497">
            <w:pPr>
              <w:widowControl/>
              <w:adjustRightInd w:val="0"/>
              <w:snapToGrid w:val="0"/>
              <w:spacing w:line="400" w:lineRule="exact"/>
              <w:jc w:val="center"/>
              <w:rPr>
                <w:color w:val="auto"/>
              </w:rPr>
            </w:pPr>
            <w:r>
              <w:rPr>
                <w:rFonts w:hint="eastAsia"/>
                <w:color w:val="auto"/>
              </w:rPr>
              <w:t>2.2.4</w:t>
            </w:r>
          </w:p>
        </w:tc>
        <w:tc>
          <w:tcPr>
            <w:tcW w:w="322" w:type="pct"/>
            <w:vMerge w:val="restart"/>
            <w:tcBorders>
              <w:tl2br w:val="nil"/>
              <w:tr2bl w:val="nil"/>
            </w:tcBorders>
            <w:noWrap/>
            <w:vAlign w:val="center"/>
          </w:tcPr>
          <w:p w14:paraId="05AE1F6D">
            <w:pPr>
              <w:widowControl/>
              <w:adjustRightInd w:val="0"/>
              <w:snapToGrid w:val="0"/>
              <w:spacing w:line="400" w:lineRule="exact"/>
              <w:jc w:val="center"/>
              <w:rPr>
                <w:color w:val="auto"/>
              </w:rPr>
            </w:pPr>
            <w:r>
              <w:rPr>
                <w:rFonts w:hint="eastAsia"/>
                <w:color w:val="auto"/>
              </w:rPr>
              <w:t>商务</w:t>
            </w:r>
          </w:p>
          <w:p w14:paraId="085DB461">
            <w:pPr>
              <w:widowControl/>
              <w:adjustRightInd w:val="0"/>
              <w:snapToGrid w:val="0"/>
              <w:spacing w:line="400" w:lineRule="exact"/>
              <w:jc w:val="center"/>
              <w:rPr>
                <w:color w:val="auto"/>
              </w:rPr>
            </w:pPr>
            <w:r>
              <w:rPr>
                <w:rFonts w:hint="eastAsia"/>
                <w:color w:val="auto"/>
              </w:rPr>
              <w:t>技术</w:t>
            </w:r>
          </w:p>
          <w:p w14:paraId="68ECE19E">
            <w:pPr>
              <w:widowControl/>
              <w:adjustRightInd w:val="0"/>
              <w:snapToGrid w:val="0"/>
              <w:spacing w:line="400" w:lineRule="exact"/>
              <w:jc w:val="center"/>
              <w:rPr>
                <w:color w:val="auto"/>
              </w:rPr>
            </w:pPr>
            <w:r>
              <w:rPr>
                <w:rFonts w:hint="eastAsia"/>
                <w:color w:val="auto"/>
              </w:rPr>
              <w:t>分值</w:t>
            </w:r>
          </w:p>
        </w:tc>
        <w:tc>
          <w:tcPr>
            <w:tcW w:w="360" w:type="pct"/>
            <w:vMerge w:val="restart"/>
            <w:tcBorders>
              <w:tl2br w:val="nil"/>
              <w:tr2bl w:val="nil"/>
            </w:tcBorders>
            <w:noWrap/>
            <w:vAlign w:val="center"/>
          </w:tcPr>
          <w:p w14:paraId="0E1D7B25">
            <w:pPr>
              <w:widowControl/>
              <w:adjustRightInd w:val="0"/>
              <w:snapToGrid w:val="0"/>
              <w:spacing w:line="400" w:lineRule="exact"/>
              <w:jc w:val="center"/>
              <w:rPr>
                <w:color w:val="auto"/>
              </w:rPr>
            </w:pPr>
            <w:r>
              <w:rPr>
                <w:rFonts w:hint="eastAsia"/>
                <w:color w:val="auto"/>
              </w:rPr>
              <w:t>70分</w:t>
            </w:r>
          </w:p>
        </w:tc>
        <w:tc>
          <w:tcPr>
            <w:tcW w:w="576" w:type="pct"/>
            <w:tcBorders>
              <w:tl2br w:val="nil"/>
              <w:tr2bl w:val="nil"/>
            </w:tcBorders>
            <w:noWrap/>
            <w:vAlign w:val="center"/>
          </w:tcPr>
          <w:p w14:paraId="6391A81A">
            <w:pPr>
              <w:widowControl/>
              <w:adjustRightInd w:val="0"/>
              <w:snapToGrid w:val="0"/>
              <w:spacing w:line="360" w:lineRule="atLeast"/>
              <w:jc w:val="center"/>
              <w:rPr>
                <w:color w:val="auto"/>
              </w:rPr>
            </w:pPr>
            <w:r>
              <w:rPr>
                <w:rFonts w:hint="eastAsia" w:ascii="Times New Roman" w:hAnsi="Times New Roman" w:cs="Times New Roman"/>
                <w:color w:val="auto"/>
                <w:szCs w:val="22"/>
                <w:lang w:val="en-US" w:eastAsia="zh-CN"/>
              </w:rPr>
              <w:t>企业资质</w:t>
            </w:r>
            <w:r>
              <w:rPr>
                <w:rFonts w:hint="eastAsia"/>
                <w:color w:val="auto"/>
              </w:rPr>
              <w:t>2.2.4（1）</w:t>
            </w:r>
          </w:p>
        </w:tc>
        <w:tc>
          <w:tcPr>
            <w:tcW w:w="402" w:type="pct"/>
            <w:tcBorders>
              <w:tl2br w:val="nil"/>
              <w:tr2bl w:val="nil"/>
            </w:tcBorders>
            <w:noWrap/>
            <w:vAlign w:val="center"/>
          </w:tcPr>
          <w:p w14:paraId="67638B53">
            <w:pPr>
              <w:widowControl/>
              <w:adjustRightInd w:val="0"/>
              <w:snapToGrid w:val="0"/>
              <w:spacing w:line="360" w:lineRule="atLeast"/>
              <w:jc w:val="center"/>
              <w:rPr>
                <w:color w:val="auto"/>
              </w:rPr>
            </w:pPr>
            <w:r>
              <w:rPr>
                <w:rFonts w:hint="eastAsia"/>
                <w:color w:val="auto"/>
                <w:lang w:val="en-US" w:eastAsia="zh-CN"/>
              </w:rPr>
              <w:t>10</w:t>
            </w:r>
            <w:r>
              <w:rPr>
                <w:rFonts w:hint="eastAsia"/>
                <w:color w:val="auto"/>
              </w:rPr>
              <w:t>分</w:t>
            </w:r>
          </w:p>
        </w:tc>
        <w:tc>
          <w:tcPr>
            <w:tcW w:w="2987" w:type="pct"/>
            <w:tcBorders>
              <w:tl2br w:val="nil"/>
              <w:tr2bl w:val="nil"/>
            </w:tcBorders>
            <w:noWrap/>
            <w:vAlign w:val="center"/>
          </w:tcPr>
          <w:p w14:paraId="2C0DFDB8">
            <w:pPr>
              <w:widowControl/>
              <w:spacing w:line="360" w:lineRule="atLeast"/>
              <w:jc w:val="left"/>
              <w:rPr>
                <w:rFonts w:hint="eastAsia" w:eastAsiaTheme="minorEastAsia"/>
                <w:color w:val="auto"/>
                <w:lang w:eastAsia="zh-CN"/>
              </w:rPr>
            </w:pPr>
            <w:r>
              <w:rPr>
                <w:rFonts w:hint="eastAsia" w:ascii="Times New Roman" w:hAnsi="Times New Roman" w:cs="Times New Roman"/>
                <w:color w:val="auto"/>
                <w:szCs w:val="22"/>
              </w:rPr>
              <w:t>服务单位提供的CNAS能力参数项目达到</w:t>
            </w:r>
            <w:r>
              <w:rPr>
                <w:rFonts w:hint="eastAsia" w:ascii="Times New Roman" w:hAnsi="Times New Roman" w:cs="Times New Roman"/>
                <w:color w:val="auto"/>
                <w:szCs w:val="22"/>
                <w:lang w:val="en-US" w:eastAsia="zh-CN"/>
              </w:rPr>
              <w:t>250</w:t>
            </w:r>
            <w:r>
              <w:rPr>
                <w:rFonts w:hint="eastAsia" w:ascii="Times New Roman" w:hAnsi="Times New Roman" w:cs="Times New Roman"/>
                <w:color w:val="auto"/>
                <w:szCs w:val="22"/>
              </w:rPr>
              <w:t>项以上得</w:t>
            </w:r>
            <w:r>
              <w:rPr>
                <w:rFonts w:hint="eastAsia" w:ascii="Times New Roman" w:hAnsi="Times New Roman" w:cs="Times New Roman"/>
                <w:color w:val="auto"/>
                <w:szCs w:val="22"/>
                <w:lang w:val="en-US" w:eastAsia="zh-CN"/>
              </w:rPr>
              <w:t>10</w:t>
            </w:r>
            <w:r>
              <w:rPr>
                <w:rFonts w:hint="eastAsia" w:ascii="Times New Roman" w:hAnsi="Times New Roman" w:cs="Times New Roman"/>
                <w:color w:val="auto"/>
                <w:szCs w:val="22"/>
              </w:rPr>
              <w:t>分，参数项目达到2</w:t>
            </w:r>
            <w:r>
              <w:rPr>
                <w:rFonts w:hint="eastAsia" w:ascii="Times New Roman" w:hAnsi="Times New Roman" w:cs="Times New Roman"/>
                <w:color w:val="auto"/>
                <w:szCs w:val="22"/>
                <w:lang w:val="en-US" w:eastAsia="zh-CN"/>
              </w:rPr>
              <w:t>0</w:t>
            </w:r>
            <w:r>
              <w:rPr>
                <w:rFonts w:hint="eastAsia" w:ascii="Times New Roman" w:hAnsi="Times New Roman" w:cs="Times New Roman"/>
                <w:color w:val="auto"/>
                <w:szCs w:val="22"/>
              </w:rPr>
              <w:t>0项至</w:t>
            </w:r>
            <w:r>
              <w:rPr>
                <w:rFonts w:hint="eastAsia" w:ascii="Times New Roman" w:hAnsi="Times New Roman" w:cs="Times New Roman"/>
                <w:color w:val="auto"/>
                <w:szCs w:val="22"/>
                <w:lang w:val="en-US" w:eastAsia="zh-CN"/>
              </w:rPr>
              <w:t>250</w:t>
            </w:r>
            <w:r>
              <w:rPr>
                <w:rFonts w:hint="eastAsia" w:ascii="Times New Roman" w:hAnsi="Times New Roman" w:cs="Times New Roman"/>
                <w:color w:val="auto"/>
                <w:szCs w:val="22"/>
              </w:rPr>
              <w:t>项得</w:t>
            </w:r>
            <w:r>
              <w:rPr>
                <w:rFonts w:hint="eastAsia" w:ascii="Times New Roman" w:hAnsi="Times New Roman" w:cs="Times New Roman"/>
                <w:color w:val="auto"/>
                <w:szCs w:val="22"/>
                <w:lang w:val="en-US" w:eastAsia="zh-CN"/>
              </w:rPr>
              <w:t>6</w:t>
            </w:r>
            <w:r>
              <w:rPr>
                <w:rFonts w:hint="eastAsia" w:ascii="Times New Roman" w:hAnsi="Times New Roman" w:cs="Times New Roman"/>
                <w:color w:val="auto"/>
                <w:szCs w:val="22"/>
              </w:rPr>
              <w:t>分，能力参数项目达到150项至2</w:t>
            </w:r>
            <w:r>
              <w:rPr>
                <w:rFonts w:hint="eastAsia" w:ascii="Times New Roman" w:hAnsi="Times New Roman" w:cs="Times New Roman"/>
                <w:color w:val="auto"/>
                <w:szCs w:val="22"/>
                <w:lang w:val="en-US" w:eastAsia="zh-CN"/>
              </w:rPr>
              <w:t>0</w:t>
            </w:r>
            <w:r>
              <w:rPr>
                <w:rFonts w:hint="eastAsia" w:ascii="Times New Roman" w:hAnsi="Times New Roman" w:cs="Times New Roman"/>
                <w:color w:val="auto"/>
                <w:szCs w:val="22"/>
              </w:rPr>
              <w:t>0项得</w:t>
            </w:r>
            <w:r>
              <w:rPr>
                <w:rFonts w:hint="eastAsia" w:ascii="Times New Roman" w:hAnsi="Times New Roman" w:cs="Times New Roman"/>
                <w:color w:val="auto"/>
                <w:szCs w:val="22"/>
                <w:lang w:val="en-US" w:eastAsia="zh-CN"/>
              </w:rPr>
              <w:t>3</w:t>
            </w:r>
            <w:r>
              <w:rPr>
                <w:rFonts w:hint="eastAsia" w:ascii="Times New Roman" w:hAnsi="Times New Roman" w:cs="Times New Roman"/>
                <w:color w:val="auto"/>
                <w:szCs w:val="22"/>
              </w:rPr>
              <w:t>分，能力参数项目150项以下不得分。</w:t>
            </w:r>
          </w:p>
          <w:p w14:paraId="3AA43DBB">
            <w:pPr>
              <w:widowControl/>
              <w:spacing w:line="360" w:lineRule="atLeast"/>
              <w:jc w:val="left"/>
              <w:rPr>
                <w:color w:val="auto"/>
              </w:rPr>
            </w:pPr>
            <w:r>
              <w:rPr>
                <w:rFonts w:hint="eastAsia" w:ascii="Times New Roman" w:hAnsi="Times New Roman" w:cs="Times New Roman"/>
                <w:color w:val="auto"/>
                <w:szCs w:val="22"/>
              </w:rPr>
              <w:t>（需要提供相关资质证书复印件及参数能力附表）</w:t>
            </w:r>
          </w:p>
        </w:tc>
      </w:tr>
      <w:tr w14:paraId="57516B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350" w:type="pct"/>
            <w:vMerge w:val="continue"/>
            <w:tcBorders>
              <w:tl2br w:val="nil"/>
              <w:tr2bl w:val="nil"/>
            </w:tcBorders>
            <w:noWrap/>
            <w:vAlign w:val="center"/>
          </w:tcPr>
          <w:p w14:paraId="78B3EE45">
            <w:pPr>
              <w:widowControl/>
              <w:adjustRightInd w:val="0"/>
              <w:snapToGrid w:val="0"/>
              <w:spacing w:line="400" w:lineRule="exact"/>
              <w:jc w:val="center"/>
              <w:rPr>
                <w:color w:val="auto"/>
              </w:rPr>
            </w:pPr>
          </w:p>
        </w:tc>
        <w:tc>
          <w:tcPr>
            <w:tcW w:w="322" w:type="pct"/>
            <w:vMerge w:val="continue"/>
            <w:tcBorders>
              <w:tl2br w:val="nil"/>
              <w:tr2bl w:val="nil"/>
            </w:tcBorders>
            <w:noWrap/>
            <w:vAlign w:val="center"/>
          </w:tcPr>
          <w:p w14:paraId="53FC71AF">
            <w:pPr>
              <w:widowControl/>
              <w:adjustRightInd w:val="0"/>
              <w:snapToGrid w:val="0"/>
              <w:spacing w:line="400" w:lineRule="exact"/>
              <w:jc w:val="center"/>
              <w:rPr>
                <w:color w:val="auto"/>
              </w:rPr>
            </w:pPr>
          </w:p>
        </w:tc>
        <w:tc>
          <w:tcPr>
            <w:tcW w:w="360" w:type="pct"/>
            <w:vMerge w:val="continue"/>
            <w:tcBorders>
              <w:tl2br w:val="nil"/>
              <w:tr2bl w:val="nil"/>
            </w:tcBorders>
            <w:noWrap/>
            <w:vAlign w:val="center"/>
          </w:tcPr>
          <w:p w14:paraId="38AC0B7F">
            <w:pPr>
              <w:widowControl/>
              <w:adjustRightInd w:val="0"/>
              <w:snapToGrid w:val="0"/>
              <w:spacing w:line="400" w:lineRule="exact"/>
              <w:jc w:val="center"/>
              <w:rPr>
                <w:color w:val="auto"/>
              </w:rPr>
            </w:pPr>
          </w:p>
        </w:tc>
        <w:tc>
          <w:tcPr>
            <w:tcW w:w="576" w:type="pct"/>
            <w:tcBorders>
              <w:tl2br w:val="nil"/>
              <w:tr2bl w:val="nil"/>
            </w:tcBorders>
            <w:noWrap/>
            <w:vAlign w:val="center"/>
          </w:tcPr>
          <w:p w14:paraId="57295877">
            <w:pPr>
              <w:pStyle w:val="19"/>
              <w:spacing w:after="0" w:line="360" w:lineRule="atLeast"/>
              <w:ind w:left="0" w:leftChars="0" w:firstLine="0" w:firstLineChars="0"/>
              <w:rPr>
                <w:color w:val="auto"/>
              </w:rPr>
            </w:pPr>
            <w:r>
              <w:rPr>
                <w:rFonts w:hint="eastAsia"/>
                <w:color w:val="auto"/>
              </w:rPr>
              <w:t>企业业绩2.2.4（2）</w:t>
            </w:r>
          </w:p>
        </w:tc>
        <w:tc>
          <w:tcPr>
            <w:tcW w:w="402" w:type="pct"/>
            <w:tcBorders>
              <w:tl2br w:val="nil"/>
              <w:tr2bl w:val="nil"/>
            </w:tcBorders>
            <w:noWrap/>
            <w:vAlign w:val="center"/>
          </w:tcPr>
          <w:p w14:paraId="6C9C4EEA">
            <w:pPr>
              <w:pStyle w:val="19"/>
              <w:ind w:left="0" w:leftChars="0" w:firstLine="0" w:firstLineChars="0"/>
              <w:jc w:val="center"/>
              <w:rPr>
                <w:color w:val="auto"/>
              </w:rPr>
            </w:pPr>
            <w:r>
              <w:rPr>
                <w:rFonts w:hint="eastAsia"/>
                <w:color w:val="auto"/>
              </w:rPr>
              <w:t>10分</w:t>
            </w:r>
          </w:p>
        </w:tc>
        <w:tc>
          <w:tcPr>
            <w:tcW w:w="2987" w:type="pct"/>
            <w:tcBorders>
              <w:tl2br w:val="nil"/>
              <w:tr2bl w:val="nil"/>
            </w:tcBorders>
            <w:noWrap/>
            <w:vAlign w:val="center"/>
          </w:tcPr>
          <w:p w14:paraId="440AA46C">
            <w:pPr>
              <w:widowControl/>
              <w:adjustRightInd w:val="0"/>
              <w:snapToGrid w:val="0"/>
              <w:spacing w:line="360" w:lineRule="atLeast"/>
              <w:ind w:left="0" w:leftChars="0" w:firstLine="0" w:firstLineChars="0"/>
              <w:rPr>
                <w:color w:val="auto"/>
              </w:rPr>
            </w:pPr>
            <w:r>
              <w:rPr>
                <w:rFonts w:hint="eastAsia"/>
                <w:color w:val="auto"/>
              </w:rPr>
              <w:t>提供2021年</w:t>
            </w:r>
            <w:r>
              <w:rPr>
                <w:rFonts w:hint="eastAsia"/>
                <w:color w:val="auto"/>
                <w:lang w:val="en-US" w:eastAsia="zh-CN"/>
              </w:rPr>
              <w:t>1</w:t>
            </w:r>
            <w:r>
              <w:rPr>
                <w:rFonts w:hint="eastAsia"/>
                <w:color w:val="auto"/>
              </w:rPr>
              <w:t>月1日至采购截止时间，以合同签订时间为准，每增加一个</w:t>
            </w:r>
            <w:r>
              <w:rPr>
                <w:rFonts w:hint="eastAsia" w:asciiTheme="minorHAnsi" w:eastAsiaTheme="minorEastAsia"/>
                <w:color w:val="auto"/>
                <w:lang w:val="en-US" w:eastAsia="zh-CN"/>
              </w:rPr>
              <w:t>10</w:t>
            </w:r>
            <w:r>
              <w:rPr>
                <w:color w:val="auto"/>
              </w:rPr>
              <w:t>万元以上</w:t>
            </w:r>
            <w:r>
              <w:rPr>
                <w:rFonts w:hint="eastAsia"/>
                <w:color w:val="auto"/>
              </w:rPr>
              <w:t>工程类检测机构单个服务类似业绩得</w:t>
            </w:r>
            <w:r>
              <w:rPr>
                <w:rFonts w:hint="eastAsia" w:asciiTheme="minorHAnsi" w:eastAsiaTheme="minorEastAsia"/>
                <w:color w:val="auto"/>
                <w:lang w:val="en-US" w:eastAsia="zh-CN"/>
              </w:rPr>
              <w:t>5</w:t>
            </w:r>
            <w:r>
              <w:rPr>
                <w:rFonts w:hint="eastAsia"/>
                <w:color w:val="auto"/>
              </w:rPr>
              <w:t>分，最多得</w:t>
            </w:r>
            <w:r>
              <w:rPr>
                <w:rFonts w:hint="eastAsia" w:asciiTheme="minorHAnsi" w:eastAsiaTheme="minorEastAsia"/>
                <w:color w:val="auto"/>
                <w:lang w:val="en-US" w:eastAsia="zh-CN"/>
              </w:rPr>
              <w:t>10</w:t>
            </w:r>
            <w:r>
              <w:rPr>
                <w:rFonts w:hint="eastAsia"/>
                <w:color w:val="auto"/>
              </w:rPr>
              <w:t>分。</w:t>
            </w:r>
          </w:p>
          <w:p w14:paraId="269E1392">
            <w:pPr>
              <w:ind w:left="0" w:leftChars="0" w:firstLine="0" w:firstLineChars="0"/>
              <w:rPr>
                <w:color w:val="auto"/>
              </w:rPr>
            </w:pPr>
            <w:r>
              <w:rPr>
                <w:rFonts w:hint="eastAsia" w:ascii="Calibri" w:hAnsi="Calibri"/>
                <w:color w:val="auto"/>
                <w:szCs w:val="22"/>
              </w:rPr>
              <w:t>（业绩证明材料需提供合同或支付发票，业绩金额、业绩时间以合同或发票开具时间为准。）</w:t>
            </w:r>
          </w:p>
        </w:tc>
      </w:tr>
      <w:tr w14:paraId="401790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92" w:hRule="atLeast"/>
        </w:trPr>
        <w:tc>
          <w:tcPr>
            <w:tcW w:w="350" w:type="pct"/>
            <w:vMerge w:val="continue"/>
            <w:tcBorders>
              <w:tl2br w:val="nil"/>
              <w:tr2bl w:val="nil"/>
            </w:tcBorders>
            <w:noWrap/>
            <w:vAlign w:val="center"/>
          </w:tcPr>
          <w:p w14:paraId="05239B07">
            <w:pPr>
              <w:widowControl/>
              <w:adjustRightInd w:val="0"/>
              <w:snapToGrid w:val="0"/>
              <w:spacing w:line="400" w:lineRule="exact"/>
              <w:jc w:val="center"/>
              <w:rPr>
                <w:color w:val="auto"/>
              </w:rPr>
            </w:pPr>
          </w:p>
        </w:tc>
        <w:tc>
          <w:tcPr>
            <w:tcW w:w="322" w:type="pct"/>
            <w:vMerge w:val="continue"/>
            <w:tcBorders>
              <w:tl2br w:val="nil"/>
              <w:tr2bl w:val="nil"/>
            </w:tcBorders>
            <w:noWrap/>
            <w:vAlign w:val="center"/>
          </w:tcPr>
          <w:p w14:paraId="1D814FD3">
            <w:pPr>
              <w:widowControl/>
              <w:adjustRightInd w:val="0"/>
              <w:snapToGrid w:val="0"/>
              <w:spacing w:line="400" w:lineRule="exact"/>
              <w:jc w:val="center"/>
              <w:rPr>
                <w:color w:val="auto"/>
              </w:rPr>
            </w:pPr>
          </w:p>
        </w:tc>
        <w:tc>
          <w:tcPr>
            <w:tcW w:w="360" w:type="pct"/>
            <w:vMerge w:val="continue"/>
            <w:tcBorders>
              <w:tl2br w:val="nil"/>
              <w:tr2bl w:val="nil"/>
            </w:tcBorders>
            <w:noWrap/>
            <w:vAlign w:val="center"/>
          </w:tcPr>
          <w:p w14:paraId="05C3ECE6">
            <w:pPr>
              <w:widowControl/>
              <w:adjustRightInd w:val="0"/>
              <w:snapToGrid w:val="0"/>
              <w:spacing w:line="400" w:lineRule="exact"/>
              <w:jc w:val="center"/>
              <w:rPr>
                <w:color w:val="auto"/>
              </w:rPr>
            </w:pPr>
          </w:p>
        </w:tc>
        <w:tc>
          <w:tcPr>
            <w:tcW w:w="576" w:type="pct"/>
            <w:tcBorders>
              <w:tl2br w:val="nil"/>
              <w:tr2bl w:val="nil"/>
            </w:tcBorders>
            <w:noWrap/>
            <w:vAlign w:val="center"/>
          </w:tcPr>
          <w:p w14:paraId="2BFD001A">
            <w:pPr>
              <w:widowControl/>
              <w:adjustRightInd w:val="0"/>
              <w:snapToGrid w:val="0"/>
              <w:spacing w:line="360" w:lineRule="atLeast"/>
              <w:jc w:val="center"/>
              <w:rPr>
                <w:color w:val="auto"/>
              </w:rPr>
            </w:pPr>
            <w:r>
              <w:rPr>
                <w:rFonts w:hint="eastAsia"/>
                <w:color w:val="auto"/>
              </w:rPr>
              <w:t>人员配备</w:t>
            </w:r>
          </w:p>
          <w:p w14:paraId="0D448E82">
            <w:pPr>
              <w:pStyle w:val="19"/>
              <w:spacing w:after="0" w:line="360" w:lineRule="atLeast"/>
              <w:ind w:left="0" w:leftChars="0" w:firstLine="0" w:firstLineChars="0"/>
              <w:jc w:val="center"/>
              <w:rPr>
                <w:color w:val="auto"/>
              </w:rPr>
            </w:pPr>
            <w:r>
              <w:rPr>
                <w:rFonts w:hint="eastAsia"/>
                <w:color w:val="auto"/>
              </w:rPr>
              <w:t>2.2.4（3）</w:t>
            </w:r>
          </w:p>
        </w:tc>
        <w:tc>
          <w:tcPr>
            <w:tcW w:w="402" w:type="pct"/>
            <w:tcBorders>
              <w:tl2br w:val="nil"/>
              <w:tr2bl w:val="nil"/>
            </w:tcBorders>
            <w:noWrap/>
            <w:vAlign w:val="center"/>
          </w:tcPr>
          <w:p w14:paraId="7ECB8A59">
            <w:pPr>
              <w:widowControl/>
              <w:adjustRightInd w:val="0"/>
              <w:snapToGrid w:val="0"/>
              <w:spacing w:line="360" w:lineRule="atLeast"/>
              <w:jc w:val="center"/>
              <w:rPr>
                <w:color w:val="auto"/>
              </w:rPr>
            </w:pPr>
            <w:r>
              <w:rPr>
                <w:rFonts w:hint="eastAsia"/>
                <w:color w:val="auto"/>
                <w:lang w:val="en-US" w:eastAsia="zh-CN"/>
              </w:rPr>
              <w:t>10</w:t>
            </w:r>
            <w:r>
              <w:rPr>
                <w:rFonts w:hint="eastAsia"/>
                <w:color w:val="auto"/>
              </w:rPr>
              <w:t>分</w:t>
            </w:r>
          </w:p>
        </w:tc>
        <w:tc>
          <w:tcPr>
            <w:tcW w:w="2987" w:type="pct"/>
            <w:tcBorders>
              <w:tl2br w:val="nil"/>
              <w:tr2bl w:val="nil"/>
            </w:tcBorders>
            <w:noWrap/>
            <w:vAlign w:val="center"/>
          </w:tcPr>
          <w:p w14:paraId="1122E610">
            <w:pPr>
              <w:ind w:left="0" w:leftChars="0" w:firstLine="0" w:firstLineChars="0"/>
              <w:rPr>
                <w:color w:val="auto"/>
              </w:rPr>
            </w:pPr>
            <w:r>
              <w:rPr>
                <w:rFonts w:hint="eastAsia"/>
                <w:color w:val="auto"/>
              </w:rPr>
              <w:t>1、服务单位提供服务人员名单在3</w:t>
            </w:r>
            <w:r>
              <w:rPr>
                <w:rFonts w:hint="eastAsia"/>
                <w:color w:val="auto"/>
                <w:lang w:val="en-US" w:eastAsia="zh-CN"/>
              </w:rPr>
              <w:t>0</w:t>
            </w:r>
            <w:r>
              <w:rPr>
                <w:rFonts w:hint="eastAsia"/>
                <w:color w:val="auto"/>
              </w:rPr>
              <w:t>人以上得</w:t>
            </w:r>
            <w:r>
              <w:rPr>
                <w:rFonts w:hint="eastAsia"/>
                <w:color w:val="auto"/>
                <w:lang w:val="en-US" w:eastAsia="zh-CN"/>
              </w:rPr>
              <w:t>4</w:t>
            </w:r>
            <w:r>
              <w:rPr>
                <w:rFonts w:hint="eastAsia"/>
                <w:color w:val="auto"/>
              </w:rPr>
              <w:t>分，服务单位提供服务人员名单在</w:t>
            </w:r>
            <w:r>
              <w:rPr>
                <w:rFonts w:hint="eastAsia"/>
                <w:color w:val="auto"/>
                <w:lang w:val="en-US" w:eastAsia="zh-CN"/>
              </w:rPr>
              <w:t>1</w:t>
            </w:r>
            <w:r>
              <w:rPr>
                <w:rFonts w:hint="eastAsia"/>
                <w:color w:val="auto"/>
              </w:rPr>
              <w:t>5人到3</w:t>
            </w:r>
            <w:r>
              <w:rPr>
                <w:rFonts w:hint="eastAsia"/>
                <w:color w:val="auto"/>
                <w:lang w:val="en-US" w:eastAsia="zh-CN"/>
              </w:rPr>
              <w:t>0</w:t>
            </w:r>
            <w:r>
              <w:rPr>
                <w:rFonts w:hint="eastAsia"/>
                <w:color w:val="auto"/>
              </w:rPr>
              <w:t>人得3分，服务单位提供服务人员名单在15人以下得</w:t>
            </w:r>
            <w:r>
              <w:rPr>
                <w:rFonts w:hint="eastAsia"/>
                <w:color w:val="auto"/>
                <w:lang w:val="en-US" w:eastAsia="zh-CN"/>
              </w:rPr>
              <w:t>1</w:t>
            </w:r>
            <w:r>
              <w:rPr>
                <w:rFonts w:hint="eastAsia"/>
                <w:color w:val="auto"/>
              </w:rPr>
              <w:t>分</w:t>
            </w:r>
            <w:r>
              <w:rPr>
                <w:rFonts w:hint="eastAsia"/>
                <w:color w:val="auto"/>
                <w:lang w:eastAsia="zh-CN"/>
              </w:rPr>
              <w:t>，</w:t>
            </w:r>
            <w:r>
              <w:rPr>
                <w:rFonts w:hint="eastAsia"/>
                <w:color w:val="auto"/>
                <w:lang w:val="en-US" w:eastAsia="zh-CN"/>
              </w:rPr>
              <w:t>未提供的不得分</w:t>
            </w:r>
            <w:r>
              <w:rPr>
                <w:rFonts w:hint="eastAsia"/>
                <w:color w:val="auto"/>
              </w:rPr>
              <w:t>。</w:t>
            </w:r>
          </w:p>
          <w:p w14:paraId="41BA6EF5">
            <w:pPr>
              <w:ind w:left="0" w:leftChars="0" w:firstLine="0" w:firstLineChars="0"/>
              <w:rPr>
                <w:color w:val="auto"/>
              </w:rPr>
            </w:pPr>
            <w:r>
              <w:rPr>
                <w:rFonts w:hint="eastAsia"/>
                <w:color w:val="auto"/>
              </w:rPr>
              <w:t>2、至少拥有2名</w:t>
            </w:r>
            <w:r>
              <w:rPr>
                <w:rFonts w:hint="eastAsia"/>
                <w:color w:val="auto"/>
                <w:lang w:val="en-US" w:eastAsia="zh-CN"/>
              </w:rPr>
              <w:t>一级</w:t>
            </w:r>
            <w:r>
              <w:rPr>
                <w:rFonts w:hint="eastAsia"/>
                <w:color w:val="auto"/>
              </w:rPr>
              <w:t>注册计量师，每增加1名</w:t>
            </w:r>
            <w:r>
              <w:rPr>
                <w:rFonts w:hint="eastAsia" w:ascii="Times New Roman" w:eastAsia="宋体"/>
                <w:color w:val="auto"/>
                <w:lang w:val="en-US" w:eastAsia="zh-CN"/>
              </w:rPr>
              <w:t>一级注册</w:t>
            </w:r>
            <w:r>
              <w:rPr>
                <w:rFonts w:hint="eastAsia"/>
                <w:color w:val="auto"/>
              </w:rPr>
              <w:t>计量师得</w:t>
            </w:r>
            <w:r>
              <w:rPr>
                <w:rFonts w:hint="eastAsia"/>
                <w:color w:val="auto"/>
                <w:lang w:val="en-US" w:eastAsia="zh-CN"/>
              </w:rPr>
              <w:t>3</w:t>
            </w:r>
            <w:r>
              <w:rPr>
                <w:rFonts w:hint="eastAsia"/>
                <w:color w:val="auto"/>
              </w:rPr>
              <w:t>分，最多得</w:t>
            </w:r>
            <w:r>
              <w:rPr>
                <w:rFonts w:hint="eastAsia"/>
                <w:color w:val="auto"/>
                <w:lang w:val="en-US" w:eastAsia="zh-CN"/>
              </w:rPr>
              <w:t>6</w:t>
            </w:r>
            <w:r>
              <w:rPr>
                <w:rFonts w:hint="eastAsia"/>
                <w:color w:val="auto"/>
              </w:rPr>
              <w:t>分。</w:t>
            </w:r>
          </w:p>
          <w:p w14:paraId="4A3A8BD4">
            <w:pPr>
              <w:widowControl/>
              <w:adjustRightInd/>
              <w:snapToGrid/>
              <w:spacing w:line="240" w:lineRule="auto"/>
              <w:jc w:val="left"/>
              <w:rPr>
                <w:color w:val="auto"/>
              </w:rPr>
            </w:pPr>
            <w:r>
              <w:rPr>
                <w:rFonts w:hint="eastAsia" w:ascii="Calibri" w:hAnsi="Calibri"/>
                <w:color w:val="auto"/>
                <w:szCs w:val="22"/>
              </w:rPr>
              <w:t>（所有服务人员需要提供2024年1月份以来的任意3个月的社保证明，计量师需要提供人员资质证书复印件）</w:t>
            </w:r>
          </w:p>
        </w:tc>
      </w:tr>
      <w:tr w14:paraId="0504DA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92" w:hRule="atLeast"/>
        </w:trPr>
        <w:tc>
          <w:tcPr>
            <w:tcW w:w="350" w:type="pct"/>
            <w:vMerge w:val="continue"/>
            <w:tcBorders>
              <w:tl2br w:val="nil"/>
              <w:tr2bl w:val="nil"/>
            </w:tcBorders>
            <w:noWrap/>
            <w:vAlign w:val="center"/>
          </w:tcPr>
          <w:p w14:paraId="23D01CC9">
            <w:pPr>
              <w:widowControl/>
              <w:adjustRightInd w:val="0"/>
              <w:snapToGrid w:val="0"/>
              <w:spacing w:line="400" w:lineRule="exact"/>
              <w:jc w:val="center"/>
              <w:rPr>
                <w:color w:val="auto"/>
              </w:rPr>
            </w:pPr>
          </w:p>
        </w:tc>
        <w:tc>
          <w:tcPr>
            <w:tcW w:w="322" w:type="pct"/>
            <w:vMerge w:val="continue"/>
            <w:tcBorders>
              <w:tl2br w:val="nil"/>
              <w:tr2bl w:val="nil"/>
            </w:tcBorders>
            <w:noWrap/>
            <w:vAlign w:val="center"/>
          </w:tcPr>
          <w:p w14:paraId="3303C67C">
            <w:pPr>
              <w:widowControl/>
              <w:adjustRightInd w:val="0"/>
              <w:snapToGrid w:val="0"/>
              <w:spacing w:line="400" w:lineRule="exact"/>
              <w:jc w:val="center"/>
              <w:rPr>
                <w:color w:val="auto"/>
              </w:rPr>
            </w:pPr>
          </w:p>
        </w:tc>
        <w:tc>
          <w:tcPr>
            <w:tcW w:w="360" w:type="pct"/>
            <w:vMerge w:val="continue"/>
            <w:tcBorders>
              <w:tl2br w:val="nil"/>
              <w:tr2bl w:val="nil"/>
            </w:tcBorders>
            <w:noWrap/>
            <w:vAlign w:val="center"/>
          </w:tcPr>
          <w:p w14:paraId="7A7C3731">
            <w:pPr>
              <w:widowControl/>
              <w:adjustRightInd w:val="0"/>
              <w:snapToGrid w:val="0"/>
              <w:spacing w:line="400" w:lineRule="exact"/>
              <w:jc w:val="center"/>
              <w:rPr>
                <w:color w:val="auto"/>
              </w:rPr>
            </w:pPr>
          </w:p>
        </w:tc>
        <w:tc>
          <w:tcPr>
            <w:tcW w:w="576" w:type="pct"/>
            <w:tcBorders>
              <w:tl2br w:val="nil"/>
              <w:tr2bl w:val="nil"/>
            </w:tcBorders>
            <w:noWrap/>
            <w:vAlign w:val="center"/>
          </w:tcPr>
          <w:p w14:paraId="5230B2A9">
            <w:pPr>
              <w:widowControl/>
              <w:adjustRightInd w:val="0"/>
              <w:snapToGrid w:val="0"/>
              <w:spacing w:line="360" w:lineRule="atLeast"/>
              <w:jc w:val="center"/>
              <w:rPr>
                <w:color w:val="auto"/>
              </w:rPr>
            </w:pPr>
            <w:r>
              <w:rPr>
                <w:rFonts w:hint="eastAsia"/>
                <w:color w:val="auto"/>
              </w:rPr>
              <w:t>服务方案2.2.4（</w:t>
            </w:r>
            <w:r>
              <w:rPr>
                <w:rFonts w:hint="eastAsia"/>
                <w:color w:val="auto"/>
                <w:lang w:val="en-US" w:eastAsia="zh-CN"/>
              </w:rPr>
              <w:t>5</w:t>
            </w:r>
            <w:r>
              <w:rPr>
                <w:rFonts w:hint="eastAsia"/>
                <w:color w:val="auto"/>
              </w:rPr>
              <w:t>）</w:t>
            </w:r>
          </w:p>
        </w:tc>
        <w:tc>
          <w:tcPr>
            <w:tcW w:w="402" w:type="pct"/>
            <w:tcBorders>
              <w:tl2br w:val="nil"/>
              <w:tr2bl w:val="nil"/>
            </w:tcBorders>
            <w:noWrap/>
            <w:vAlign w:val="center"/>
          </w:tcPr>
          <w:p w14:paraId="5916A804">
            <w:pPr>
              <w:pStyle w:val="19"/>
              <w:spacing w:after="0" w:line="360" w:lineRule="atLeast"/>
              <w:ind w:left="0" w:leftChars="0" w:firstLine="0" w:firstLineChars="0"/>
              <w:jc w:val="center"/>
              <w:rPr>
                <w:color w:val="auto"/>
              </w:rPr>
            </w:pPr>
            <w:r>
              <w:rPr>
                <w:rFonts w:hint="eastAsia"/>
                <w:color w:val="auto"/>
              </w:rPr>
              <w:t>1</w:t>
            </w:r>
            <w:r>
              <w:rPr>
                <w:rFonts w:hint="eastAsia"/>
                <w:color w:val="auto"/>
                <w:lang w:val="en-US" w:eastAsia="zh-CN"/>
              </w:rPr>
              <w:t>0</w:t>
            </w:r>
            <w:r>
              <w:rPr>
                <w:rFonts w:hint="eastAsia"/>
                <w:color w:val="auto"/>
              </w:rPr>
              <w:t>分</w:t>
            </w:r>
          </w:p>
        </w:tc>
        <w:tc>
          <w:tcPr>
            <w:tcW w:w="2987" w:type="pct"/>
            <w:tcBorders>
              <w:tl2br w:val="nil"/>
              <w:tr2bl w:val="nil"/>
            </w:tcBorders>
            <w:noWrap/>
            <w:vAlign w:val="center"/>
          </w:tcPr>
          <w:p w14:paraId="61B6295E">
            <w:pPr>
              <w:pStyle w:val="19"/>
              <w:spacing w:after="0" w:line="360" w:lineRule="atLeast"/>
              <w:ind w:left="0" w:leftChars="0" w:firstLine="0" w:firstLineChars="0"/>
              <w:rPr>
                <w:rFonts w:hint="eastAsia" w:eastAsiaTheme="minorEastAsia"/>
                <w:color w:val="auto"/>
                <w:lang w:eastAsia="zh-CN"/>
              </w:rPr>
            </w:pPr>
            <w:r>
              <w:rPr>
                <w:color w:val="auto"/>
              </w:rPr>
              <w:t>根据</w:t>
            </w:r>
            <w:r>
              <w:rPr>
                <w:rFonts w:hint="eastAsia"/>
                <w:color w:val="auto"/>
                <w:lang w:val="en-US" w:eastAsia="zh-CN"/>
              </w:rPr>
              <w:t>服务单位</w:t>
            </w:r>
            <w:r>
              <w:rPr>
                <w:color w:val="auto"/>
              </w:rPr>
              <w:t>提供的针对本次</w:t>
            </w:r>
            <w:r>
              <w:rPr>
                <w:rFonts w:hint="eastAsia"/>
                <w:color w:val="auto"/>
              </w:rPr>
              <w:t>检定校准</w:t>
            </w:r>
            <w:r>
              <w:rPr>
                <w:color w:val="auto"/>
              </w:rPr>
              <w:t>服务项目服务方案实施计划的全面性、合理性、可行性、针对性</w:t>
            </w:r>
            <w:r>
              <w:rPr>
                <w:rFonts w:hint="eastAsia"/>
                <w:color w:val="auto"/>
                <w:lang w:val="en-US" w:eastAsia="zh-CN"/>
              </w:rPr>
              <w:t>以及</w:t>
            </w:r>
            <w:r>
              <w:rPr>
                <w:color w:val="auto"/>
              </w:rPr>
              <w:t>临时性服务措施等进行综合评价</w:t>
            </w:r>
            <w:r>
              <w:rPr>
                <w:rFonts w:hint="eastAsia"/>
                <w:color w:val="auto"/>
                <w:lang w:eastAsia="zh-CN"/>
              </w:rPr>
              <w:t>：</w:t>
            </w:r>
          </w:p>
          <w:p w14:paraId="3D0F9ECF">
            <w:pPr>
              <w:pStyle w:val="19"/>
              <w:spacing w:after="0" w:line="360" w:lineRule="atLeast"/>
              <w:ind w:left="0" w:leftChars="0" w:firstLine="0" w:firstLineChars="0"/>
              <w:rPr>
                <w:rFonts w:hint="eastAsia" w:eastAsiaTheme="minorEastAsia"/>
                <w:color w:val="auto"/>
                <w:lang w:eastAsia="zh-CN"/>
              </w:rPr>
            </w:pPr>
            <w:r>
              <w:rPr>
                <w:rFonts w:hint="eastAsia"/>
                <w:color w:val="auto"/>
              </w:rPr>
              <w:t>1、对本项目</w:t>
            </w:r>
            <w:r>
              <w:rPr>
                <w:rFonts w:hint="eastAsia"/>
                <w:color w:val="auto"/>
                <w:lang w:val="en-US" w:eastAsia="zh-CN"/>
              </w:rPr>
              <w:t>理解方向准确，方案合理清晰</w:t>
            </w:r>
            <w:r>
              <w:rPr>
                <w:rFonts w:hint="eastAsia"/>
                <w:color w:val="auto"/>
              </w:rPr>
              <w:t>且操作性强，得</w:t>
            </w:r>
            <w:r>
              <w:rPr>
                <w:rFonts w:hint="eastAsia"/>
                <w:color w:val="auto"/>
                <w:lang w:val="en-US" w:eastAsia="zh-CN"/>
              </w:rPr>
              <w:t>9-10</w:t>
            </w:r>
            <w:r>
              <w:rPr>
                <w:rFonts w:hint="eastAsia"/>
                <w:color w:val="auto"/>
              </w:rPr>
              <w:t>分</w:t>
            </w:r>
            <w:r>
              <w:rPr>
                <w:rFonts w:hint="eastAsia"/>
                <w:color w:val="auto"/>
                <w:lang w:eastAsia="zh-CN"/>
              </w:rPr>
              <w:t>；</w:t>
            </w:r>
          </w:p>
          <w:p w14:paraId="00315E4C">
            <w:pPr>
              <w:pStyle w:val="19"/>
              <w:spacing w:after="0" w:line="360" w:lineRule="atLeast"/>
              <w:ind w:left="0" w:leftChars="0" w:firstLine="0" w:firstLineChars="0"/>
              <w:rPr>
                <w:rFonts w:hint="eastAsia" w:eastAsiaTheme="minorEastAsia"/>
                <w:color w:val="auto"/>
                <w:lang w:eastAsia="zh-CN"/>
              </w:rPr>
            </w:pPr>
            <w:r>
              <w:rPr>
                <w:rFonts w:hint="eastAsia"/>
                <w:color w:val="auto"/>
              </w:rPr>
              <w:t>2、对本项目</w:t>
            </w:r>
            <w:r>
              <w:rPr>
                <w:rFonts w:hint="eastAsia"/>
                <w:color w:val="auto"/>
                <w:lang w:val="en-US" w:eastAsia="zh-CN"/>
              </w:rPr>
              <w:t>理解方向正确，方案较合理清晰</w:t>
            </w:r>
            <w:r>
              <w:rPr>
                <w:rFonts w:hint="eastAsia"/>
                <w:color w:val="auto"/>
              </w:rPr>
              <w:t>且</w:t>
            </w:r>
            <w:r>
              <w:rPr>
                <w:rFonts w:hint="eastAsia"/>
                <w:color w:val="auto"/>
                <w:lang w:val="en-US" w:eastAsia="zh-CN"/>
              </w:rPr>
              <w:t>具有</w:t>
            </w:r>
            <w:r>
              <w:rPr>
                <w:rFonts w:hint="eastAsia"/>
                <w:color w:val="auto"/>
              </w:rPr>
              <w:t>操作性，得7-8分</w:t>
            </w:r>
            <w:r>
              <w:rPr>
                <w:rFonts w:hint="eastAsia"/>
                <w:color w:val="auto"/>
                <w:lang w:eastAsia="zh-CN"/>
              </w:rPr>
              <w:t>；</w:t>
            </w:r>
          </w:p>
          <w:p w14:paraId="32BDC5D0">
            <w:pPr>
              <w:pStyle w:val="19"/>
              <w:spacing w:after="0" w:line="360" w:lineRule="atLeast"/>
              <w:ind w:left="0" w:leftChars="0" w:firstLine="0" w:firstLineChars="0"/>
              <w:rPr>
                <w:rFonts w:hint="eastAsia"/>
                <w:color w:val="auto"/>
                <w:lang w:eastAsia="zh-CN"/>
              </w:rPr>
            </w:pPr>
            <w:r>
              <w:rPr>
                <w:rFonts w:hint="eastAsia"/>
                <w:color w:val="auto"/>
              </w:rPr>
              <w:t>3、对本项目</w:t>
            </w:r>
            <w:r>
              <w:rPr>
                <w:rFonts w:hint="eastAsia"/>
                <w:color w:val="auto"/>
                <w:lang w:val="en-US" w:eastAsia="zh-CN"/>
              </w:rPr>
              <w:t>理解方向基本正确，方案可行</w:t>
            </w:r>
            <w:r>
              <w:rPr>
                <w:rFonts w:hint="eastAsia"/>
                <w:color w:val="auto"/>
              </w:rPr>
              <w:t>，得</w:t>
            </w:r>
            <w:r>
              <w:rPr>
                <w:rFonts w:hint="eastAsia"/>
                <w:color w:val="auto"/>
                <w:lang w:val="en-US" w:eastAsia="zh-CN"/>
              </w:rPr>
              <w:t>基本分6</w:t>
            </w:r>
            <w:r>
              <w:rPr>
                <w:rFonts w:hint="eastAsia"/>
                <w:color w:val="auto"/>
              </w:rPr>
              <w:t>分</w:t>
            </w:r>
            <w:r>
              <w:rPr>
                <w:rFonts w:hint="eastAsia"/>
                <w:color w:val="auto"/>
                <w:lang w:eastAsia="zh-CN"/>
              </w:rPr>
              <w:t>；</w:t>
            </w:r>
          </w:p>
          <w:p w14:paraId="70763F1A">
            <w:pPr>
              <w:pStyle w:val="19"/>
              <w:spacing w:after="0" w:line="360" w:lineRule="atLeast"/>
              <w:ind w:left="0" w:leftChars="0" w:firstLine="0" w:firstLineChars="0"/>
              <w:rPr>
                <w:color w:val="auto"/>
              </w:rPr>
            </w:pPr>
            <w:r>
              <w:rPr>
                <w:rFonts w:hint="eastAsia"/>
                <w:color w:val="auto"/>
                <w:lang w:val="en-US" w:eastAsia="zh-CN"/>
              </w:rPr>
              <w:t>4</w:t>
            </w:r>
            <w:r>
              <w:rPr>
                <w:rFonts w:hint="eastAsia"/>
                <w:color w:val="auto"/>
              </w:rPr>
              <w:t>、</w:t>
            </w:r>
            <w:r>
              <w:rPr>
                <w:rFonts w:hint="eastAsia"/>
                <w:color w:val="auto"/>
                <w:lang w:val="en-US" w:eastAsia="zh-CN"/>
              </w:rPr>
              <w:t>未提供本项目不得分。</w:t>
            </w:r>
          </w:p>
        </w:tc>
      </w:tr>
      <w:tr w14:paraId="7157B2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92" w:hRule="atLeast"/>
        </w:trPr>
        <w:tc>
          <w:tcPr>
            <w:tcW w:w="350" w:type="pct"/>
            <w:vMerge w:val="continue"/>
            <w:tcBorders>
              <w:tl2br w:val="nil"/>
              <w:tr2bl w:val="nil"/>
            </w:tcBorders>
            <w:noWrap/>
            <w:vAlign w:val="center"/>
          </w:tcPr>
          <w:p w14:paraId="6828D483">
            <w:pPr>
              <w:widowControl/>
              <w:adjustRightInd w:val="0"/>
              <w:snapToGrid w:val="0"/>
              <w:spacing w:line="400" w:lineRule="exact"/>
              <w:jc w:val="center"/>
              <w:rPr>
                <w:color w:val="auto"/>
              </w:rPr>
            </w:pPr>
          </w:p>
        </w:tc>
        <w:tc>
          <w:tcPr>
            <w:tcW w:w="322" w:type="pct"/>
            <w:vMerge w:val="continue"/>
            <w:tcBorders>
              <w:tl2br w:val="nil"/>
              <w:tr2bl w:val="nil"/>
            </w:tcBorders>
            <w:noWrap/>
            <w:vAlign w:val="center"/>
          </w:tcPr>
          <w:p w14:paraId="74D41225">
            <w:pPr>
              <w:widowControl/>
              <w:adjustRightInd w:val="0"/>
              <w:snapToGrid w:val="0"/>
              <w:spacing w:line="400" w:lineRule="exact"/>
              <w:jc w:val="center"/>
              <w:rPr>
                <w:color w:val="auto"/>
              </w:rPr>
            </w:pPr>
          </w:p>
        </w:tc>
        <w:tc>
          <w:tcPr>
            <w:tcW w:w="360" w:type="pct"/>
            <w:vMerge w:val="continue"/>
            <w:tcBorders>
              <w:tl2br w:val="nil"/>
              <w:tr2bl w:val="nil"/>
            </w:tcBorders>
            <w:noWrap/>
            <w:vAlign w:val="center"/>
          </w:tcPr>
          <w:p w14:paraId="5298B070">
            <w:pPr>
              <w:widowControl/>
              <w:adjustRightInd w:val="0"/>
              <w:snapToGrid w:val="0"/>
              <w:spacing w:line="400" w:lineRule="exact"/>
              <w:jc w:val="center"/>
              <w:rPr>
                <w:color w:val="auto"/>
              </w:rPr>
            </w:pPr>
          </w:p>
        </w:tc>
        <w:tc>
          <w:tcPr>
            <w:tcW w:w="576" w:type="pct"/>
            <w:tcBorders>
              <w:tl2br w:val="nil"/>
              <w:tr2bl w:val="nil"/>
            </w:tcBorders>
            <w:shd w:val="clear" w:color="auto" w:fill="auto"/>
            <w:noWrap/>
            <w:vAlign w:val="center"/>
          </w:tcPr>
          <w:p w14:paraId="5274D73D">
            <w:pPr>
              <w:widowControl/>
              <w:adjustRightInd w:val="0"/>
              <w:snapToGrid w:val="0"/>
              <w:spacing w:line="360" w:lineRule="atLeast"/>
              <w:jc w:val="center"/>
              <w:rPr>
                <w:color w:val="auto"/>
              </w:rPr>
            </w:pPr>
            <w:r>
              <w:rPr>
                <w:rFonts w:hint="eastAsia"/>
                <w:color w:val="auto"/>
              </w:rPr>
              <w:t>服务保证措施2.2.4（</w:t>
            </w:r>
            <w:r>
              <w:rPr>
                <w:rFonts w:hint="eastAsia"/>
                <w:color w:val="auto"/>
                <w:lang w:val="en-US" w:eastAsia="zh-CN"/>
              </w:rPr>
              <w:t>6</w:t>
            </w:r>
            <w:r>
              <w:rPr>
                <w:rFonts w:hint="eastAsia"/>
                <w:color w:val="auto"/>
              </w:rPr>
              <w:t>）</w:t>
            </w:r>
          </w:p>
        </w:tc>
        <w:tc>
          <w:tcPr>
            <w:tcW w:w="402" w:type="pct"/>
            <w:tcBorders>
              <w:tl2br w:val="nil"/>
              <w:tr2bl w:val="nil"/>
            </w:tcBorders>
            <w:shd w:val="clear" w:color="auto" w:fill="auto"/>
            <w:noWrap/>
            <w:vAlign w:val="center"/>
          </w:tcPr>
          <w:p w14:paraId="09A9AB5B">
            <w:pPr>
              <w:pStyle w:val="19"/>
              <w:spacing w:after="0" w:line="360" w:lineRule="atLeast"/>
              <w:ind w:left="0" w:leftChars="0" w:firstLine="0" w:firstLineChars="0"/>
              <w:rPr>
                <w:color w:val="auto"/>
              </w:rPr>
            </w:pPr>
            <w:r>
              <w:rPr>
                <w:rFonts w:hint="eastAsia"/>
                <w:color w:val="auto"/>
              </w:rPr>
              <w:t>1</w:t>
            </w:r>
            <w:r>
              <w:rPr>
                <w:rFonts w:hint="eastAsia"/>
                <w:color w:val="auto"/>
                <w:lang w:val="en-US" w:eastAsia="zh-CN"/>
              </w:rPr>
              <w:t>0</w:t>
            </w:r>
            <w:r>
              <w:rPr>
                <w:rFonts w:hint="eastAsia"/>
                <w:color w:val="auto"/>
              </w:rPr>
              <w:t>分</w:t>
            </w:r>
          </w:p>
        </w:tc>
        <w:tc>
          <w:tcPr>
            <w:tcW w:w="2987" w:type="pct"/>
            <w:tcBorders>
              <w:tl2br w:val="nil"/>
              <w:tr2bl w:val="nil"/>
            </w:tcBorders>
            <w:shd w:val="clear" w:color="auto" w:fill="auto"/>
            <w:noWrap/>
            <w:vAlign w:val="center"/>
          </w:tcPr>
          <w:p w14:paraId="07256D2C">
            <w:pPr>
              <w:pStyle w:val="19"/>
              <w:spacing w:after="0" w:line="360" w:lineRule="atLeast"/>
              <w:ind w:left="0" w:leftChars="0" w:firstLine="0" w:firstLineChars="0"/>
              <w:rPr>
                <w:rFonts w:hint="eastAsia" w:eastAsiaTheme="minorEastAsia"/>
                <w:color w:val="auto"/>
                <w:lang w:eastAsia="zh-CN"/>
              </w:rPr>
            </w:pPr>
            <w:r>
              <w:rPr>
                <w:color w:val="auto"/>
              </w:rPr>
              <w:t>根据投</w:t>
            </w:r>
            <w:r>
              <w:rPr>
                <w:rFonts w:hint="eastAsia"/>
                <w:color w:val="auto"/>
                <w:lang w:val="en-US" w:eastAsia="zh-CN"/>
              </w:rPr>
              <w:t>服务单位</w:t>
            </w:r>
            <w:r>
              <w:rPr>
                <w:color w:val="auto"/>
              </w:rPr>
              <w:t>提供的关于设备安全、服务及时性、证书时效性、证书有效性、 参数符合性等方面的质量保障措施进行综合评价</w:t>
            </w:r>
            <w:r>
              <w:rPr>
                <w:rFonts w:hint="eastAsia"/>
                <w:color w:val="auto"/>
                <w:lang w:eastAsia="zh-CN"/>
              </w:rPr>
              <w:t>：</w:t>
            </w:r>
          </w:p>
          <w:p w14:paraId="3A799460">
            <w:pPr>
              <w:pStyle w:val="19"/>
              <w:numPr>
                <w:ilvl w:val="0"/>
                <w:numId w:val="6"/>
              </w:numPr>
              <w:spacing w:after="0" w:line="360" w:lineRule="atLeast"/>
              <w:ind w:left="0" w:leftChars="0" w:firstLine="0" w:firstLineChars="0"/>
              <w:rPr>
                <w:color w:val="auto"/>
              </w:rPr>
            </w:pPr>
            <w:r>
              <w:rPr>
                <w:rFonts w:hint="eastAsia"/>
                <w:color w:val="auto"/>
              </w:rPr>
              <w:t>保证措施细致且操作性强，内容完善，得</w:t>
            </w:r>
            <w:r>
              <w:rPr>
                <w:rFonts w:hint="eastAsia"/>
                <w:color w:val="auto"/>
                <w:lang w:val="en-US" w:eastAsia="zh-CN"/>
              </w:rPr>
              <w:t>9-10</w:t>
            </w:r>
            <w:r>
              <w:rPr>
                <w:rFonts w:hint="eastAsia"/>
                <w:color w:val="auto"/>
              </w:rPr>
              <w:t>分</w:t>
            </w:r>
            <w:r>
              <w:rPr>
                <w:rFonts w:hint="eastAsia"/>
                <w:color w:val="auto"/>
                <w:lang w:eastAsia="zh-CN"/>
              </w:rPr>
              <w:t>；</w:t>
            </w:r>
          </w:p>
          <w:p w14:paraId="6212A9B3">
            <w:pPr>
              <w:pStyle w:val="19"/>
              <w:numPr>
                <w:ilvl w:val="0"/>
                <w:numId w:val="6"/>
              </w:numPr>
              <w:spacing w:after="0" w:line="360" w:lineRule="atLeast"/>
              <w:ind w:left="0" w:leftChars="0" w:firstLine="0" w:firstLineChars="0"/>
              <w:rPr>
                <w:color w:val="auto"/>
              </w:rPr>
            </w:pPr>
            <w:r>
              <w:rPr>
                <w:rFonts w:hint="eastAsia"/>
                <w:color w:val="auto"/>
              </w:rPr>
              <w:t>保证措施较好且操作性较好，内容</w:t>
            </w:r>
            <w:r>
              <w:rPr>
                <w:rFonts w:hint="eastAsia"/>
                <w:color w:val="auto"/>
                <w:lang w:val="en-US" w:eastAsia="zh-CN"/>
              </w:rPr>
              <w:t>较</w:t>
            </w:r>
            <w:r>
              <w:rPr>
                <w:rFonts w:hint="eastAsia"/>
                <w:color w:val="auto"/>
              </w:rPr>
              <w:t>完善，得</w:t>
            </w:r>
            <w:r>
              <w:rPr>
                <w:rFonts w:hint="eastAsia"/>
                <w:color w:val="auto"/>
                <w:lang w:val="en-US" w:eastAsia="zh-CN"/>
              </w:rPr>
              <w:t>7-8</w:t>
            </w:r>
            <w:r>
              <w:rPr>
                <w:rFonts w:hint="eastAsia"/>
                <w:color w:val="auto"/>
              </w:rPr>
              <w:t>分</w:t>
            </w:r>
            <w:r>
              <w:rPr>
                <w:rFonts w:hint="eastAsia"/>
                <w:color w:val="auto"/>
                <w:lang w:eastAsia="zh-CN"/>
              </w:rPr>
              <w:t>；</w:t>
            </w:r>
          </w:p>
          <w:p w14:paraId="236F6769">
            <w:pPr>
              <w:pStyle w:val="19"/>
              <w:numPr>
                <w:ilvl w:val="0"/>
                <w:numId w:val="6"/>
              </w:numPr>
              <w:spacing w:after="0" w:line="360" w:lineRule="atLeast"/>
              <w:ind w:left="0" w:leftChars="0" w:firstLine="0" w:firstLineChars="0"/>
              <w:rPr>
                <w:color w:val="auto"/>
              </w:rPr>
            </w:pPr>
            <w:r>
              <w:rPr>
                <w:rFonts w:hint="eastAsia"/>
                <w:color w:val="auto"/>
              </w:rPr>
              <w:t>保证措施一般且操作性一般，得</w:t>
            </w:r>
            <w:r>
              <w:rPr>
                <w:rFonts w:hint="eastAsia"/>
                <w:color w:val="auto"/>
                <w:lang w:val="en-US" w:eastAsia="zh-CN"/>
              </w:rPr>
              <w:t>基本分6分</w:t>
            </w:r>
            <w:r>
              <w:rPr>
                <w:rFonts w:hint="eastAsia"/>
                <w:color w:val="auto"/>
                <w:lang w:eastAsia="zh-CN"/>
              </w:rPr>
              <w:t>；</w:t>
            </w:r>
          </w:p>
          <w:p w14:paraId="26B0D5A8">
            <w:pPr>
              <w:pStyle w:val="19"/>
              <w:numPr>
                <w:ilvl w:val="0"/>
                <w:numId w:val="6"/>
              </w:numPr>
              <w:spacing w:after="0" w:line="360" w:lineRule="atLeast"/>
              <w:ind w:left="0" w:leftChars="0" w:firstLine="0" w:firstLineChars="0"/>
              <w:rPr>
                <w:color w:val="auto"/>
              </w:rPr>
            </w:pPr>
            <w:r>
              <w:rPr>
                <w:rFonts w:hint="eastAsia"/>
                <w:color w:val="auto"/>
                <w:lang w:val="en-US" w:eastAsia="zh-CN"/>
              </w:rPr>
              <w:t>未提供本项目不得分。</w:t>
            </w:r>
          </w:p>
        </w:tc>
      </w:tr>
      <w:tr w14:paraId="4B654A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84" w:hRule="atLeast"/>
        </w:trPr>
        <w:tc>
          <w:tcPr>
            <w:tcW w:w="350" w:type="pct"/>
            <w:vMerge w:val="continue"/>
            <w:tcBorders>
              <w:tl2br w:val="nil"/>
              <w:tr2bl w:val="nil"/>
            </w:tcBorders>
            <w:noWrap/>
            <w:vAlign w:val="center"/>
          </w:tcPr>
          <w:p w14:paraId="47B9D974">
            <w:pPr>
              <w:widowControl/>
              <w:adjustRightInd w:val="0"/>
              <w:snapToGrid w:val="0"/>
              <w:spacing w:line="400" w:lineRule="exact"/>
              <w:jc w:val="center"/>
              <w:rPr>
                <w:color w:val="auto"/>
              </w:rPr>
            </w:pPr>
          </w:p>
        </w:tc>
        <w:tc>
          <w:tcPr>
            <w:tcW w:w="322" w:type="pct"/>
            <w:vMerge w:val="continue"/>
            <w:tcBorders>
              <w:tl2br w:val="nil"/>
              <w:tr2bl w:val="nil"/>
            </w:tcBorders>
            <w:noWrap/>
            <w:vAlign w:val="center"/>
          </w:tcPr>
          <w:p w14:paraId="2CF9BB88">
            <w:pPr>
              <w:widowControl/>
              <w:adjustRightInd w:val="0"/>
              <w:snapToGrid w:val="0"/>
              <w:spacing w:line="400" w:lineRule="exact"/>
              <w:jc w:val="center"/>
              <w:rPr>
                <w:color w:val="auto"/>
              </w:rPr>
            </w:pPr>
          </w:p>
        </w:tc>
        <w:tc>
          <w:tcPr>
            <w:tcW w:w="360" w:type="pct"/>
            <w:vMerge w:val="continue"/>
            <w:tcBorders>
              <w:tl2br w:val="nil"/>
              <w:tr2bl w:val="nil"/>
            </w:tcBorders>
            <w:noWrap/>
            <w:vAlign w:val="center"/>
          </w:tcPr>
          <w:p w14:paraId="37C63525">
            <w:pPr>
              <w:widowControl/>
              <w:adjustRightInd w:val="0"/>
              <w:snapToGrid w:val="0"/>
              <w:spacing w:line="400" w:lineRule="exact"/>
              <w:jc w:val="center"/>
              <w:rPr>
                <w:color w:val="auto"/>
              </w:rPr>
            </w:pPr>
          </w:p>
        </w:tc>
        <w:tc>
          <w:tcPr>
            <w:tcW w:w="576" w:type="pct"/>
            <w:tcBorders>
              <w:tl2br w:val="nil"/>
              <w:tr2bl w:val="nil"/>
            </w:tcBorders>
            <w:noWrap/>
            <w:vAlign w:val="center"/>
          </w:tcPr>
          <w:p w14:paraId="6FD94B4B">
            <w:pPr>
              <w:widowControl/>
              <w:adjustRightInd w:val="0"/>
              <w:snapToGrid w:val="0"/>
              <w:spacing w:line="360" w:lineRule="atLeast"/>
              <w:jc w:val="center"/>
              <w:rPr>
                <w:color w:val="auto"/>
              </w:rPr>
            </w:pPr>
            <w:r>
              <w:rPr>
                <w:rFonts w:hint="eastAsia"/>
                <w:color w:val="auto"/>
              </w:rPr>
              <w:t>重难点分析及合理化建议2.2.4（</w:t>
            </w:r>
            <w:r>
              <w:rPr>
                <w:rFonts w:hint="eastAsia"/>
                <w:color w:val="auto"/>
                <w:lang w:val="en-US" w:eastAsia="zh-CN"/>
              </w:rPr>
              <w:t>7</w:t>
            </w:r>
            <w:r>
              <w:rPr>
                <w:rFonts w:hint="eastAsia"/>
                <w:color w:val="auto"/>
              </w:rPr>
              <w:t>）</w:t>
            </w:r>
          </w:p>
        </w:tc>
        <w:tc>
          <w:tcPr>
            <w:tcW w:w="402" w:type="pct"/>
            <w:tcBorders>
              <w:tl2br w:val="nil"/>
              <w:tr2bl w:val="nil"/>
            </w:tcBorders>
            <w:noWrap/>
            <w:vAlign w:val="center"/>
          </w:tcPr>
          <w:p w14:paraId="3711A5F7">
            <w:pPr>
              <w:pStyle w:val="19"/>
              <w:spacing w:after="0" w:line="360" w:lineRule="atLeast"/>
              <w:ind w:left="0" w:leftChars="0" w:firstLine="0" w:firstLineChars="0"/>
              <w:rPr>
                <w:color w:val="auto"/>
              </w:rPr>
            </w:pPr>
            <w:r>
              <w:rPr>
                <w:rFonts w:hint="eastAsia"/>
                <w:color w:val="auto"/>
              </w:rPr>
              <w:t>1</w:t>
            </w:r>
            <w:r>
              <w:rPr>
                <w:rFonts w:hint="eastAsia"/>
                <w:color w:val="auto"/>
                <w:lang w:val="en-US" w:eastAsia="zh-CN"/>
              </w:rPr>
              <w:t>0</w:t>
            </w:r>
            <w:r>
              <w:rPr>
                <w:rFonts w:hint="eastAsia"/>
                <w:color w:val="auto"/>
              </w:rPr>
              <w:t>分</w:t>
            </w:r>
          </w:p>
        </w:tc>
        <w:tc>
          <w:tcPr>
            <w:tcW w:w="2987" w:type="pct"/>
            <w:tcBorders>
              <w:tl2br w:val="nil"/>
              <w:tr2bl w:val="nil"/>
            </w:tcBorders>
            <w:noWrap/>
            <w:vAlign w:val="center"/>
          </w:tcPr>
          <w:p w14:paraId="7698ED1A">
            <w:pPr>
              <w:pStyle w:val="19"/>
              <w:spacing w:after="0" w:line="360" w:lineRule="atLeast"/>
              <w:ind w:left="0" w:leftChars="0" w:firstLine="0" w:firstLineChars="0"/>
              <w:rPr>
                <w:rFonts w:hint="eastAsia" w:eastAsiaTheme="minorEastAsia"/>
                <w:color w:val="auto"/>
                <w:lang w:eastAsia="zh-CN"/>
              </w:rPr>
            </w:pPr>
            <w:r>
              <w:rPr>
                <w:color w:val="auto"/>
              </w:rPr>
              <w:t>根据</w:t>
            </w:r>
            <w:r>
              <w:rPr>
                <w:rFonts w:hint="eastAsia"/>
                <w:color w:val="auto"/>
                <w:lang w:val="en-US" w:eastAsia="zh-CN"/>
              </w:rPr>
              <w:t>服务单位</w:t>
            </w:r>
            <w:r>
              <w:rPr>
                <w:color w:val="auto"/>
              </w:rPr>
              <w:t>提供的针对本次</w:t>
            </w:r>
            <w:r>
              <w:rPr>
                <w:rFonts w:hint="eastAsia"/>
                <w:color w:val="auto"/>
              </w:rPr>
              <w:t>检定校准</w:t>
            </w:r>
            <w:r>
              <w:rPr>
                <w:color w:val="auto"/>
              </w:rPr>
              <w:t>服务项目重难点分析的科学性、全面性、合理性、针对性等进行综合评价</w:t>
            </w:r>
            <w:r>
              <w:rPr>
                <w:rFonts w:hint="eastAsia"/>
                <w:color w:val="auto"/>
                <w:lang w:eastAsia="zh-CN"/>
              </w:rPr>
              <w:t>：</w:t>
            </w:r>
          </w:p>
          <w:p w14:paraId="45B5CCC2">
            <w:pPr>
              <w:pStyle w:val="19"/>
              <w:numPr>
                <w:ilvl w:val="0"/>
                <w:numId w:val="0"/>
              </w:numPr>
              <w:spacing w:after="0" w:line="360" w:lineRule="atLeast"/>
              <w:ind w:leftChars="0"/>
              <w:rPr>
                <w:color w:val="auto"/>
              </w:rPr>
            </w:pPr>
            <w:r>
              <w:rPr>
                <w:rFonts w:hint="eastAsia"/>
                <w:color w:val="auto"/>
                <w:lang w:val="en-US" w:eastAsia="zh-CN"/>
              </w:rPr>
              <w:t>1、</w:t>
            </w:r>
            <w:r>
              <w:rPr>
                <w:rFonts w:hint="eastAsia"/>
                <w:color w:val="auto"/>
              </w:rPr>
              <w:t>分析合理且操作性强，建议内容完善，得</w:t>
            </w:r>
            <w:r>
              <w:rPr>
                <w:rFonts w:hint="eastAsia"/>
                <w:color w:val="auto"/>
                <w:lang w:val="en-US" w:eastAsia="zh-CN"/>
              </w:rPr>
              <w:t>9-10</w:t>
            </w:r>
            <w:r>
              <w:rPr>
                <w:rFonts w:hint="eastAsia"/>
                <w:color w:val="auto"/>
              </w:rPr>
              <w:t>分</w:t>
            </w:r>
            <w:r>
              <w:rPr>
                <w:rFonts w:hint="eastAsia"/>
                <w:color w:val="auto"/>
                <w:lang w:eastAsia="zh-CN"/>
              </w:rPr>
              <w:t>；</w:t>
            </w:r>
          </w:p>
          <w:p w14:paraId="42CDC609">
            <w:pPr>
              <w:pStyle w:val="19"/>
              <w:numPr>
                <w:ilvl w:val="0"/>
                <w:numId w:val="0"/>
              </w:numPr>
              <w:spacing w:after="0" w:line="360" w:lineRule="atLeast"/>
              <w:ind w:leftChars="0"/>
              <w:rPr>
                <w:color w:val="auto"/>
              </w:rPr>
            </w:pPr>
            <w:r>
              <w:rPr>
                <w:rFonts w:hint="eastAsia"/>
                <w:color w:val="auto"/>
                <w:lang w:val="en-US" w:eastAsia="zh-CN"/>
              </w:rPr>
              <w:t>2、</w:t>
            </w:r>
            <w:r>
              <w:rPr>
                <w:rFonts w:hint="eastAsia"/>
                <w:color w:val="auto"/>
              </w:rPr>
              <w:t>分析较好且操作性较好，建议内容较</w:t>
            </w:r>
            <w:r>
              <w:rPr>
                <w:rFonts w:hint="eastAsia"/>
                <w:color w:val="auto"/>
                <w:lang w:val="en-US" w:eastAsia="zh-CN"/>
              </w:rPr>
              <w:t>完善</w:t>
            </w:r>
            <w:r>
              <w:rPr>
                <w:rFonts w:hint="eastAsia"/>
                <w:color w:val="auto"/>
              </w:rPr>
              <w:t>，得</w:t>
            </w:r>
            <w:r>
              <w:rPr>
                <w:rFonts w:hint="eastAsia"/>
                <w:color w:val="auto"/>
                <w:lang w:val="en-US" w:eastAsia="zh-CN"/>
              </w:rPr>
              <w:t>7-8</w:t>
            </w:r>
            <w:r>
              <w:rPr>
                <w:rFonts w:hint="eastAsia"/>
                <w:color w:val="auto"/>
              </w:rPr>
              <w:t>分</w:t>
            </w:r>
            <w:r>
              <w:rPr>
                <w:rFonts w:hint="eastAsia"/>
                <w:color w:val="auto"/>
                <w:lang w:eastAsia="zh-CN"/>
              </w:rPr>
              <w:t>；</w:t>
            </w:r>
          </w:p>
          <w:p w14:paraId="33A9D5AD">
            <w:pPr>
              <w:pStyle w:val="19"/>
              <w:numPr>
                <w:ilvl w:val="0"/>
                <w:numId w:val="0"/>
              </w:numPr>
              <w:spacing w:after="0" w:line="360" w:lineRule="atLeast"/>
              <w:ind w:leftChars="0"/>
              <w:rPr>
                <w:color w:val="auto"/>
              </w:rPr>
            </w:pPr>
            <w:r>
              <w:rPr>
                <w:rFonts w:hint="eastAsia"/>
                <w:color w:val="auto"/>
                <w:lang w:val="en-US" w:eastAsia="zh-CN"/>
              </w:rPr>
              <w:t>3、</w:t>
            </w:r>
            <w:r>
              <w:rPr>
                <w:rFonts w:hint="eastAsia"/>
                <w:color w:val="auto"/>
              </w:rPr>
              <w:t>分析一般且操作性一般，</w:t>
            </w:r>
            <w:r>
              <w:rPr>
                <w:rFonts w:hint="eastAsia"/>
                <w:color w:val="auto"/>
                <w:lang w:val="en-US" w:eastAsia="zh-CN"/>
              </w:rPr>
              <w:t>建议</w:t>
            </w:r>
            <w:r>
              <w:rPr>
                <w:rFonts w:hint="eastAsia"/>
                <w:color w:val="auto"/>
              </w:rPr>
              <w:t>内容一般，得</w:t>
            </w:r>
            <w:r>
              <w:rPr>
                <w:rFonts w:hint="eastAsia"/>
                <w:color w:val="auto"/>
                <w:lang w:val="en-US" w:eastAsia="zh-CN"/>
              </w:rPr>
              <w:t>基本分6</w:t>
            </w:r>
            <w:r>
              <w:rPr>
                <w:rFonts w:hint="eastAsia"/>
                <w:color w:val="auto"/>
              </w:rPr>
              <w:t>分</w:t>
            </w:r>
            <w:r>
              <w:rPr>
                <w:rFonts w:hint="eastAsia"/>
                <w:color w:val="auto"/>
                <w:lang w:eastAsia="zh-CN"/>
              </w:rPr>
              <w:t>；</w:t>
            </w:r>
          </w:p>
          <w:p w14:paraId="22BECC93">
            <w:pPr>
              <w:pStyle w:val="19"/>
              <w:spacing w:after="0" w:line="360" w:lineRule="atLeast"/>
              <w:ind w:left="0" w:leftChars="0" w:firstLine="0" w:firstLineChars="0"/>
              <w:rPr>
                <w:color w:val="auto"/>
              </w:rPr>
            </w:pPr>
            <w:r>
              <w:rPr>
                <w:rFonts w:hint="eastAsia"/>
                <w:color w:val="auto"/>
                <w:lang w:val="en-US" w:eastAsia="zh-CN"/>
              </w:rPr>
              <w:t>4、未提供本项目不得分</w:t>
            </w:r>
            <w:r>
              <w:rPr>
                <w:rFonts w:hint="eastAsia"/>
                <w:color w:val="auto"/>
              </w:rPr>
              <w:t>。</w:t>
            </w:r>
          </w:p>
        </w:tc>
      </w:tr>
      <w:tr w14:paraId="0F7CCB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91" w:hRule="atLeast"/>
        </w:trPr>
        <w:tc>
          <w:tcPr>
            <w:tcW w:w="350" w:type="pct"/>
            <w:tcBorders>
              <w:tl2br w:val="nil"/>
              <w:tr2bl w:val="nil"/>
            </w:tcBorders>
            <w:noWrap/>
            <w:vAlign w:val="center"/>
          </w:tcPr>
          <w:p w14:paraId="53765248">
            <w:pPr>
              <w:widowControl/>
              <w:adjustRightInd w:val="0"/>
              <w:snapToGrid w:val="0"/>
              <w:spacing w:line="400" w:lineRule="exact"/>
              <w:jc w:val="center"/>
              <w:rPr>
                <w:color w:val="auto"/>
              </w:rPr>
            </w:pPr>
          </w:p>
        </w:tc>
        <w:tc>
          <w:tcPr>
            <w:tcW w:w="322" w:type="pct"/>
            <w:tcBorders>
              <w:tl2br w:val="nil"/>
              <w:tr2bl w:val="nil"/>
            </w:tcBorders>
            <w:noWrap/>
            <w:vAlign w:val="center"/>
          </w:tcPr>
          <w:p w14:paraId="3ECD1C7F">
            <w:pPr>
              <w:widowControl/>
              <w:adjustRightInd w:val="0"/>
              <w:snapToGrid w:val="0"/>
              <w:spacing w:line="400" w:lineRule="exact"/>
              <w:jc w:val="center"/>
              <w:rPr>
                <w:color w:val="auto"/>
              </w:rPr>
            </w:pPr>
          </w:p>
        </w:tc>
        <w:tc>
          <w:tcPr>
            <w:tcW w:w="360" w:type="pct"/>
            <w:tcBorders>
              <w:tl2br w:val="nil"/>
              <w:tr2bl w:val="nil"/>
            </w:tcBorders>
            <w:noWrap/>
            <w:vAlign w:val="center"/>
          </w:tcPr>
          <w:p w14:paraId="4F1CE2B9">
            <w:pPr>
              <w:widowControl/>
              <w:adjustRightInd w:val="0"/>
              <w:snapToGrid w:val="0"/>
              <w:spacing w:line="400" w:lineRule="exact"/>
              <w:jc w:val="center"/>
              <w:rPr>
                <w:color w:val="auto"/>
              </w:rPr>
            </w:pPr>
          </w:p>
        </w:tc>
        <w:tc>
          <w:tcPr>
            <w:tcW w:w="576" w:type="pct"/>
            <w:tcBorders>
              <w:tl2br w:val="nil"/>
              <w:tr2bl w:val="nil"/>
            </w:tcBorders>
            <w:noWrap/>
            <w:vAlign w:val="center"/>
          </w:tcPr>
          <w:p w14:paraId="2B4ECA61">
            <w:pPr>
              <w:widowControl/>
              <w:adjustRightInd w:val="0"/>
              <w:snapToGrid w:val="0"/>
              <w:spacing w:line="360" w:lineRule="atLeast"/>
              <w:jc w:val="center"/>
              <w:rPr>
                <w:rFonts w:hint="eastAsia"/>
                <w:color w:val="auto"/>
              </w:rPr>
            </w:pPr>
            <w:r>
              <w:rPr>
                <w:rFonts w:hint="eastAsia" w:ascii="Times New Roman" w:eastAsia="宋体"/>
                <w:color w:val="auto"/>
                <w:lang w:val="en-US" w:eastAsia="zh-CN"/>
              </w:rPr>
              <w:t>增值服务</w:t>
            </w:r>
            <w:r>
              <w:rPr>
                <w:rFonts w:hint="eastAsia"/>
                <w:color w:val="auto"/>
              </w:rPr>
              <w:t>2.2.4（</w:t>
            </w:r>
            <w:r>
              <w:rPr>
                <w:rFonts w:hint="eastAsia" w:ascii="Times New Roman" w:eastAsia="宋体"/>
                <w:color w:val="auto"/>
                <w:lang w:val="en-US" w:eastAsia="zh-CN"/>
              </w:rPr>
              <w:t>8</w:t>
            </w:r>
            <w:r>
              <w:rPr>
                <w:rFonts w:hint="eastAsia"/>
                <w:color w:val="auto"/>
              </w:rPr>
              <w:t>）</w:t>
            </w:r>
          </w:p>
        </w:tc>
        <w:tc>
          <w:tcPr>
            <w:tcW w:w="402" w:type="pct"/>
            <w:tcBorders>
              <w:tl2br w:val="nil"/>
              <w:tr2bl w:val="nil"/>
            </w:tcBorders>
            <w:noWrap/>
            <w:vAlign w:val="center"/>
          </w:tcPr>
          <w:p w14:paraId="5A483D25">
            <w:pPr>
              <w:pStyle w:val="19"/>
              <w:spacing w:after="0" w:line="360" w:lineRule="atLeast"/>
              <w:ind w:left="0" w:leftChars="0" w:firstLine="0" w:firstLineChars="0"/>
              <w:rPr>
                <w:rFonts w:hint="eastAsia"/>
                <w:color w:val="auto"/>
              </w:rPr>
            </w:pPr>
            <w:r>
              <w:rPr>
                <w:rFonts w:hint="eastAsia"/>
                <w:color w:val="auto"/>
              </w:rPr>
              <w:t>1</w:t>
            </w:r>
            <w:r>
              <w:rPr>
                <w:rFonts w:hint="eastAsia" w:ascii="Times New Roman" w:eastAsia="宋体"/>
                <w:color w:val="auto"/>
                <w:lang w:val="en-US" w:eastAsia="zh-CN"/>
              </w:rPr>
              <w:t>0</w:t>
            </w:r>
            <w:r>
              <w:rPr>
                <w:rFonts w:hint="eastAsia"/>
                <w:color w:val="auto"/>
              </w:rPr>
              <w:t>分</w:t>
            </w:r>
          </w:p>
        </w:tc>
        <w:tc>
          <w:tcPr>
            <w:tcW w:w="2987" w:type="pct"/>
            <w:tcBorders>
              <w:tl2br w:val="nil"/>
              <w:tr2bl w:val="nil"/>
            </w:tcBorders>
            <w:noWrap/>
            <w:vAlign w:val="center"/>
          </w:tcPr>
          <w:p w14:paraId="67BDC460">
            <w:pPr>
              <w:pStyle w:val="19"/>
              <w:numPr>
                <w:ilvl w:val="0"/>
                <w:numId w:val="0"/>
              </w:numPr>
              <w:spacing w:after="0" w:line="360" w:lineRule="atLeast"/>
              <w:ind w:leftChars="0"/>
              <w:rPr>
                <w:rFonts w:hint="eastAsia"/>
                <w:color w:val="auto"/>
                <w:lang w:val="en-US" w:eastAsia="zh-CN"/>
              </w:rPr>
            </w:pPr>
            <w:r>
              <w:rPr>
                <w:rFonts w:hint="eastAsia"/>
                <w:color w:val="auto"/>
                <w:lang w:val="en-US" w:eastAsia="zh-CN"/>
              </w:rPr>
              <w:t>根据服务单位提供的增值服务计划，包括但不限于计量知识培训、证书确认培训、设备维修保养培训等相关服务进行综合评价：</w:t>
            </w:r>
          </w:p>
          <w:p w14:paraId="7454A6EF">
            <w:pPr>
              <w:pStyle w:val="19"/>
              <w:numPr>
                <w:ilvl w:val="0"/>
                <w:numId w:val="0"/>
              </w:numPr>
              <w:spacing w:after="0" w:line="360" w:lineRule="atLeast"/>
              <w:ind w:leftChars="0"/>
              <w:rPr>
                <w:rFonts w:hint="eastAsia"/>
                <w:color w:val="auto"/>
                <w:lang w:val="en-US" w:eastAsia="zh-CN"/>
              </w:rPr>
            </w:pPr>
            <w:r>
              <w:rPr>
                <w:rFonts w:hint="eastAsia"/>
                <w:color w:val="auto"/>
                <w:lang w:val="en-US" w:eastAsia="zh-CN"/>
              </w:rPr>
              <w:t>1、增值服务科学合理、有针对性，得9-10分；</w:t>
            </w:r>
          </w:p>
          <w:p w14:paraId="5F5B75C2">
            <w:pPr>
              <w:pStyle w:val="19"/>
              <w:numPr>
                <w:ilvl w:val="0"/>
                <w:numId w:val="0"/>
              </w:numPr>
              <w:spacing w:after="0" w:line="360" w:lineRule="atLeast"/>
              <w:ind w:leftChars="0"/>
              <w:rPr>
                <w:rFonts w:hint="eastAsia"/>
                <w:color w:val="auto"/>
                <w:lang w:val="en-US" w:eastAsia="zh-CN"/>
              </w:rPr>
            </w:pPr>
            <w:r>
              <w:rPr>
                <w:rFonts w:hint="eastAsia"/>
                <w:color w:val="auto"/>
                <w:lang w:val="en-US" w:eastAsia="zh-CN"/>
              </w:rPr>
              <w:t>2、增值服务较科学合理、较有针对性，得7-8分；</w:t>
            </w:r>
          </w:p>
          <w:p w14:paraId="03C15483">
            <w:pPr>
              <w:pStyle w:val="19"/>
              <w:numPr>
                <w:ilvl w:val="0"/>
                <w:numId w:val="0"/>
              </w:numPr>
              <w:spacing w:after="0" w:line="360" w:lineRule="atLeast"/>
              <w:ind w:leftChars="0"/>
              <w:rPr>
                <w:rFonts w:hint="eastAsia"/>
                <w:color w:val="auto"/>
                <w:lang w:val="en-US" w:eastAsia="zh-CN"/>
              </w:rPr>
            </w:pPr>
            <w:r>
              <w:rPr>
                <w:rFonts w:hint="eastAsia"/>
                <w:color w:val="auto"/>
                <w:lang w:val="en-US" w:eastAsia="zh-CN"/>
              </w:rPr>
              <w:t>3、增值服务一般，得基本分6分；</w:t>
            </w:r>
          </w:p>
          <w:p w14:paraId="2C3FFB43">
            <w:pPr>
              <w:pStyle w:val="19"/>
              <w:numPr>
                <w:ilvl w:val="0"/>
                <w:numId w:val="0"/>
              </w:numPr>
              <w:spacing w:after="0" w:line="360" w:lineRule="atLeast"/>
              <w:ind w:left="0" w:leftChars="0" w:firstLine="0" w:firstLineChars="0"/>
              <w:rPr>
                <w:color w:val="auto"/>
              </w:rPr>
            </w:pPr>
            <w:r>
              <w:rPr>
                <w:rFonts w:hint="eastAsia"/>
                <w:color w:val="auto"/>
                <w:lang w:val="en-US" w:eastAsia="zh-CN"/>
              </w:rPr>
              <w:t>4、未提供本项目不得分</w:t>
            </w:r>
            <w:r>
              <w:rPr>
                <w:rFonts w:hint="eastAsia"/>
                <w:color w:val="auto"/>
              </w:rPr>
              <w:t>。</w:t>
            </w:r>
          </w:p>
        </w:tc>
      </w:tr>
      <w:tr w14:paraId="5F0E06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trPr>
        <w:tc>
          <w:tcPr>
            <w:tcW w:w="350" w:type="pct"/>
            <w:vMerge w:val="restart"/>
            <w:tcBorders>
              <w:tl2br w:val="nil"/>
              <w:tr2bl w:val="nil"/>
            </w:tcBorders>
            <w:noWrap/>
            <w:vAlign w:val="center"/>
          </w:tcPr>
          <w:p w14:paraId="0933D27A">
            <w:pPr>
              <w:widowControl/>
              <w:adjustRightInd w:val="0"/>
              <w:snapToGrid w:val="0"/>
              <w:spacing w:line="400" w:lineRule="exact"/>
              <w:jc w:val="center"/>
              <w:rPr>
                <w:color w:val="auto"/>
              </w:rPr>
            </w:pPr>
            <w:r>
              <w:rPr>
                <w:rFonts w:hint="eastAsia"/>
                <w:color w:val="auto"/>
              </w:rPr>
              <w:t>2.2.4</w:t>
            </w:r>
          </w:p>
        </w:tc>
        <w:tc>
          <w:tcPr>
            <w:tcW w:w="322" w:type="pct"/>
            <w:vMerge w:val="restart"/>
            <w:tcBorders>
              <w:tl2br w:val="nil"/>
              <w:tr2bl w:val="nil"/>
            </w:tcBorders>
            <w:noWrap/>
            <w:vAlign w:val="center"/>
          </w:tcPr>
          <w:p w14:paraId="70BF3F22">
            <w:pPr>
              <w:widowControl/>
              <w:adjustRightInd w:val="0"/>
              <w:snapToGrid w:val="0"/>
              <w:spacing w:line="400" w:lineRule="exact"/>
              <w:jc w:val="center"/>
              <w:rPr>
                <w:color w:val="auto"/>
              </w:rPr>
            </w:pPr>
            <w:r>
              <w:rPr>
                <w:rFonts w:hint="eastAsia"/>
                <w:color w:val="auto"/>
              </w:rPr>
              <w:t>评审价</w:t>
            </w:r>
          </w:p>
          <w:p w14:paraId="441238AD">
            <w:pPr>
              <w:pStyle w:val="19"/>
              <w:spacing w:after="0" w:line="400" w:lineRule="exact"/>
              <w:ind w:left="0" w:leftChars="0" w:firstLine="0" w:firstLineChars="0"/>
              <w:jc w:val="center"/>
              <w:rPr>
                <w:color w:val="auto"/>
              </w:rPr>
            </w:pPr>
          </w:p>
        </w:tc>
        <w:tc>
          <w:tcPr>
            <w:tcW w:w="360" w:type="pct"/>
            <w:vMerge w:val="restart"/>
            <w:tcBorders>
              <w:tl2br w:val="nil"/>
              <w:tr2bl w:val="nil"/>
            </w:tcBorders>
            <w:noWrap/>
            <w:vAlign w:val="center"/>
          </w:tcPr>
          <w:p w14:paraId="25F3B43D">
            <w:pPr>
              <w:widowControl/>
              <w:adjustRightInd w:val="0"/>
              <w:snapToGrid w:val="0"/>
              <w:spacing w:line="400" w:lineRule="exact"/>
              <w:jc w:val="center"/>
              <w:rPr>
                <w:color w:val="auto"/>
              </w:rPr>
            </w:pPr>
            <w:r>
              <w:rPr>
                <w:rFonts w:hint="eastAsia"/>
                <w:color w:val="auto"/>
              </w:rPr>
              <w:t>30分</w:t>
            </w:r>
          </w:p>
        </w:tc>
        <w:tc>
          <w:tcPr>
            <w:tcW w:w="576" w:type="pct"/>
            <w:tcBorders>
              <w:tl2br w:val="nil"/>
              <w:tr2bl w:val="nil"/>
            </w:tcBorders>
            <w:noWrap/>
            <w:vAlign w:val="center"/>
          </w:tcPr>
          <w:p w14:paraId="436F2B7F">
            <w:pPr>
              <w:widowControl/>
              <w:adjustRightInd w:val="0"/>
              <w:snapToGrid w:val="0"/>
              <w:spacing w:line="400" w:lineRule="exact"/>
              <w:jc w:val="center"/>
              <w:rPr>
                <w:color w:val="auto"/>
              </w:rPr>
            </w:pPr>
            <w:r>
              <w:rPr>
                <w:rFonts w:hint="eastAsia"/>
                <w:color w:val="auto"/>
              </w:rPr>
              <w:t>评审价</w:t>
            </w:r>
          </w:p>
          <w:p w14:paraId="1C25C7F3">
            <w:pPr>
              <w:widowControl/>
              <w:adjustRightInd w:val="0"/>
              <w:snapToGrid w:val="0"/>
              <w:spacing w:line="360" w:lineRule="atLeast"/>
              <w:jc w:val="left"/>
              <w:rPr>
                <w:color w:val="auto"/>
              </w:rPr>
            </w:pPr>
            <w:r>
              <w:rPr>
                <w:rFonts w:hint="eastAsia"/>
                <w:color w:val="auto"/>
              </w:rPr>
              <w:t>2.2.4（</w:t>
            </w:r>
            <w:r>
              <w:rPr>
                <w:rFonts w:hint="eastAsia"/>
                <w:color w:val="auto"/>
                <w:lang w:val="en-US" w:eastAsia="zh-CN"/>
              </w:rPr>
              <w:t>9</w:t>
            </w:r>
            <w:r>
              <w:rPr>
                <w:rFonts w:hint="eastAsia"/>
                <w:color w:val="auto"/>
              </w:rPr>
              <w:t>）</w:t>
            </w:r>
          </w:p>
        </w:tc>
        <w:tc>
          <w:tcPr>
            <w:tcW w:w="3390" w:type="pct"/>
            <w:gridSpan w:val="2"/>
            <w:tcBorders>
              <w:tl2br w:val="nil"/>
              <w:tr2bl w:val="nil"/>
            </w:tcBorders>
            <w:noWrap/>
            <w:vAlign w:val="center"/>
          </w:tcPr>
          <w:p w14:paraId="1EECE526">
            <w:pPr>
              <w:adjustRightInd w:val="0"/>
              <w:snapToGrid w:val="0"/>
              <w:spacing w:line="360" w:lineRule="atLeast"/>
              <w:rPr>
                <w:rFonts w:ascii="宋体" w:hAnsi="宋体" w:eastAsia="宋体" w:cs="宋体"/>
                <w:b/>
                <w:bCs/>
                <w:color w:val="auto"/>
                <w:szCs w:val="21"/>
              </w:rPr>
            </w:pPr>
            <w:r>
              <w:rPr>
                <w:rFonts w:hint="eastAsia" w:ascii="宋体" w:hAnsi="宋体" w:eastAsia="宋体" w:cs="宋体"/>
                <w:b/>
                <w:bCs/>
                <w:color w:val="auto"/>
                <w:szCs w:val="21"/>
              </w:rPr>
              <w:t>评审价得分计算公式示例：</w:t>
            </w:r>
          </w:p>
          <w:p w14:paraId="3DF07A12">
            <w:pPr>
              <w:numPr>
                <w:ilvl w:val="0"/>
                <w:numId w:val="7"/>
              </w:numPr>
              <w:adjustRightInd w:val="0"/>
              <w:snapToGrid w:val="0"/>
              <w:spacing w:line="360" w:lineRule="atLeast"/>
              <w:rPr>
                <w:rFonts w:hint="eastAsia" w:ascii="宋体" w:hAnsi="宋体" w:eastAsia="宋体" w:cs="宋体"/>
                <w:color w:val="auto"/>
                <w:szCs w:val="21"/>
              </w:rPr>
            </w:pPr>
            <w:r>
              <w:rPr>
                <w:rFonts w:hint="eastAsia" w:ascii="宋体" w:hAnsi="宋体" w:eastAsia="宋体" w:cs="宋体"/>
                <w:color w:val="auto"/>
                <w:szCs w:val="21"/>
              </w:rPr>
              <w:t>如果供应商的评标价&gt;评标基准价，</w:t>
            </w:r>
          </w:p>
          <w:p w14:paraId="613B79B9">
            <w:pPr>
              <w:numPr>
                <w:ilvl w:val="-1"/>
                <w:numId w:val="0"/>
              </w:numPr>
              <w:adjustRightInd w:val="0"/>
              <w:snapToGrid w:val="0"/>
              <w:spacing w:line="360" w:lineRule="atLeast"/>
              <w:rPr>
                <w:rFonts w:ascii="宋体" w:hAnsi="宋体" w:eastAsia="宋体" w:cs="宋体"/>
                <w:color w:val="auto"/>
                <w:szCs w:val="21"/>
              </w:rPr>
            </w:pPr>
            <w:r>
              <w:rPr>
                <w:rFonts w:hint="eastAsia" w:ascii="宋体" w:hAnsi="宋体" w:eastAsia="宋体" w:cs="宋体"/>
                <w:color w:val="auto"/>
                <w:szCs w:val="21"/>
              </w:rPr>
              <w:t>则评审价得分＝30－|偏差率|×100×0.</w:t>
            </w:r>
            <w:r>
              <w:rPr>
                <w:rFonts w:hint="eastAsia" w:ascii="宋体" w:hAnsi="宋体" w:eastAsia="宋体" w:cs="宋体"/>
                <w:color w:val="auto"/>
                <w:szCs w:val="21"/>
                <w:lang w:val="en-US" w:eastAsia="zh-CN"/>
              </w:rPr>
              <w:t>30</w:t>
            </w:r>
            <w:r>
              <w:rPr>
                <w:rFonts w:hint="eastAsia" w:ascii="宋体" w:hAnsi="宋体" w:eastAsia="宋体" w:cs="宋体"/>
                <w:color w:val="auto"/>
                <w:szCs w:val="21"/>
              </w:rPr>
              <w:t>；</w:t>
            </w:r>
          </w:p>
          <w:p w14:paraId="58216778">
            <w:pPr>
              <w:numPr>
                <w:ilvl w:val="0"/>
                <w:numId w:val="7"/>
              </w:numPr>
              <w:adjustRightInd w:val="0"/>
              <w:snapToGrid w:val="0"/>
              <w:spacing w:line="360" w:lineRule="atLeast"/>
              <w:rPr>
                <w:rFonts w:hint="eastAsia" w:ascii="宋体" w:hAnsi="宋体" w:eastAsia="宋体" w:cs="宋体"/>
                <w:color w:val="auto"/>
                <w:szCs w:val="21"/>
              </w:rPr>
            </w:pPr>
            <w:r>
              <w:rPr>
                <w:rFonts w:hint="eastAsia" w:ascii="宋体" w:hAnsi="宋体" w:eastAsia="宋体" w:cs="宋体"/>
                <w:color w:val="auto"/>
                <w:szCs w:val="21"/>
              </w:rPr>
              <w:t>如果供应商的评标价≤评标基准价，</w:t>
            </w:r>
          </w:p>
          <w:p w14:paraId="65DBA683">
            <w:pPr>
              <w:numPr>
                <w:ilvl w:val="-1"/>
                <w:numId w:val="0"/>
              </w:numPr>
              <w:adjustRightInd w:val="0"/>
              <w:snapToGrid w:val="0"/>
              <w:spacing w:line="360" w:lineRule="atLeast"/>
              <w:rPr>
                <w:rFonts w:ascii="宋体" w:hAnsi="宋体" w:eastAsia="宋体" w:cs="宋体"/>
                <w:color w:val="auto"/>
                <w:szCs w:val="21"/>
              </w:rPr>
            </w:pPr>
            <w:r>
              <w:rPr>
                <w:rFonts w:hint="eastAsia" w:ascii="宋体" w:hAnsi="宋体" w:eastAsia="宋体" w:cs="宋体"/>
                <w:color w:val="auto"/>
                <w:szCs w:val="21"/>
              </w:rPr>
              <w:t>则评审价得分＝30-|偏差率|×100×</w:t>
            </w:r>
            <w:r>
              <w:rPr>
                <w:rFonts w:hint="eastAsia" w:ascii="宋体" w:hAnsi="宋体" w:eastAsia="宋体" w:cs="宋体"/>
                <w:color w:val="auto"/>
                <w:szCs w:val="21"/>
                <w:lang w:val="en-US" w:eastAsia="zh-CN"/>
              </w:rPr>
              <w:t>0</w:t>
            </w:r>
            <w:r>
              <w:rPr>
                <w:rFonts w:hint="eastAsia" w:ascii="宋体" w:hAnsi="宋体" w:eastAsia="宋体" w:cs="宋体"/>
                <w:color w:val="auto"/>
                <w:szCs w:val="21"/>
              </w:rPr>
              <w:t>。</w:t>
            </w:r>
          </w:p>
          <w:p w14:paraId="77145E3E">
            <w:pPr>
              <w:adjustRightInd w:val="0"/>
              <w:snapToGrid w:val="0"/>
              <w:spacing w:line="360" w:lineRule="atLeast"/>
              <w:rPr>
                <w:rFonts w:ascii="宋体" w:hAnsi="宋体" w:eastAsia="宋体" w:cs="宋体"/>
                <w:color w:val="auto"/>
                <w:szCs w:val="21"/>
              </w:rPr>
            </w:pPr>
            <w:r>
              <w:rPr>
                <w:rFonts w:hint="eastAsia" w:ascii="宋体" w:hAnsi="宋体" w:eastAsia="宋体" w:cs="宋体"/>
                <w:color w:val="auto"/>
                <w:szCs w:val="21"/>
              </w:rPr>
              <w:t>最高得分为30分，最低得分为0分。</w:t>
            </w:r>
          </w:p>
          <w:p w14:paraId="38F436E2">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评审价得分按四舍五入规则保留小数点后2位小数。</w:t>
            </w:r>
          </w:p>
        </w:tc>
      </w:tr>
      <w:tr w14:paraId="7698A4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9" w:hRule="atLeast"/>
        </w:trPr>
        <w:tc>
          <w:tcPr>
            <w:tcW w:w="350" w:type="pct"/>
            <w:vMerge w:val="continue"/>
            <w:tcBorders>
              <w:tl2br w:val="nil"/>
              <w:tr2bl w:val="nil"/>
            </w:tcBorders>
            <w:noWrap/>
            <w:vAlign w:val="center"/>
          </w:tcPr>
          <w:p w14:paraId="736A20D0">
            <w:pPr>
              <w:widowControl/>
              <w:adjustRightInd w:val="0"/>
              <w:snapToGrid w:val="0"/>
              <w:spacing w:line="400" w:lineRule="exact"/>
              <w:jc w:val="center"/>
              <w:rPr>
                <w:rFonts w:hint="eastAsia"/>
                <w:color w:val="auto"/>
              </w:rPr>
            </w:pPr>
          </w:p>
        </w:tc>
        <w:tc>
          <w:tcPr>
            <w:tcW w:w="322" w:type="pct"/>
            <w:vMerge w:val="continue"/>
            <w:tcBorders>
              <w:tl2br w:val="nil"/>
              <w:tr2bl w:val="nil"/>
            </w:tcBorders>
            <w:noWrap/>
            <w:vAlign w:val="center"/>
          </w:tcPr>
          <w:p w14:paraId="170B560E">
            <w:pPr>
              <w:pStyle w:val="19"/>
              <w:spacing w:after="0" w:line="400" w:lineRule="exact"/>
              <w:ind w:left="0" w:leftChars="0" w:firstLine="0" w:firstLineChars="0"/>
              <w:jc w:val="center"/>
              <w:rPr>
                <w:rFonts w:hint="eastAsia"/>
                <w:color w:val="auto"/>
              </w:rPr>
            </w:pPr>
          </w:p>
        </w:tc>
        <w:tc>
          <w:tcPr>
            <w:tcW w:w="360" w:type="pct"/>
            <w:vMerge w:val="continue"/>
            <w:tcBorders>
              <w:tl2br w:val="nil"/>
              <w:tr2bl w:val="nil"/>
            </w:tcBorders>
            <w:noWrap/>
            <w:vAlign w:val="center"/>
          </w:tcPr>
          <w:p w14:paraId="790616C0">
            <w:pPr>
              <w:widowControl/>
              <w:adjustRightInd w:val="0"/>
              <w:snapToGrid w:val="0"/>
              <w:spacing w:line="400" w:lineRule="exact"/>
              <w:jc w:val="center"/>
              <w:rPr>
                <w:rFonts w:hint="eastAsia"/>
                <w:color w:val="auto"/>
              </w:rPr>
            </w:pPr>
          </w:p>
        </w:tc>
        <w:tc>
          <w:tcPr>
            <w:tcW w:w="576" w:type="pct"/>
            <w:tcBorders>
              <w:tl2br w:val="nil"/>
              <w:tr2bl w:val="nil"/>
            </w:tcBorders>
            <w:noWrap/>
            <w:vAlign w:val="center"/>
          </w:tcPr>
          <w:p w14:paraId="689DD6B0">
            <w:pPr>
              <w:widowControl/>
              <w:adjustRightInd w:val="0"/>
              <w:snapToGrid w:val="0"/>
              <w:spacing w:line="400" w:lineRule="exact"/>
              <w:jc w:val="center"/>
              <w:rPr>
                <w:color w:val="auto"/>
              </w:rPr>
            </w:pPr>
            <w:r>
              <w:rPr>
                <w:rFonts w:hint="eastAsia"/>
                <w:color w:val="auto"/>
              </w:rPr>
              <w:t>评审价</w:t>
            </w:r>
          </w:p>
          <w:p w14:paraId="09B77062">
            <w:pPr>
              <w:widowControl/>
              <w:adjustRightInd w:val="0"/>
              <w:snapToGrid w:val="0"/>
              <w:spacing w:line="360" w:lineRule="atLeast"/>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其他要求</w:t>
            </w:r>
          </w:p>
        </w:tc>
        <w:tc>
          <w:tcPr>
            <w:tcW w:w="3390" w:type="pct"/>
            <w:gridSpan w:val="2"/>
            <w:tcBorders>
              <w:tl2br w:val="nil"/>
              <w:tr2bl w:val="nil"/>
            </w:tcBorders>
            <w:noWrap/>
            <w:vAlign w:val="center"/>
          </w:tcPr>
          <w:p w14:paraId="395C0141">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不得低于投标人成本价竞标。如投标人的评标价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费率</w:t>
            </w:r>
            <w:r>
              <w:rPr>
                <w:rFonts w:hint="eastAsia" w:ascii="宋体" w:hAnsi="宋体" w:eastAsia="宋体" w:cs="宋体"/>
                <w:color w:val="auto"/>
                <w:szCs w:val="21"/>
                <w:lang w:eastAsia="zh-CN"/>
              </w:rPr>
              <w:t>）</w:t>
            </w:r>
            <w:r>
              <w:rPr>
                <w:rFonts w:hint="eastAsia" w:ascii="宋体" w:hAnsi="宋体" w:eastAsia="宋体" w:cs="宋体"/>
                <w:color w:val="auto"/>
                <w:szCs w:val="21"/>
              </w:rPr>
              <w:t>低于</w:t>
            </w:r>
            <w:r>
              <w:rPr>
                <w:rFonts w:hint="eastAsia" w:ascii="宋体" w:hAnsi="宋体" w:eastAsia="宋体" w:cs="宋体"/>
                <w:color w:val="auto"/>
                <w:szCs w:val="21"/>
                <w:lang w:val="en-US" w:eastAsia="zh-CN"/>
              </w:rPr>
              <w:t>30</w:t>
            </w:r>
            <w:r>
              <w:rPr>
                <w:rFonts w:hint="eastAsia" w:ascii="宋体" w:hAnsi="宋体" w:eastAsia="宋体" w:cs="宋体"/>
                <w:color w:val="auto"/>
                <w:szCs w:val="21"/>
              </w:rPr>
              <w:t>%，评标委员会可以要求该投标人作出书面说明并提供相应的证明材料。投标人不能合理说明或者不能提供相应证明材料的，评标委员会认定该投标人以低于成本报价竞标，其投标将被视为无效投标。</w:t>
            </w:r>
          </w:p>
        </w:tc>
      </w:tr>
    </w:tbl>
    <w:p w14:paraId="6D8EDC4F">
      <w:pPr>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br w:type="page"/>
      </w:r>
    </w:p>
    <w:p w14:paraId="753C7C9A">
      <w:pPr>
        <w:keepNext/>
        <w:keepLines/>
        <w:spacing w:before="0" w:beforeLines="0" w:after="0" w:afterLines="0" w:line="420" w:lineRule="exact"/>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 评审方法</w:t>
      </w:r>
    </w:p>
    <w:p w14:paraId="068C8FB1">
      <w:pPr>
        <w:spacing w:beforeLines="0" w:afterLines="0" w:line="420" w:lineRule="exact"/>
        <w:ind w:firstLine="420"/>
        <w:rPr>
          <w:color w:val="auto"/>
        </w:rPr>
      </w:pPr>
      <w:r>
        <w:rPr>
          <w:rFonts w:hint="eastAsia"/>
          <w:color w:val="auto"/>
        </w:rPr>
        <w:t>本次评审采用综合评分法。评审小组对满足询比文件实质性要求的响应文件按照本章表2的规定的评分标准进行打分。</w:t>
      </w:r>
    </w:p>
    <w:p w14:paraId="4C32A009">
      <w:pPr>
        <w:spacing w:beforeLines="0" w:afterLines="0" w:line="420" w:lineRule="exact"/>
        <w:ind w:firstLine="420"/>
        <w:rPr>
          <w:color w:val="auto"/>
        </w:rPr>
      </w:pPr>
      <w:r>
        <w:rPr>
          <w:rFonts w:hint="eastAsia" w:ascii="Times New Roman" w:hAnsi="Times New Roman" w:cs="Times New Roman"/>
          <w:color w:val="auto"/>
        </w:rPr>
        <w:t>评审小组对通过资格审查的报价文件，在满足采购文件实质性要求的前提下，以供应商的综合得分由高到低的顺序进行排序，确认排名，综合得分最高者为第一候选人。</w:t>
      </w:r>
      <w:r>
        <w:rPr>
          <w:rFonts w:hint="eastAsia"/>
          <w:color w:val="auto"/>
        </w:rPr>
        <w:t>若存在有供应商得分相同情况，根据供应商提交响应文件中业绩数量多者进行排序；如业绩数量相同，以提交响应文件时间的先后顺序，确定排名先后。</w:t>
      </w:r>
    </w:p>
    <w:p w14:paraId="1261FEB9">
      <w:pPr>
        <w:keepNext/>
        <w:keepLines/>
        <w:spacing w:before="0" w:beforeLines="0" w:after="0" w:afterLines="0" w:line="420" w:lineRule="exact"/>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14:paraId="0D4C3602">
      <w:pPr>
        <w:keepNext/>
        <w:keepLines/>
        <w:spacing w:before="0" w:beforeLines="0" w:after="0" w:afterLines="0" w:line="420" w:lineRule="exact"/>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14:paraId="205B9DE8">
      <w:pPr>
        <w:spacing w:beforeLines="0" w:afterLines="0" w:line="420" w:lineRule="exact"/>
        <w:ind w:firstLine="420"/>
        <w:outlineLvl w:val="3"/>
        <w:rPr>
          <w:rFonts w:ascii="Times New Roman" w:hAnsi="Times New Roman" w:cs="Times New Roman"/>
          <w:color w:val="auto"/>
        </w:rPr>
      </w:pPr>
      <w:r>
        <w:rPr>
          <w:rFonts w:ascii="Times New Roman" w:hAnsi="Times New Roman" w:cs="Times New Roman"/>
          <w:color w:val="auto"/>
        </w:rPr>
        <w:t xml:space="preserve">2.1.1 </w:t>
      </w:r>
      <w:r>
        <w:rPr>
          <w:rFonts w:hint="eastAsia" w:ascii="Times New Roman" w:hAnsi="Times New Roman" w:cs="Times New Roman"/>
          <w:color w:val="auto"/>
        </w:rPr>
        <w:t>初步评审</w:t>
      </w:r>
      <w:r>
        <w:rPr>
          <w:rFonts w:ascii="Times New Roman" w:hAnsi="Times New Roman" w:cs="Times New Roman"/>
          <w:color w:val="auto"/>
        </w:rPr>
        <w:t>标准：见评审办法。</w:t>
      </w:r>
    </w:p>
    <w:p w14:paraId="532C9B0A">
      <w:pPr>
        <w:keepNext/>
        <w:keepLines/>
        <w:spacing w:before="0" w:beforeLines="0" w:after="0" w:afterLines="0" w:line="420" w:lineRule="exact"/>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分值构成与评审标准</w:t>
      </w:r>
    </w:p>
    <w:p w14:paraId="2D9A0E38">
      <w:pPr>
        <w:spacing w:beforeLines="0" w:afterLines="0" w:line="420" w:lineRule="exact"/>
        <w:ind w:firstLine="420"/>
        <w:outlineLvl w:val="3"/>
        <w:rPr>
          <w:rFonts w:ascii="Times New Roman" w:hAnsi="Times New Roman" w:cs="Times New Roman"/>
          <w:color w:val="auto"/>
        </w:rPr>
      </w:pPr>
      <w:r>
        <w:rPr>
          <w:rFonts w:ascii="Times New Roman" w:hAnsi="Times New Roman" w:cs="Times New Roman"/>
          <w:color w:val="auto"/>
        </w:rPr>
        <w:t>2.2.1分值构成：</w:t>
      </w:r>
    </w:p>
    <w:p w14:paraId="2ABF0AF3">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商务技术分</w:t>
      </w:r>
      <w:r>
        <w:rPr>
          <w:rFonts w:ascii="Times New Roman" w:hAnsi="Times New Roman" w:cs="Times New Roman"/>
          <w:color w:val="auto"/>
        </w:rPr>
        <w:t>：见评审办法；</w:t>
      </w:r>
    </w:p>
    <w:p w14:paraId="06341835">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2</w:t>
      </w:r>
      <w:r>
        <w:rPr>
          <w:rFonts w:ascii="Times New Roman" w:hAnsi="Times New Roman" w:cs="Times New Roman"/>
          <w:color w:val="auto"/>
        </w:rPr>
        <w:t>）</w:t>
      </w:r>
      <w:r>
        <w:rPr>
          <w:rFonts w:hint="eastAsia" w:ascii="Times New Roman" w:hAnsi="Times New Roman" w:cs="Times New Roman"/>
          <w:color w:val="auto"/>
        </w:rPr>
        <w:t>评审价</w:t>
      </w:r>
      <w:r>
        <w:rPr>
          <w:rFonts w:ascii="Times New Roman" w:hAnsi="Times New Roman" w:cs="Times New Roman"/>
          <w:color w:val="auto"/>
        </w:rPr>
        <w:t>：见评审办法。</w:t>
      </w:r>
    </w:p>
    <w:p w14:paraId="252B2D9D">
      <w:pPr>
        <w:spacing w:beforeLines="0" w:afterLines="0" w:line="420" w:lineRule="exact"/>
        <w:ind w:firstLine="420"/>
        <w:outlineLvl w:val="3"/>
        <w:rPr>
          <w:rFonts w:ascii="Times New Roman" w:hAnsi="Times New Roman" w:cs="Times New Roman"/>
          <w:color w:val="auto"/>
        </w:rPr>
      </w:pPr>
      <w:r>
        <w:rPr>
          <w:rFonts w:ascii="Times New Roman" w:hAnsi="Times New Roman" w:cs="Times New Roman"/>
          <w:color w:val="auto"/>
        </w:rPr>
        <w:t>2.2.2 评审基准价计算</w:t>
      </w:r>
    </w:p>
    <w:p w14:paraId="105E2A7D">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评审基准价计算方法：见评审办法。</w:t>
      </w:r>
    </w:p>
    <w:p w14:paraId="45BCA06B">
      <w:pPr>
        <w:spacing w:beforeLines="0" w:afterLines="0" w:line="420" w:lineRule="exact"/>
        <w:ind w:firstLine="420"/>
        <w:outlineLvl w:val="3"/>
        <w:rPr>
          <w:rFonts w:ascii="Times New Roman" w:hAnsi="Times New Roman" w:cs="Times New Roman"/>
          <w:color w:val="auto"/>
        </w:rPr>
      </w:pPr>
      <w:r>
        <w:rPr>
          <w:rFonts w:ascii="Times New Roman" w:hAnsi="Times New Roman" w:cs="Times New Roman"/>
          <w:color w:val="auto"/>
        </w:rPr>
        <w:t>2.2.3 评审价的偏差率计算</w:t>
      </w:r>
    </w:p>
    <w:p w14:paraId="004C5D29">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评审价的计算公式：见评审办法。</w:t>
      </w:r>
    </w:p>
    <w:p w14:paraId="74A847A2">
      <w:pPr>
        <w:spacing w:beforeLines="0" w:afterLines="0" w:line="420" w:lineRule="exact"/>
        <w:ind w:firstLine="420"/>
        <w:outlineLvl w:val="3"/>
        <w:rPr>
          <w:rFonts w:ascii="Times New Roman" w:hAnsi="Times New Roman" w:cs="Times New Roman"/>
          <w:color w:val="auto"/>
        </w:rPr>
      </w:pPr>
      <w:r>
        <w:rPr>
          <w:rFonts w:ascii="Times New Roman" w:hAnsi="Times New Roman" w:cs="Times New Roman"/>
          <w:color w:val="auto"/>
        </w:rPr>
        <w:t>2.2.4评分标准：</w:t>
      </w:r>
    </w:p>
    <w:p w14:paraId="28EDFF60">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商务技术</w:t>
      </w:r>
      <w:r>
        <w:rPr>
          <w:rFonts w:ascii="Times New Roman" w:hAnsi="Times New Roman" w:cs="Times New Roman"/>
          <w:color w:val="auto"/>
        </w:rPr>
        <w:t>评分标准：见评审办法；</w:t>
      </w:r>
    </w:p>
    <w:p w14:paraId="53D21D18">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2</w:t>
      </w:r>
      <w:r>
        <w:rPr>
          <w:rFonts w:ascii="Times New Roman" w:hAnsi="Times New Roman" w:cs="Times New Roman"/>
          <w:color w:val="auto"/>
        </w:rPr>
        <w:t>）</w:t>
      </w:r>
      <w:r>
        <w:rPr>
          <w:rFonts w:hint="eastAsia" w:ascii="Times New Roman" w:hAnsi="Times New Roman" w:cs="Times New Roman"/>
          <w:color w:val="auto"/>
        </w:rPr>
        <w:t>评审价</w:t>
      </w:r>
      <w:r>
        <w:rPr>
          <w:rFonts w:ascii="Times New Roman" w:hAnsi="Times New Roman" w:cs="Times New Roman"/>
          <w:color w:val="auto"/>
        </w:rPr>
        <w:t>评分标准：见评审办法。</w:t>
      </w:r>
    </w:p>
    <w:p w14:paraId="0418CC37">
      <w:pPr>
        <w:keepNext/>
        <w:keepLines/>
        <w:spacing w:before="0" w:beforeLines="0" w:after="0" w:afterLines="0" w:line="420" w:lineRule="exact"/>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14:paraId="5BB32227">
      <w:pPr>
        <w:keepNext/>
        <w:keepLines/>
        <w:spacing w:before="0" w:beforeLines="0" w:after="0" w:afterLines="0" w:line="420" w:lineRule="exact"/>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14:paraId="416BD5E3">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3.1.1</w:t>
      </w:r>
      <w:r>
        <w:rPr>
          <w:rFonts w:hint="eastAsia" w:ascii="Times New Roman" w:hAnsi="Times New Roman" w:cs="Times New Roman"/>
          <w:color w:val="auto"/>
        </w:rPr>
        <w:t>评审小组</w:t>
      </w:r>
      <w:r>
        <w:rPr>
          <w:rFonts w:ascii="Times New Roman" w:hAnsi="Times New Roman" w:cs="Times New Roman"/>
          <w:color w:val="auto"/>
        </w:rPr>
        <w:t>依据本章</w:t>
      </w:r>
      <w:r>
        <w:rPr>
          <w:rFonts w:hint="eastAsia" w:ascii="Times New Roman" w:hAnsi="Times New Roman" w:cs="Times New Roman"/>
          <w:color w:val="auto"/>
        </w:rPr>
        <w:t>附表2</w:t>
      </w:r>
      <w:r>
        <w:rPr>
          <w:rFonts w:ascii="Times New Roman" w:hAnsi="Times New Roman" w:cs="Times New Roman"/>
          <w:color w:val="auto"/>
        </w:rPr>
        <w:t>规定的标准对响应文件进行评审。有一项不符合评审标准的，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1838651A">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2 </w:t>
      </w:r>
      <w:r>
        <w:rPr>
          <w:rFonts w:ascii="Times New Roman" w:hAnsi="Times New Roman" w:cs="Times New Roman"/>
          <w:color w:val="auto"/>
        </w:rPr>
        <w:t>响应文件中填报的</w:t>
      </w:r>
      <w:r>
        <w:rPr>
          <w:rFonts w:hint="eastAsia" w:ascii="Times New Roman" w:hAnsi="Times New Roman" w:cs="Times New Roman"/>
          <w:color w:val="auto"/>
        </w:rPr>
        <w:t>服务</w:t>
      </w:r>
      <w:r>
        <w:rPr>
          <w:rFonts w:ascii="Times New Roman" w:hAnsi="Times New Roman" w:cs="Times New Roman"/>
          <w:color w:val="auto"/>
        </w:rPr>
        <w:t>期、质量标准、安全目标前后不一致时，</w:t>
      </w:r>
      <w:r>
        <w:rPr>
          <w:rFonts w:hint="eastAsia" w:ascii="Times New Roman" w:hAnsi="Times New Roman" w:cs="Times New Roman"/>
          <w:color w:val="auto"/>
        </w:rPr>
        <w:t>按细微偏差处理。</w:t>
      </w:r>
    </w:p>
    <w:p w14:paraId="6FACDC64">
      <w:pPr>
        <w:keepNext/>
        <w:keepLines/>
        <w:spacing w:before="0" w:beforeLines="0" w:after="0" w:afterLines="0" w:line="420" w:lineRule="exact"/>
        <w:outlineLvl w:val="2"/>
        <w:rPr>
          <w:rFonts w:ascii="Times New Roman" w:hAnsi="Times New Roman" w:cs="Times New Roman"/>
          <w:color w:val="auto"/>
        </w:rPr>
      </w:pPr>
      <w:r>
        <w:rPr>
          <w:rFonts w:ascii="Times New Roman" w:hAnsi="Times New Roman" w:eastAsia="黑体" w:cs="Times New Roman"/>
          <w:bCs/>
          <w:color w:val="auto"/>
          <w:sz w:val="24"/>
          <w:szCs w:val="32"/>
        </w:rPr>
        <w:t>3.2 详细评审</w:t>
      </w:r>
    </w:p>
    <w:p w14:paraId="7020531A">
      <w:pPr>
        <w:spacing w:beforeLines="0" w:afterLines="0" w:line="420" w:lineRule="exact"/>
        <w:rPr>
          <w:rFonts w:ascii="Times New Roman" w:hAnsi="Times New Roman" w:cs="Times New Roman"/>
          <w:color w:val="auto"/>
        </w:rPr>
      </w:pPr>
      <w:r>
        <w:rPr>
          <w:rFonts w:ascii="Times New Roman" w:hAnsi="Times New Roman" w:cs="Times New Roman"/>
          <w:color w:val="auto"/>
        </w:rPr>
        <w:t xml:space="preserve">3.2.1 </w:t>
      </w:r>
      <w:r>
        <w:rPr>
          <w:rFonts w:hint="eastAsia" w:ascii="Times New Roman" w:hAnsi="Times New Roman" w:cs="Times New Roman"/>
          <w:color w:val="auto"/>
        </w:rPr>
        <w:t>评审小组</w:t>
      </w:r>
      <w:r>
        <w:rPr>
          <w:rFonts w:ascii="Times New Roman" w:hAnsi="Times New Roman" w:cs="Times New Roman"/>
          <w:color w:val="auto"/>
        </w:rPr>
        <w:t>按本章第2.2款规定的量化因素和分值进行打分，并计算出综合评估得分。</w:t>
      </w:r>
    </w:p>
    <w:p w14:paraId="3D71F3AB">
      <w:pPr>
        <w:spacing w:beforeLines="0" w:afterLines="0" w:line="420" w:lineRule="exact"/>
        <w:rPr>
          <w:rFonts w:ascii="Times New Roman" w:hAnsi="Times New Roman" w:cs="Times New Roman"/>
          <w:color w:val="auto"/>
        </w:rPr>
      </w:pPr>
      <w:r>
        <w:rPr>
          <w:rFonts w:ascii="Times New Roman" w:hAnsi="Times New Roman" w:cs="Times New Roman"/>
          <w:color w:val="auto"/>
        </w:rPr>
        <w:t>（1）按本章第2.</w:t>
      </w:r>
      <w:r>
        <w:rPr>
          <w:rFonts w:hint="eastAsia" w:ascii="Times New Roman" w:hAnsi="Times New Roman" w:cs="Times New Roman"/>
          <w:color w:val="auto"/>
        </w:rPr>
        <w:t>2</w:t>
      </w:r>
      <w:r>
        <w:rPr>
          <w:rFonts w:ascii="Times New Roman" w:hAnsi="Times New Roman" w:cs="Times New Roman"/>
          <w:color w:val="auto"/>
        </w:rPr>
        <w:t>.</w:t>
      </w:r>
      <w:r>
        <w:rPr>
          <w:rFonts w:hint="eastAsia" w:ascii="Times New Roman" w:hAnsi="Times New Roman" w:cs="Times New Roman"/>
          <w:color w:val="auto"/>
        </w:rPr>
        <w:t>4（1）</w:t>
      </w:r>
      <w:r>
        <w:rPr>
          <w:rFonts w:ascii="Times New Roman" w:hAnsi="Times New Roman" w:cs="Times New Roman"/>
          <w:color w:val="auto"/>
        </w:rPr>
        <w:t>目规定的评审因素和分值对</w:t>
      </w:r>
      <w:r>
        <w:rPr>
          <w:rFonts w:hint="eastAsia" w:ascii="Times New Roman" w:hAnsi="Times New Roman" w:cs="Times New Roman"/>
          <w:color w:val="auto"/>
          <w:lang w:val="en-US" w:eastAsia="zh-CN"/>
        </w:rPr>
        <w:t>资质</w:t>
      </w:r>
      <w:r>
        <w:rPr>
          <w:rFonts w:ascii="Times New Roman" w:hAnsi="Times New Roman" w:cs="Times New Roman"/>
          <w:color w:val="auto"/>
        </w:rPr>
        <w:t>计算出得分</w:t>
      </w:r>
      <w:r>
        <w:rPr>
          <w:rFonts w:hint="eastAsia" w:ascii="Times New Roman" w:hAnsi="Times New Roman" w:cs="Times New Roman"/>
          <w:color w:val="auto"/>
        </w:rPr>
        <w:t>A</w:t>
      </w:r>
      <w:r>
        <w:rPr>
          <w:rFonts w:ascii="Times New Roman" w:hAnsi="Times New Roman" w:cs="Times New Roman"/>
          <w:color w:val="auto"/>
        </w:rPr>
        <w:t>；</w:t>
      </w:r>
    </w:p>
    <w:p w14:paraId="5CDEF88F">
      <w:pPr>
        <w:spacing w:beforeLines="0" w:afterLines="0" w:line="420" w:lineRule="exact"/>
        <w:rPr>
          <w:rFonts w:ascii="Times New Roman" w:hAnsi="Times New Roman" w:cs="Times New Roman"/>
          <w:color w:val="auto"/>
        </w:rPr>
      </w:pPr>
      <w:r>
        <w:rPr>
          <w:rFonts w:ascii="Times New Roman" w:hAnsi="Times New Roman" w:cs="Times New Roman"/>
          <w:color w:val="auto"/>
        </w:rPr>
        <w:t>（2）按本章第2.</w:t>
      </w:r>
      <w:r>
        <w:rPr>
          <w:rFonts w:hint="eastAsia" w:ascii="Times New Roman" w:hAnsi="Times New Roman" w:cs="Times New Roman"/>
          <w:color w:val="auto"/>
        </w:rPr>
        <w:t>2</w:t>
      </w:r>
      <w:r>
        <w:rPr>
          <w:rFonts w:ascii="Times New Roman" w:hAnsi="Times New Roman" w:cs="Times New Roman"/>
          <w:color w:val="auto"/>
        </w:rPr>
        <w:t>.</w:t>
      </w:r>
      <w:r>
        <w:rPr>
          <w:rFonts w:hint="eastAsia" w:ascii="Times New Roman" w:hAnsi="Times New Roman" w:cs="Times New Roman"/>
          <w:color w:val="auto"/>
        </w:rPr>
        <w:t>4（2）</w:t>
      </w:r>
      <w:r>
        <w:rPr>
          <w:rFonts w:ascii="Times New Roman" w:hAnsi="Times New Roman" w:cs="Times New Roman"/>
          <w:color w:val="auto"/>
        </w:rPr>
        <w:t>目规定的评审因素和分值对</w:t>
      </w:r>
      <w:r>
        <w:rPr>
          <w:rFonts w:hint="eastAsia" w:ascii="Times New Roman" w:hAnsi="Times New Roman" w:cs="Times New Roman"/>
          <w:color w:val="auto"/>
          <w:lang w:val="en-US" w:eastAsia="zh-CN"/>
        </w:rPr>
        <w:t>业绩</w:t>
      </w:r>
      <w:r>
        <w:rPr>
          <w:rFonts w:ascii="Times New Roman" w:hAnsi="Times New Roman" w:cs="Times New Roman"/>
          <w:color w:val="auto"/>
        </w:rPr>
        <w:t>计算出得分</w:t>
      </w:r>
      <w:r>
        <w:rPr>
          <w:rFonts w:hint="eastAsia" w:ascii="Times New Roman" w:hAnsi="Times New Roman" w:cs="Times New Roman"/>
          <w:color w:val="auto"/>
        </w:rPr>
        <w:t>B</w:t>
      </w:r>
      <w:r>
        <w:rPr>
          <w:rFonts w:ascii="Times New Roman" w:hAnsi="Times New Roman" w:cs="Times New Roman"/>
          <w:color w:val="auto"/>
        </w:rPr>
        <w:t>；</w:t>
      </w:r>
    </w:p>
    <w:p w14:paraId="2CD961D8">
      <w:pPr>
        <w:spacing w:beforeLines="0" w:afterLines="0" w:line="420" w:lineRule="exact"/>
        <w:rPr>
          <w:rFonts w:ascii="Times New Roman" w:hAnsi="Times New Roman" w:cs="Times New Roman"/>
          <w:color w:val="auto"/>
        </w:rPr>
      </w:pPr>
      <w:r>
        <w:rPr>
          <w:rFonts w:ascii="Times New Roman" w:hAnsi="Times New Roman" w:cs="Times New Roman"/>
          <w:color w:val="auto"/>
        </w:rPr>
        <w:t>（3）按本章第2.</w:t>
      </w:r>
      <w:r>
        <w:rPr>
          <w:rFonts w:hint="eastAsia" w:ascii="Times New Roman" w:hAnsi="Times New Roman" w:cs="Times New Roman"/>
          <w:color w:val="auto"/>
        </w:rPr>
        <w:t>2</w:t>
      </w:r>
      <w:r>
        <w:rPr>
          <w:rFonts w:ascii="Times New Roman" w:hAnsi="Times New Roman" w:cs="Times New Roman"/>
          <w:color w:val="auto"/>
        </w:rPr>
        <w:t>.</w:t>
      </w:r>
      <w:r>
        <w:rPr>
          <w:rFonts w:hint="eastAsia" w:ascii="Times New Roman" w:hAnsi="Times New Roman" w:cs="Times New Roman"/>
          <w:color w:val="auto"/>
        </w:rPr>
        <w:t>4（3）</w:t>
      </w:r>
      <w:r>
        <w:rPr>
          <w:rFonts w:ascii="Times New Roman" w:hAnsi="Times New Roman" w:cs="Times New Roman"/>
          <w:color w:val="auto"/>
        </w:rPr>
        <w:t>目规定的评审因素和分值对</w:t>
      </w:r>
      <w:r>
        <w:rPr>
          <w:rFonts w:hint="eastAsia" w:ascii="Times New Roman" w:hAnsi="Times New Roman" w:cs="Times New Roman"/>
          <w:color w:val="auto"/>
          <w:lang w:val="en-US" w:eastAsia="zh-CN"/>
        </w:rPr>
        <w:t>人员配备</w:t>
      </w:r>
      <w:r>
        <w:rPr>
          <w:rFonts w:ascii="Times New Roman" w:hAnsi="Times New Roman" w:cs="Times New Roman"/>
          <w:color w:val="auto"/>
        </w:rPr>
        <w:t>计算出得分</w:t>
      </w:r>
      <w:r>
        <w:rPr>
          <w:rFonts w:hint="eastAsia" w:ascii="Times New Roman" w:hAnsi="Times New Roman" w:cs="Times New Roman"/>
          <w:color w:val="auto"/>
        </w:rPr>
        <w:t>C</w:t>
      </w:r>
      <w:r>
        <w:rPr>
          <w:rFonts w:ascii="Times New Roman" w:hAnsi="Times New Roman" w:cs="Times New Roman"/>
          <w:color w:val="auto"/>
        </w:rPr>
        <w:t>；</w:t>
      </w:r>
    </w:p>
    <w:p w14:paraId="010741B4">
      <w:pPr>
        <w:spacing w:beforeLines="0" w:afterLines="0" w:line="420" w:lineRule="exact"/>
        <w:rPr>
          <w:rFonts w:ascii="Times New Roman" w:hAnsi="Times New Roman" w:cs="Times New Roman"/>
          <w:color w:val="auto"/>
        </w:rPr>
      </w:pPr>
      <w:r>
        <w:rPr>
          <w:rFonts w:ascii="Times New Roman" w:hAnsi="Times New Roman" w:cs="Times New Roman"/>
          <w:color w:val="auto"/>
        </w:rPr>
        <w:t>（4）按本章第2.</w:t>
      </w:r>
      <w:r>
        <w:rPr>
          <w:rFonts w:hint="eastAsia" w:ascii="Times New Roman" w:hAnsi="Times New Roman" w:cs="Times New Roman"/>
          <w:color w:val="auto"/>
        </w:rPr>
        <w:t>2</w:t>
      </w:r>
      <w:r>
        <w:rPr>
          <w:rFonts w:ascii="Times New Roman" w:hAnsi="Times New Roman" w:cs="Times New Roman"/>
          <w:color w:val="auto"/>
        </w:rPr>
        <w:t>.</w:t>
      </w:r>
      <w:r>
        <w:rPr>
          <w:rFonts w:hint="eastAsia" w:ascii="Times New Roman" w:hAnsi="Times New Roman" w:cs="Times New Roman"/>
          <w:color w:val="auto"/>
        </w:rPr>
        <w:t>4（4）</w:t>
      </w:r>
      <w:r>
        <w:rPr>
          <w:rFonts w:ascii="Times New Roman" w:hAnsi="Times New Roman" w:cs="Times New Roman"/>
          <w:color w:val="auto"/>
        </w:rPr>
        <w:t>目规定的评审因素和分值对</w:t>
      </w:r>
      <w:r>
        <w:rPr>
          <w:rFonts w:hint="eastAsia" w:ascii="Times New Roman" w:hAnsi="Times New Roman" w:cs="Times New Roman"/>
          <w:color w:val="auto"/>
          <w:lang w:val="en-US" w:eastAsia="zh-CN"/>
        </w:rPr>
        <w:t>服务方案</w:t>
      </w:r>
      <w:r>
        <w:rPr>
          <w:rFonts w:ascii="Times New Roman" w:hAnsi="Times New Roman" w:cs="Times New Roman"/>
          <w:color w:val="auto"/>
        </w:rPr>
        <w:t>计算出得分</w:t>
      </w:r>
      <w:r>
        <w:rPr>
          <w:rFonts w:hint="eastAsia" w:ascii="Times New Roman" w:hAnsi="Times New Roman" w:cs="Times New Roman"/>
          <w:color w:val="auto"/>
        </w:rPr>
        <w:t>D</w:t>
      </w:r>
      <w:r>
        <w:rPr>
          <w:rFonts w:ascii="Times New Roman" w:hAnsi="Times New Roman" w:cs="Times New Roman"/>
          <w:color w:val="auto"/>
        </w:rPr>
        <w:t>。</w:t>
      </w:r>
    </w:p>
    <w:p w14:paraId="5A2D69C3">
      <w:pPr>
        <w:spacing w:beforeLines="0" w:afterLines="0" w:line="420" w:lineRule="exact"/>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5</w:t>
      </w:r>
      <w:r>
        <w:rPr>
          <w:rFonts w:ascii="Times New Roman" w:hAnsi="Times New Roman" w:cs="Times New Roman"/>
          <w:color w:val="auto"/>
        </w:rPr>
        <w:t>）按本章第2.</w:t>
      </w:r>
      <w:r>
        <w:rPr>
          <w:rFonts w:hint="eastAsia" w:ascii="Times New Roman" w:hAnsi="Times New Roman" w:cs="Times New Roman"/>
          <w:color w:val="auto"/>
        </w:rPr>
        <w:t>2</w:t>
      </w:r>
      <w:r>
        <w:rPr>
          <w:rFonts w:ascii="Times New Roman" w:hAnsi="Times New Roman" w:cs="Times New Roman"/>
          <w:color w:val="auto"/>
        </w:rPr>
        <w:t>.</w:t>
      </w:r>
      <w:r>
        <w:rPr>
          <w:rFonts w:hint="eastAsia" w:ascii="Times New Roman" w:hAnsi="Times New Roman" w:cs="Times New Roman"/>
          <w:color w:val="auto"/>
        </w:rPr>
        <w:t>4（5）</w:t>
      </w:r>
      <w:r>
        <w:rPr>
          <w:rFonts w:ascii="Times New Roman" w:hAnsi="Times New Roman" w:cs="Times New Roman"/>
          <w:color w:val="auto"/>
        </w:rPr>
        <w:t>目规定的评审因素和分值对</w:t>
      </w:r>
      <w:r>
        <w:rPr>
          <w:rFonts w:hint="eastAsia" w:ascii="Times New Roman" w:hAnsi="Times New Roman" w:cs="Times New Roman"/>
          <w:color w:val="auto"/>
        </w:rPr>
        <w:t>服务</w:t>
      </w:r>
      <w:r>
        <w:rPr>
          <w:rFonts w:hint="eastAsia" w:ascii="Times New Roman" w:hAnsi="Times New Roman" w:cs="Times New Roman"/>
          <w:color w:val="auto"/>
          <w:lang w:val="en-US" w:eastAsia="zh-CN"/>
        </w:rPr>
        <w:t>保证措施</w:t>
      </w:r>
      <w:r>
        <w:rPr>
          <w:rFonts w:ascii="Times New Roman" w:hAnsi="Times New Roman" w:cs="Times New Roman"/>
          <w:color w:val="auto"/>
        </w:rPr>
        <w:t>计算出得分</w:t>
      </w:r>
      <w:r>
        <w:rPr>
          <w:rFonts w:hint="eastAsia" w:ascii="Times New Roman" w:hAnsi="Times New Roman" w:cs="Times New Roman"/>
          <w:color w:val="auto"/>
        </w:rPr>
        <w:t>E</w:t>
      </w:r>
      <w:r>
        <w:rPr>
          <w:rFonts w:ascii="Times New Roman" w:hAnsi="Times New Roman" w:cs="Times New Roman"/>
          <w:color w:val="auto"/>
        </w:rPr>
        <w:t>。</w:t>
      </w:r>
    </w:p>
    <w:p w14:paraId="6E841416">
      <w:pPr>
        <w:spacing w:beforeLines="0" w:afterLines="0" w:line="420" w:lineRule="exact"/>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6</w:t>
      </w:r>
      <w:r>
        <w:rPr>
          <w:rFonts w:ascii="Times New Roman" w:hAnsi="Times New Roman" w:cs="Times New Roman"/>
          <w:color w:val="auto"/>
        </w:rPr>
        <w:t>）按本章第2.</w:t>
      </w:r>
      <w:r>
        <w:rPr>
          <w:rFonts w:hint="eastAsia" w:ascii="Times New Roman" w:hAnsi="Times New Roman" w:cs="Times New Roman"/>
          <w:color w:val="auto"/>
        </w:rPr>
        <w:t>2</w:t>
      </w:r>
      <w:r>
        <w:rPr>
          <w:rFonts w:ascii="Times New Roman" w:hAnsi="Times New Roman" w:cs="Times New Roman"/>
          <w:color w:val="auto"/>
        </w:rPr>
        <w:t>.</w:t>
      </w:r>
      <w:r>
        <w:rPr>
          <w:rFonts w:hint="eastAsia" w:ascii="Times New Roman" w:hAnsi="Times New Roman" w:cs="Times New Roman"/>
          <w:color w:val="auto"/>
        </w:rPr>
        <w:t>4（6）</w:t>
      </w:r>
      <w:r>
        <w:rPr>
          <w:rFonts w:ascii="Times New Roman" w:hAnsi="Times New Roman" w:cs="Times New Roman"/>
          <w:color w:val="auto"/>
        </w:rPr>
        <w:t>目规定的评审因素和分值对</w:t>
      </w:r>
      <w:r>
        <w:rPr>
          <w:rFonts w:hint="eastAsia" w:ascii="Times New Roman" w:hAnsi="Times New Roman" w:cs="Times New Roman"/>
          <w:color w:val="auto"/>
          <w:lang w:val="en-US" w:eastAsia="zh-CN"/>
        </w:rPr>
        <w:t>重难点分析等</w:t>
      </w:r>
      <w:r>
        <w:rPr>
          <w:rFonts w:ascii="Times New Roman" w:hAnsi="Times New Roman" w:cs="Times New Roman"/>
          <w:color w:val="auto"/>
        </w:rPr>
        <w:t>计算出得分</w:t>
      </w:r>
      <w:r>
        <w:rPr>
          <w:rFonts w:hint="eastAsia" w:ascii="Times New Roman" w:hAnsi="Times New Roman" w:cs="Times New Roman"/>
          <w:color w:val="auto"/>
        </w:rPr>
        <w:t>F</w:t>
      </w:r>
      <w:r>
        <w:rPr>
          <w:rFonts w:ascii="Times New Roman" w:hAnsi="Times New Roman" w:cs="Times New Roman"/>
          <w:color w:val="auto"/>
        </w:rPr>
        <w:t>。</w:t>
      </w:r>
    </w:p>
    <w:p w14:paraId="41D86B16">
      <w:pPr>
        <w:spacing w:beforeLines="0" w:afterLines="0" w:line="420" w:lineRule="exact"/>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7</w:t>
      </w:r>
      <w:r>
        <w:rPr>
          <w:rFonts w:ascii="Times New Roman" w:hAnsi="Times New Roman" w:cs="Times New Roman"/>
          <w:color w:val="auto"/>
        </w:rPr>
        <w:t>）按本章第2.</w:t>
      </w:r>
      <w:r>
        <w:rPr>
          <w:rFonts w:hint="eastAsia" w:ascii="Times New Roman" w:hAnsi="Times New Roman" w:cs="Times New Roman"/>
          <w:color w:val="auto"/>
        </w:rPr>
        <w:t>2</w:t>
      </w:r>
      <w:r>
        <w:rPr>
          <w:rFonts w:ascii="Times New Roman" w:hAnsi="Times New Roman" w:cs="Times New Roman"/>
          <w:color w:val="auto"/>
        </w:rPr>
        <w:t>.</w:t>
      </w:r>
      <w:r>
        <w:rPr>
          <w:rFonts w:hint="eastAsia" w:ascii="Times New Roman" w:hAnsi="Times New Roman" w:cs="Times New Roman"/>
          <w:color w:val="auto"/>
        </w:rPr>
        <w:t>4（</w:t>
      </w:r>
      <w:r>
        <w:rPr>
          <w:rFonts w:hint="eastAsia" w:ascii="Times New Roman" w:hAnsi="Times New Roman" w:cs="Times New Roman"/>
          <w:color w:val="auto"/>
          <w:lang w:val="en-US" w:eastAsia="zh-CN"/>
        </w:rPr>
        <w:t>7</w:t>
      </w:r>
      <w:r>
        <w:rPr>
          <w:rFonts w:hint="eastAsia" w:ascii="Times New Roman" w:hAnsi="Times New Roman" w:cs="Times New Roman"/>
          <w:color w:val="auto"/>
        </w:rPr>
        <w:t>）</w:t>
      </w:r>
      <w:r>
        <w:rPr>
          <w:rFonts w:ascii="Times New Roman" w:hAnsi="Times New Roman" w:cs="Times New Roman"/>
          <w:color w:val="auto"/>
        </w:rPr>
        <w:t>目规定的评审因素和分值对</w:t>
      </w:r>
      <w:r>
        <w:rPr>
          <w:rFonts w:hint="eastAsia" w:ascii="Times New Roman" w:hAnsi="Times New Roman" w:cs="Times New Roman"/>
          <w:color w:val="auto"/>
          <w:lang w:val="en-US" w:eastAsia="zh-CN"/>
        </w:rPr>
        <w:t>增值服务</w:t>
      </w:r>
      <w:r>
        <w:rPr>
          <w:rFonts w:ascii="Times New Roman" w:hAnsi="Times New Roman" w:cs="Times New Roman"/>
          <w:color w:val="auto"/>
        </w:rPr>
        <w:t>计算出得分</w:t>
      </w:r>
      <w:r>
        <w:rPr>
          <w:rFonts w:hint="eastAsia" w:ascii="Times New Roman" w:hAnsi="Times New Roman" w:cs="Times New Roman"/>
          <w:color w:val="auto"/>
          <w:lang w:val="en-US" w:eastAsia="zh-CN"/>
        </w:rPr>
        <w:t>G</w:t>
      </w:r>
      <w:r>
        <w:rPr>
          <w:rFonts w:ascii="Times New Roman" w:hAnsi="Times New Roman" w:cs="Times New Roman"/>
          <w:color w:val="auto"/>
        </w:rPr>
        <w:t>。</w:t>
      </w:r>
    </w:p>
    <w:p w14:paraId="6513E16B">
      <w:pPr>
        <w:spacing w:beforeLines="0" w:afterLines="0" w:line="420" w:lineRule="exact"/>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8</w:t>
      </w:r>
      <w:r>
        <w:rPr>
          <w:rFonts w:ascii="Times New Roman" w:hAnsi="Times New Roman" w:cs="Times New Roman"/>
          <w:color w:val="auto"/>
        </w:rPr>
        <w:t>）按本章第2.</w:t>
      </w:r>
      <w:r>
        <w:rPr>
          <w:rFonts w:hint="eastAsia" w:ascii="Times New Roman" w:hAnsi="Times New Roman" w:cs="Times New Roman"/>
          <w:color w:val="auto"/>
        </w:rPr>
        <w:t>2</w:t>
      </w:r>
      <w:r>
        <w:rPr>
          <w:rFonts w:ascii="Times New Roman" w:hAnsi="Times New Roman" w:cs="Times New Roman"/>
          <w:color w:val="auto"/>
        </w:rPr>
        <w:t>.</w:t>
      </w:r>
      <w:r>
        <w:rPr>
          <w:rFonts w:hint="eastAsia" w:ascii="Times New Roman" w:hAnsi="Times New Roman" w:cs="Times New Roman"/>
          <w:color w:val="auto"/>
        </w:rPr>
        <w:t>4（</w:t>
      </w:r>
      <w:r>
        <w:rPr>
          <w:rFonts w:hint="eastAsia" w:ascii="Times New Roman" w:hAnsi="Times New Roman" w:cs="Times New Roman"/>
          <w:color w:val="auto"/>
          <w:lang w:val="en-US" w:eastAsia="zh-CN"/>
        </w:rPr>
        <w:t>8</w:t>
      </w:r>
      <w:r>
        <w:rPr>
          <w:rFonts w:hint="eastAsia" w:ascii="Times New Roman" w:hAnsi="Times New Roman" w:cs="Times New Roman"/>
          <w:color w:val="auto"/>
        </w:rPr>
        <w:t>）</w:t>
      </w:r>
      <w:r>
        <w:rPr>
          <w:rFonts w:ascii="Times New Roman" w:hAnsi="Times New Roman" w:cs="Times New Roman"/>
          <w:color w:val="auto"/>
        </w:rPr>
        <w:t>目规定的评审因素和分值对</w:t>
      </w:r>
      <w:r>
        <w:rPr>
          <w:rFonts w:hint="eastAsia" w:ascii="Times New Roman" w:hAnsi="Times New Roman" w:cs="Times New Roman"/>
          <w:color w:val="auto"/>
        </w:rPr>
        <w:t>评审价</w:t>
      </w:r>
      <w:r>
        <w:rPr>
          <w:rFonts w:ascii="Times New Roman" w:hAnsi="Times New Roman" w:cs="Times New Roman"/>
          <w:color w:val="auto"/>
        </w:rPr>
        <w:t>计算出得分</w:t>
      </w:r>
      <w:r>
        <w:rPr>
          <w:rFonts w:hint="eastAsia" w:ascii="Times New Roman" w:hAnsi="Times New Roman" w:cs="Times New Roman"/>
          <w:color w:val="auto"/>
          <w:lang w:val="en-US" w:eastAsia="zh-CN"/>
        </w:rPr>
        <w:t>H</w:t>
      </w:r>
      <w:r>
        <w:rPr>
          <w:rFonts w:ascii="Times New Roman" w:hAnsi="Times New Roman" w:cs="Times New Roman"/>
          <w:color w:val="auto"/>
        </w:rPr>
        <w:t>。</w:t>
      </w:r>
    </w:p>
    <w:p w14:paraId="78A2BA28">
      <w:pPr>
        <w:spacing w:beforeLines="0" w:afterLines="0" w:line="420" w:lineRule="exact"/>
        <w:rPr>
          <w:rFonts w:ascii="Times New Roman" w:hAnsi="Times New Roman" w:cs="Times New Roman"/>
          <w:color w:val="auto"/>
        </w:rPr>
      </w:pPr>
      <w:r>
        <w:rPr>
          <w:rFonts w:ascii="Times New Roman" w:hAnsi="Times New Roman" w:cs="Times New Roman"/>
          <w:color w:val="auto"/>
        </w:rPr>
        <w:t>3.2.2 评分分值计算保留小数点后两位，小数点后第三位“四舍五入”。</w:t>
      </w:r>
    </w:p>
    <w:p w14:paraId="30498279">
      <w:pPr>
        <w:spacing w:beforeLines="0" w:afterLines="0" w:line="420" w:lineRule="exact"/>
        <w:rPr>
          <w:rFonts w:ascii="Times New Roman" w:hAnsi="Times New Roman" w:cs="Times New Roman"/>
          <w:color w:val="auto"/>
        </w:rPr>
      </w:pPr>
      <w:r>
        <w:rPr>
          <w:rFonts w:ascii="Times New Roman" w:hAnsi="Times New Roman" w:cs="Times New Roman"/>
          <w:color w:val="auto"/>
        </w:rPr>
        <w:t xml:space="preserve">3.2.3 </w:t>
      </w:r>
      <w:r>
        <w:rPr>
          <w:rFonts w:hint="eastAsia" w:ascii="Times New Roman" w:hAnsi="Times New Roman" w:cs="Times New Roman"/>
          <w:color w:val="auto"/>
        </w:rPr>
        <w:t>评审小组成员对</w:t>
      </w:r>
      <w:r>
        <w:rPr>
          <w:rFonts w:ascii="Times New Roman" w:hAnsi="Times New Roman" w:cs="Times New Roman"/>
          <w:color w:val="auto"/>
        </w:rPr>
        <w:t>供应商</w:t>
      </w:r>
      <w:r>
        <w:rPr>
          <w:rFonts w:hint="eastAsia" w:ascii="Times New Roman" w:hAnsi="Times New Roman" w:cs="Times New Roman"/>
          <w:color w:val="auto"/>
        </w:rPr>
        <w:t>综合评分=A</w:t>
      </w:r>
      <w:r>
        <w:rPr>
          <w:rFonts w:ascii="Times New Roman" w:hAnsi="Times New Roman" w:cs="Times New Roman"/>
          <w:color w:val="auto"/>
        </w:rPr>
        <w:t>+</w:t>
      </w:r>
      <w:r>
        <w:rPr>
          <w:rFonts w:hint="eastAsia" w:ascii="Times New Roman" w:hAnsi="Times New Roman" w:cs="Times New Roman"/>
          <w:color w:val="auto"/>
        </w:rPr>
        <w:t>B</w:t>
      </w:r>
      <w:r>
        <w:rPr>
          <w:rFonts w:ascii="Times New Roman" w:hAnsi="Times New Roman" w:cs="Times New Roman"/>
          <w:color w:val="auto"/>
        </w:rPr>
        <w:t>+</w:t>
      </w:r>
      <w:r>
        <w:rPr>
          <w:rFonts w:hint="eastAsia" w:ascii="Times New Roman" w:hAnsi="Times New Roman" w:cs="Times New Roman"/>
          <w:color w:val="auto"/>
        </w:rPr>
        <w:t>C</w:t>
      </w:r>
      <w:r>
        <w:rPr>
          <w:rFonts w:ascii="Times New Roman" w:hAnsi="Times New Roman" w:cs="Times New Roman"/>
          <w:color w:val="auto"/>
        </w:rPr>
        <w:t>+</w:t>
      </w:r>
      <w:r>
        <w:rPr>
          <w:rFonts w:hint="eastAsia" w:ascii="Times New Roman" w:hAnsi="Times New Roman" w:cs="Times New Roman"/>
          <w:color w:val="auto"/>
        </w:rPr>
        <w:t>D+E+F</w:t>
      </w:r>
      <w:r>
        <w:rPr>
          <w:rFonts w:hint="eastAsia" w:ascii="Times New Roman" w:hAnsi="Times New Roman" w:cs="Times New Roman"/>
          <w:color w:val="auto"/>
          <w:lang w:val="en-US" w:eastAsia="zh-CN"/>
        </w:rPr>
        <w:t>+G+H</w:t>
      </w:r>
      <w:r>
        <w:rPr>
          <w:rFonts w:hint="eastAsia" w:ascii="Times New Roman" w:hAnsi="Times New Roman" w:cs="Times New Roman"/>
          <w:color w:val="auto"/>
        </w:rPr>
        <w:t>，供应商最终得分为各评审小组成员评分的算数平均值</w:t>
      </w:r>
      <w:r>
        <w:rPr>
          <w:rFonts w:ascii="Times New Roman" w:hAnsi="Times New Roman" w:cs="Times New Roman"/>
          <w:color w:val="auto"/>
        </w:rPr>
        <w:t>。</w:t>
      </w:r>
    </w:p>
    <w:p w14:paraId="339370B7">
      <w:pPr>
        <w:keepNext/>
        <w:keepLines/>
        <w:spacing w:before="0" w:beforeLines="0" w:after="0" w:afterLines="0" w:line="420" w:lineRule="exact"/>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w:t>
      </w:r>
      <w:r>
        <w:rPr>
          <w:rFonts w:hint="eastAsia" w:ascii="Times New Roman" w:hAnsi="Times New Roman" w:eastAsia="黑体" w:cs="Times New Roman"/>
          <w:bCs/>
          <w:color w:val="auto"/>
          <w:sz w:val="24"/>
          <w:szCs w:val="32"/>
        </w:rPr>
        <w:t>否决响应文件</w:t>
      </w:r>
      <w:r>
        <w:rPr>
          <w:rFonts w:ascii="Times New Roman" w:hAnsi="Times New Roman" w:eastAsia="黑体" w:cs="Times New Roman"/>
          <w:bCs/>
          <w:color w:val="auto"/>
          <w:sz w:val="24"/>
          <w:szCs w:val="32"/>
        </w:rPr>
        <w:t>的其他情形</w:t>
      </w:r>
    </w:p>
    <w:p w14:paraId="51642D9F">
      <w:pPr>
        <w:spacing w:beforeLines="0" w:afterLines="0" w:line="42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应对在评审过程中发现供应商存在串通报价、弄虚作假、行贿等违法行为的，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05BBC1A3">
      <w:pPr>
        <w:keepNext/>
        <w:keepLines/>
        <w:spacing w:before="0" w:beforeLines="0" w:after="0" w:afterLines="0" w:line="420" w:lineRule="exact"/>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3.4响应文件的澄清</w:t>
      </w:r>
    </w:p>
    <w:p w14:paraId="124E7925">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3.4.1 在评审过程中，</w:t>
      </w:r>
      <w:r>
        <w:rPr>
          <w:rFonts w:hint="eastAsia" w:ascii="Times New Roman" w:hAnsi="Times New Roman" w:cs="Times New Roman"/>
          <w:color w:val="auto"/>
        </w:rPr>
        <w:t>评审小组</w:t>
      </w:r>
      <w:r>
        <w:rPr>
          <w:rFonts w:ascii="Times New Roman" w:hAnsi="Times New Roman" w:cs="Times New Roman"/>
          <w:color w:val="auto"/>
        </w:rPr>
        <w:t>可以书面形式要求供应商对响应文件中含义不明确、对同类问题表述不一致或者有明显文字</w:t>
      </w:r>
      <w:r>
        <w:rPr>
          <w:rFonts w:hint="eastAsia" w:ascii="Times New Roman" w:hAnsi="Times New Roman" w:cs="Times New Roman"/>
          <w:color w:val="auto"/>
        </w:rPr>
        <w:t>错误</w:t>
      </w:r>
      <w:r>
        <w:rPr>
          <w:rFonts w:ascii="Times New Roman" w:hAnsi="Times New Roman" w:cs="Times New Roman"/>
          <w:color w:val="auto"/>
        </w:rPr>
        <w:t>的内容做必要的澄清。</w:t>
      </w:r>
      <w:r>
        <w:rPr>
          <w:rFonts w:hint="eastAsia" w:ascii="Times New Roman" w:hAnsi="Times New Roman" w:cs="Times New Roman"/>
          <w:color w:val="auto"/>
        </w:rPr>
        <w:t>评审小组</w:t>
      </w:r>
      <w:r>
        <w:rPr>
          <w:rFonts w:ascii="Times New Roman" w:hAnsi="Times New Roman" w:cs="Times New Roman"/>
          <w:color w:val="auto"/>
        </w:rPr>
        <w:t>不接受供应商主动提出的澄清。</w:t>
      </w:r>
    </w:p>
    <w:p w14:paraId="34EADEDD">
      <w:pPr>
        <w:spacing w:beforeLines="0" w:afterLines="0" w:line="420" w:lineRule="exact"/>
        <w:ind w:firstLine="420"/>
        <w:rPr>
          <w:rFonts w:ascii="Times New Roman" w:hAnsi="Times New Roman" w:cs="Times New Roman"/>
          <w:strike/>
          <w:color w:val="auto"/>
        </w:rPr>
      </w:pPr>
      <w:r>
        <w:rPr>
          <w:rFonts w:ascii="Times New Roman" w:hAnsi="Times New Roman" w:cs="Times New Roman"/>
          <w:color w:val="auto"/>
        </w:rPr>
        <w:t>3.4.2 澄清不得超出响应文件的范围且不得改变响应文件的实质性内容，并构成响应文件的组成部分。</w:t>
      </w:r>
    </w:p>
    <w:p w14:paraId="5B05B262">
      <w:pPr>
        <w:keepNext/>
        <w:keepLines/>
        <w:spacing w:before="0" w:beforeLines="0" w:after="0" w:afterLines="0" w:line="420" w:lineRule="exact"/>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rPr>
        <w:t>5</w:t>
      </w:r>
      <w:r>
        <w:rPr>
          <w:rFonts w:ascii="Times New Roman" w:hAnsi="Times New Roman" w:eastAsia="黑体" w:cs="Times New Roman"/>
          <w:bCs/>
          <w:color w:val="auto"/>
          <w:sz w:val="24"/>
          <w:szCs w:val="32"/>
        </w:rPr>
        <w:t xml:space="preserve"> 评审结果</w:t>
      </w:r>
    </w:p>
    <w:p w14:paraId="1349BBA4">
      <w:pPr>
        <w:spacing w:beforeLines="0" w:afterLines="0" w:line="42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完成评审后，应当向采购人提交评审报告。评审报告应当如实记载以下内容：</w:t>
      </w:r>
    </w:p>
    <w:p w14:paraId="08294272">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（一）采购项目基本情况</w:t>
      </w:r>
    </w:p>
    <w:p w14:paraId="0271291E">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（二）采购过程回顾</w:t>
      </w:r>
    </w:p>
    <w:p w14:paraId="7DD937F2">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（三）评审小组成员名单</w:t>
      </w:r>
    </w:p>
    <w:p w14:paraId="596E411D">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（四）询比评审工作</w:t>
      </w:r>
    </w:p>
    <w:p w14:paraId="4A880EA3">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1、评审办法</w:t>
      </w:r>
    </w:p>
    <w:p w14:paraId="09C44E32">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2、初步评审情况（资格审查、形式性审查、响应性审查）</w:t>
      </w:r>
    </w:p>
    <w:p w14:paraId="1347A06A">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详细评审情况（</w:t>
      </w:r>
      <w:r>
        <w:rPr>
          <w:rFonts w:ascii="Times New Roman" w:hAnsi="Times New Roman" w:cs="Times New Roman"/>
          <w:color w:val="auto"/>
        </w:rPr>
        <w:t>供应商的</w:t>
      </w:r>
      <w:r>
        <w:rPr>
          <w:rFonts w:hint="eastAsia" w:ascii="Times New Roman" w:hAnsi="Times New Roman" w:cs="Times New Roman"/>
          <w:color w:val="auto"/>
        </w:rPr>
        <w:t>综合</w:t>
      </w:r>
      <w:r>
        <w:rPr>
          <w:rFonts w:ascii="Times New Roman" w:hAnsi="Times New Roman" w:cs="Times New Roman"/>
          <w:color w:val="auto"/>
        </w:rPr>
        <w:t>评分情况</w:t>
      </w:r>
      <w:r>
        <w:rPr>
          <w:rFonts w:hint="eastAsia" w:ascii="Times New Roman" w:hAnsi="Times New Roman" w:cs="Times New Roman"/>
          <w:color w:val="auto"/>
        </w:rPr>
        <w:t>）</w:t>
      </w:r>
    </w:p>
    <w:p w14:paraId="6B15F349">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4、否决的供应商名单以及否决理由</w:t>
      </w:r>
    </w:p>
    <w:p w14:paraId="305A4092">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5、推荐候选供应商排序</w:t>
      </w:r>
    </w:p>
    <w:p w14:paraId="45FBDEE8">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（五）需要说明的其他事项</w:t>
      </w:r>
    </w:p>
    <w:p w14:paraId="2FAF351D">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（六）评审附表</w:t>
      </w:r>
    </w:p>
    <w:p w14:paraId="1815B50F">
      <w:pPr>
        <w:spacing w:beforeLines="0" w:afterLines="0" w:line="420" w:lineRule="exact"/>
        <w:ind w:firstLine="420"/>
        <w:rPr>
          <w:rFonts w:ascii="Times New Roman" w:hAnsi="Times New Roman" w:cs="Times New Roman"/>
          <w:color w:val="auto"/>
        </w:rPr>
      </w:pPr>
      <w:r>
        <w:rPr>
          <w:rFonts w:ascii="Times New Roman" w:hAnsi="Times New Roman" w:cs="Times New Roman"/>
          <w:color w:val="auto"/>
        </w:rPr>
        <w:t>1、响应文件开启记录表</w:t>
      </w:r>
    </w:p>
    <w:p w14:paraId="63FF0309">
      <w:pPr>
        <w:spacing w:beforeLines="0" w:afterLines="0" w:line="420" w:lineRule="exact"/>
        <w:ind w:firstLine="420"/>
        <w:rPr>
          <w:color w:val="auto"/>
        </w:rPr>
      </w:pPr>
      <w:r>
        <w:rPr>
          <w:rFonts w:ascii="Times New Roman" w:hAnsi="Times New Roman" w:cs="Times New Roman"/>
          <w:color w:val="auto"/>
        </w:rPr>
        <w:t>2、评审表</w:t>
      </w:r>
    </w:p>
    <w:p w14:paraId="5419FD49">
      <w:pPr>
        <w:rPr>
          <w:rFonts w:ascii="Times New Roman" w:hAnsi="Times New Roman" w:eastAsia="宋体" w:cs="Times New Roman"/>
          <w:color w:val="auto"/>
        </w:rPr>
      </w:pPr>
      <w:bookmarkStart w:id="112" w:name="_Toc18269"/>
      <w:r>
        <w:rPr>
          <w:rFonts w:hint="eastAsia" w:ascii="Times New Roman" w:hAnsi="Times New Roman" w:eastAsia="宋体" w:cs="Times New Roman"/>
          <w:color w:val="auto"/>
        </w:rPr>
        <w:br w:type="page"/>
      </w:r>
    </w:p>
    <w:p w14:paraId="6033A686">
      <w:pPr>
        <w:pStyle w:val="4"/>
        <w:numPr>
          <w:ilvl w:val="0"/>
          <w:numId w:val="0"/>
        </w:numPr>
        <w:spacing w:before="312" w:after="312"/>
        <w:rPr>
          <w:rFonts w:ascii="方正小标宋简体" w:hAnsi="微软雅黑" w:eastAsia="方正小标宋简体" w:cs="微软雅黑"/>
          <w:color w:val="auto"/>
          <w:sz w:val="44"/>
        </w:rPr>
      </w:pPr>
      <w:r>
        <w:rPr>
          <w:rFonts w:hint="eastAsia" w:ascii="Times New Roman" w:hAnsi="Times New Roman" w:eastAsia="宋体" w:cs="Times New Roman"/>
          <w:color w:val="auto"/>
        </w:rPr>
        <w:t xml:space="preserve">第四章 </w:t>
      </w:r>
      <w:r>
        <w:rPr>
          <w:rFonts w:ascii="Times New Roman" w:hAnsi="Times New Roman" w:eastAsia="宋体" w:cs="Times New Roman"/>
          <w:color w:val="auto"/>
        </w:rPr>
        <w:t>合同内容</w:t>
      </w:r>
      <w:bookmarkEnd w:id="112"/>
    </w:p>
    <w:p w14:paraId="4630A525">
      <w:pPr>
        <w:jc w:val="center"/>
        <w:outlineLvl w:val="1"/>
        <w:rPr>
          <w:rFonts w:ascii="宋体" w:hAnsi="宋体" w:eastAsia="宋体" w:cs="宋体"/>
          <w:b/>
          <w:color w:val="auto"/>
          <w:sz w:val="30"/>
          <w:szCs w:val="30"/>
        </w:rPr>
      </w:pPr>
      <w:bookmarkStart w:id="113" w:name="_Toc11439"/>
      <w:r>
        <w:rPr>
          <w:rFonts w:hint="eastAsia" w:ascii="宋体" w:hAnsi="宋体" w:eastAsia="宋体" w:cs="宋体"/>
          <w:b/>
          <w:color w:val="auto"/>
          <w:sz w:val="30"/>
          <w:szCs w:val="30"/>
        </w:rPr>
        <w:t>2025~2027年度工地试验室试验仪器设备检定/校准服务量值溯源机构定点库采购</w:t>
      </w:r>
    </w:p>
    <w:p w14:paraId="4E263B41">
      <w:pPr>
        <w:adjustRightInd w:val="0"/>
        <w:snapToGrid w:val="0"/>
        <w:spacing w:line="440" w:lineRule="exact"/>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甲方：</w:t>
      </w:r>
      <w:r>
        <w:rPr>
          <w:rFonts w:hint="eastAsia" w:ascii="Times New Roman" w:hAnsi="Times New Roman" w:eastAsia="宋体" w:cs="Times New Roman"/>
          <w:b/>
          <w:bCs/>
          <w:color w:val="auto"/>
          <w:szCs w:val="21"/>
          <w:u w:val="single"/>
        </w:rPr>
        <w:t xml:space="preserve">      安徽省高速公路试验检测科研中心有限公司      </w:t>
      </w:r>
    </w:p>
    <w:p w14:paraId="70EE9BD3">
      <w:pPr>
        <w:adjustRightInd w:val="0"/>
        <w:snapToGrid w:val="0"/>
        <w:spacing w:after="156" w:afterLines="50" w:line="440" w:lineRule="exact"/>
        <w:rPr>
          <w:rFonts w:ascii="Times New Roman" w:hAnsi="Times New Roman" w:eastAsia="宋体" w:cs="Times New Roman"/>
          <w:color w:val="auto"/>
          <w:szCs w:val="21"/>
        </w:rPr>
      </w:pPr>
      <w:r>
        <w:rPr>
          <w:rFonts w:ascii="Times New Roman" w:hAnsi="Times New Roman" w:eastAsia="宋体" w:cs="Times New Roman"/>
          <w:b/>
          <w:bCs/>
          <w:color w:val="auto"/>
          <w:szCs w:val="21"/>
        </w:rPr>
        <w:t>乙方：</w:t>
      </w:r>
      <w:r>
        <w:rPr>
          <w:rFonts w:ascii="Times New Roman" w:hAnsi="Times New Roman" w:eastAsia="宋体" w:cs="Times New Roman"/>
          <w:b/>
          <w:bCs/>
          <w:color w:val="auto"/>
          <w:szCs w:val="21"/>
          <w:u w:val="single"/>
        </w:rPr>
        <w:t xml:space="preserve">             </w:t>
      </w:r>
      <w:r>
        <w:rPr>
          <w:rFonts w:hint="eastAsia" w:ascii="Times New Roman" w:hAnsi="Times New Roman" w:eastAsia="宋体" w:cs="Times New Roman"/>
          <w:b/>
          <w:bCs/>
          <w:color w:val="auto"/>
          <w:szCs w:val="21"/>
          <w:u w:val="single"/>
        </w:rPr>
        <w:t xml:space="preserve">                    </w:t>
      </w:r>
      <w:r>
        <w:rPr>
          <w:rFonts w:ascii="Times New Roman" w:hAnsi="Times New Roman" w:eastAsia="宋体" w:cs="Times New Roman"/>
          <w:b/>
          <w:bCs/>
          <w:color w:val="auto"/>
          <w:szCs w:val="21"/>
          <w:u w:val="single"/>
        </w:rPr>
        <w:t xml:space="preserve">     </w:t>
      </w:r>
    </w:p>
    <w:p w14:paraId="2BB14D6E">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根据《中华人民共和国民法典》及国家的有关法律、行政法规的规定，遵循平等、自愿、公平和诚实信用的原则，甲乙双方就</w:t>
      </w:r>
      <w:r>
        <w:rPr>
          <w:rFonts w:hint="eastAsia" w:ascii="Times New Roman" w:hAnsi="Times New Roman" w:eastAsia="宋体" w:cs="Times New Roman"/>
          <w:color w:val="auto"/>
          <w:szCs w:val="21"/>
          <w:u w:val="single"/>
          <w:lang w:bidi="ar"/>
        </w:rPr>
        <w:t>2025~2027年度工地试验室试验仪器设备检定/校准服务量值溯源机构定点库采购</w:t>
      </w:r>
      <w:r>
        <w:rPr>
          <w:rFonts w:ascii="Times New Roman" w:hAnsi="Times New Roman" w:eastAsia="宋体" w:cs="Times New Roman"/>
          <w:color w:val="auto"/>
          <w:szCs w:val="21"/>
          <w:lang w:bidi="ar"/>
        </w:rPr>
        <w:t>事项协商一致，订立本</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具体内容如下：</w:t>
      </w:r>
    </w:p>
    <w:p w14:paraId="6E7CDA89">
      <w:pPr>
        <w:snapToGrid w:val="0"/>
        <w:spacing w:line="440" w:lineRule="exact"/>
        <w:ind w:firstLine="422" w:firstLineChars="200"/>
        <w:rPr>
          <w:rFonts w:ascii="Times New Roman" w:hAnsi="Times New Roman" w:eastAsia="宋体" w:cs="Times New Roman"/>
          <w:b/>
          <w:color w:val="auto"/>
          <w:szCs w:val="21"/>
          <w:lang w:bidi="ar"/>
        </w:rPr>
      </w:pPr>
      <w:r>
        <w:rPr>
          <w:rFonts w:ascii="Times New Roman" w:hAnsi="Times New Roman" w:eastAsia="宋体" w:cs="Times New Roman"/>
          <w:b/>
          <w:color w:val="auto"/>
          <w:szCs w:val="21"/>
          <w:lang w:bidi="ar"/>
        </w:rPr>
        <w:t>一、</w:t>
      </w:r>
      <w:r>
        <w:rPr>
          <w:rFonts w:ascii="Times New Roman" w:hAnsi="Times New Roman" w:cs="Times New Roman"/>
          <w:b/>
          <w:color w:val="auto"/>
          <w:sz w:val="24"/>
        </w:rPr>
        <w:t>总则</w:t>
      </w:r>
    </w:p>
    <w:p w14:paraId="73CAF2C1">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1、经双方确认，乙方为甲方提供的服务包括：</w:t>
      </w:r>
      <w:r>
        <w:rPr>
          <w:rFonts w:hint="eastAsia" w:ascii="Times New Roman" w:hAnsi="Times New Roman" w:eastAsia="宋体" w:cs="Times New Roman"/>
          <w:color w:val="auto"/>
          <w:szCs w:val="21"/>
          <w:u w:val="single"/>
          <w:lang w:bidi="ar"/>
        </w:rPr>
        <w:t xml:space="preserve">                  </w:t>
      </w:r>
      <w:r>
        <w:rPr>
          <w:rFonts w:ascii="Times New Roman" w:hAnsi="Times New Roman" w:eastAsia="宋体" w:cs="Times New Roman"/>
          <w:color w:val="auto"/>
          <w:szCs w:val="21"/>
          <w:lang w:bidi="ar"/>
        </w:rPr>
        <w:t>；</w:t>
      </w:r>
    </w:p>
    <w:p w14:paraId="7759ACFA">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2、</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执行有效期自</w:t>
      </w:r>
      <w:r>
        <w:rPr>
          <w:rFonts w:hint="eastAsia" w:ascii="Times New Roman" w:hAnsi="Times New Roman" w:eastAsia="宋体" w:cs="Times New Roman"/>
          <w:color w:val="auto"/>
          <w:szCs w:val="22"/>
          <w:u w:val="single"/>
          <w:lang w:val="en-US" w:eastAsia="zh-CN"/>
        </w:rPr>
        <w:t>合同签订之日</w:t>
      </w:r>
      <w:r>
        <w:rPr>
          <w:rFonts w:ascii="Times New Roman" w:hAnsi="Times New Roman" w:eastAsia="宋体" w:cs="Times New Roman"/>
          <w:color w:val="auto"/>
          <w:szCs w:val="21"/>
          <w:lang w:bidi="ar"/>
        </w:rPr>
        <w:t>至</w:t>
      </w:r>
      <w:r>
        <w:rPr>
          <w:rFonts w:hint="eastAsia" w:ascii="Times New Roman" w:hAnsi="Times New Roman" w:eastAsia="宋体" w:cs="Times New Roman"/>
          <w:color w:val="auto"/>
          <w:szCs w:val="21"/>
          <w:u w:val="single"/>
          <w:lang w:val="en-US" w:eastAsia="zh-CN" w:bidi="ar"/>
        </w:rPr>
        <w:t>2027年12月31日</w:t>
      </w:r>
      <w:r>
        <w:rPr>
          <w:rFonts w:hint="eastAsia" w:ascii="Times New Roman" w:hAnsi="Times New Roman" w:eastAsia="宋体" w:cs="Times New Roman"/>
          <w:color w:val="auto"/>
          <w:szCs w:val="21"/>
          <w:u w:val="single"/>
          <w:lang w:bidi="ar"/>
        </w:rPr>
        <w:t xml:space="preserve"> </w:t>
      </w:r>
      <w:r>
        <w:rPr>
          <w:rFonts w:ascii="Times New Roman" w:hAnsi="Times New Roman" w:eastAsia="宋体" w:cs="Times New Roman"/>
          <w:color w:val="auto"/>
          <w:szCs w:val="21"/>
          <w:lang w:bidi="ar"/>
        </w:rPr>
        <w:t>。</w:t>
      </w:r>
    </w:p>
    <w:p w14:paraId="6080F7E0">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3、双方同意严格遵守有关法律、法规规定，并保证提供的服务质量满足：</w:t>
      </w:r>
      <w:r>
        <w:rPr>
          <w:rFonts w:hint="eastAsia" w:ascii="Times New Roman" w:hAnsi="Times New Roman" w:eastAsia="宋体" w:cs="Times New Roman"/>
          <w:color w:val="auto"/>
          <w:szCs w:val="21"/>
          <w:u w:val="single"/>
          <w:lang w:val="en-US" w:eastAsia="zh-CN" w:bidi="ar"/>
        </w:rPr>
        <w:t xml:space="preserve">               </w:t>
      </w:r>
      <w:r>
        <w:rPr>
          <w:rFonts w:ascii="Times New Roman" w:hAnsi="Times New Roman" w:eastAsia="宋体" w:cs="Times New Roman"/>
          <w:color w:val="auto"/>
          <w:szCs w:val="21"/>
          <w:lang w:bidi="ar"/>
        </w:rPr>
        <w:t>。</w:t>
      </w:r>
    </w:p>
    <w:p w14:paraId="7E798C83">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4、合同价格（约定）：</w:t>
      </w:r>
      <w:r>
        <w:rPr>
          <w:rFonts w:ascii="Times New Roman" w:hAnsi="Times New Roman" w:eastAsia="宋体" w:cs="Times New Roman"/>
          <w:color w:val="auto"/>
          <w:szCs w:val="21"/>
          <w:u w:val="none"/>
          <w:lang w:bidi="ar"/>
        </w:rPr>
        <w:t>___________________</w:t>
      </w:r>
      <w:r>
        <w:rPr>
          <w:rFonts w:hint="eastAsia" w:ascii="Times New Roman" w:hAnsi="Times New Roman" w:eastAsia="宋体" w:cs="Times New Roman"/>
          <w:color w:val="auto"/>
          <w:szCs w:val="21"/>
          <w:u w:val="none"/>
          <w:lang w:eastAsia="zh-CN" w:bidi="ar"/>
        </w:rPr>
        <w:t>（</w:t>
      </w:r>
      <w:r>
        <w:rPr>
          <w:rFonts w:hint="eastAsia" w:ascii="Times New Roman" w:hAnsi="Times New Roman" w:eastAsia="宋体" w:cs="Times New Roman"/>
          <w:color w:val="auto"/>
          <w:szCs w:val="21"/>
          <w:u w:val="none"/>
          <w:lang w:val="en-US" w:eastAsia="zh-CN" w:bidi="ar"/>
        </w:rPr>
        <w:t>不含税</w:t>
      </w:r>
      <w:r>
        <w:rPr>
          <w:rFonts w:hint="eastAsia" w:ascii="Times New Roman" w:hAnsi="Times New Roman" w:eastAsia="宋体" w:cs="Times New Roman"/>
          <w:color w:val="auto"/>
          <w:szCs w:val="21"/>
          <w:u w:val="none"/>
          <w:lang w:eastAsia="zh-CN" w:bidi="ar"/>
        </w:rPr>
        <w:t>）</w:t>
      </w:r>
      <w:r>
        <w:rPr>
          <w:rFonts w:ascii="Times New Roman" w:hAnsi="Times New Roman" w:eastAsia="宋体" w:cs="Times New Roman"/>
          <w:color w:val="auto"/>
          <w:szCs w:val="21"/>
          <w:lang w:bidi="ar"/>
        </w:rPr>
        <w:t>。</w:t>
      </w:r>
    </w:p>
    <w:p w14:paraId="14E31646">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5、双方应本着诚实信用的原则认真履行本</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项下的各项义务，具体项目以甲方下达的通知为准</w:t>
      </w:r>
      <w:r>
        <w:rPr>
          <w:rFonts w:hint="eastAsia" w:ascii="Times New Roman" w:hAnsi="Times New Roman" w:eastAsia="宋体" w:cs="Times New Roman"/>
          <w:color w:val="auto"/>
          <w:szCs w:val="21"/>
          <w:lang w:bidi="ar"/>
        </w:rPr>
        <w:t>。</w:t>
      </w:r>
    </w:p>
    <w:p w14:paraId="61189D79">
      <w:pPr>
        <w:tabs>
          <w:tab w:val="left" w:pos="709"/>
          <w:tab w:val="left" w:pos="851"/>
        </w:tabs>
        <w:adjustRightInd w:val="0"/>
        <w:snapToGrid w:val="0"/>
        <w:spacing w:line="440" w:lineRule="exact"/>
        <w:ind w:firstLine="420" w:firstLineChars="200"/>
        <w:textAlignment w:val="baseline"/>
        <w:rPr>
          <w:rFonts w:hint="eastAsia"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6、每年乙方完成仪器设备计量服务后，</w:t>
      </w:r>
      <w:r>
        <w:rPr>
          <w:rFonts w:hint="eastAsia" w:ascii="Times New Roman" w:hAnsi="Times New Roman" w:eastAsia="宋体" w:cs="Times New Roman"/>
          <w:color w:val="auto"/>
          <w:szCs w:val="21"/>
          <w:lang w:val="en-US" w:eastAsia="zh-CN" w:bidi="ar"/>
        </w:rPr>
        <w:t>按项目进行结算，由乙方提出支付申请，</w:t>
      </w:r>
      <w:r>
        <w:rPr>
          <w:rFonts w:hint="eastAsia" w:ascii="Times New Roman" w:hAnsi="Times New Roman" w:eastAsia="宋体" w:cs="Times New Roman"/>
          <w:color w:val="auto"/>
          <w:szCs w:val="21"/>
          <w:lang w:bidi="ar"/>
        </w:rPr>
        <w:t>经</w:t>
      </w:r>
      <w:r>
        <w:rPr>
          <w:rFonts w:hint="eastAsia" w:ascii="Times New Roman" w:hAnsi="Times New Roman" w:eastAsia="宋体" w:cs="Times New Roman"/>
          <w:color w:val="auto"/>
          <w:szCs w:val="21"/>
          <w:lang w:val="en-US" w:eastAsia="zh-CN" w:bidi="ar"/>
        </w:rPr>
        <w:t>项目负责人</w:t>
      </w:r>
      <w:r>
        <w:rPr>
          <w:rFonts w:hint="eastAsia" w:ascii="Times New Roman" w:hAnsi="Times New Roman" w:eastAsia="宋体" w:cs="Times New Roman"/>
          <w:color w:val="auto"/>
          <w:szCs w:val="21"/>
          <w:lang w:bidi="ar"/>
        </w:rPr>
        <w:t>确认，支付整年计量费。</w:t>
      </w:r>
    </w:p>
    <w:p w14:paraId="5C566066">
      <w:pPr>
        <w:tabs>
          <w:tab w:val="left" w:pos="709"/>
          <w:tab w:val="left" w:pos="851"/>
        </w:tabs>
        <w:adjustRightInd w:val="0"/>
        <w:snapToGrid w:val="0"/>
        <w:spacing w:line="440" w:lineRule="exact"/>
        <w:ind w:firstLine="420" w:firstLineChars="200"/>
        <w:textAlignment w:val="baseline"/>
      </w:pPr>
      <w:r>
        <w:rPr>
          <w:rFonts w:hint="eastAsia"/>
          <w:lang w:val="en-US" w:eastAsia="zh-CN"/>
        </w:rPr>
        <w:t>7、</w:t>
      </w:r>
      <w:r>
        <w:rPr>
          <w:rFonts w:hint="eastAsia"/>
        </w:rPr>
        <w:t>若试验室分主点和副点，副点的仪器按照主点仪器数量的占比进行结算（计算数量不含试模及配件），即结算金额为占比比例*主点路基/路面仪器报价。</w:t>
      </w:r>
    </w:p>
    <w:p w14:paraId="07A42A86">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val="en-US" w:eastAsia="zh-CN" w:bidi="ar"/>
        </w:rPr>
        <w:t>8</w:t>
      </w:r>
      <w:r>
        <w:rPr>
          <w:rFonts w:ascii="Times New Roman" w:hAnsi="Times New Roman" w:eastAsia="宋体" w:cs="Times New Roman"/>
          <w:color w:val="auto"/>
          <w:szCs w:val="21"/>
          <w:lang w:bidi="ar"/>
        </w:rPr>
        <w:t>、履约保证金的</w:t>
      </w:r>
      <w:r>
        <w:rPr>
          <w:rFonts w:hint="eastAsia" w:ascii="Times New Roman" w:hAnsi="Times New Roman" w:eastAsia="宋体" w:cs="Times New Roman"/>
          <w:color w:val="auto"/>
          <w:szCs w:val="21"/>
          <w:lang w:bidi="ar"/>
        </w:rPr>
        <w:t>金额为人民币</w:t>
      </w:r>
      <w:r>
        <w:rPr>
          <w:rFonts w:hint="eastAsia" w:ascii="Times New Roman" w:hAnsi="Times New Roman" w:eastAsia="宋体" w:cs="Times New Roman"/>
          <w:color w:val="auto"/>
          <w:szCs w:val="21"/>
          <w:lang w:val="en-US" w:eastAsia="zh-CN" w:bidi="ar"/>
        </w:rPr>
        <w:t>2</w:t>
      </w:r>
      <w:r>
        <w:rPr>
          <w:rFonts w:hint="eastAsia" w:ascii="Times New Roman" w:hAnsi="Times New Roman" w:eastAsia="宋体" w:cs="Times New Roman"/>
          <w:color w:val="auto"/>
          <w:szCs w:val="21"/>
          <w:lang w:bidi="ar"/>
        </w:rPr>
        <w:t>000</w:t>
      </w:r>
      <w:r>
        <w:rPr>
          <w:rFonts w:hint="eastAsia" w:ascii="Times New Roman" w:hAnsi="Times New Roman" w:eastAsia="宋体" w:cs="Times New Roman"/>
          <w:color w:val="auto"/>
          <w:szCs w:val="21"/>
          <w:lang w:val="en-US" w:eastAsia="zh-CN" w:bidi="ar"/>
        </w:rPr>
        <w:t>0</w:t>
      </w:r>
      <w:r>
        <w:rPr>
          <w:rFonts w:hint="eastAsia" w:ascii="Times New Roman" w:hAnsi="Times New Roman" w:eastAsia="宋体" w:cs="Times New Roman"/>
          <w:color w:val="auto"/>
          <w:szCs w:val="21"/>
          <w:lang w:bidi="ar"/>
        </w:rPr>
        <w:t>元</w:t>
      </w:r>
      <w:r>
        <w:rPr>
          <w:rFonts w:ascii="Times New Roman" w:hAnsi="Times New Roman" w:eastAsia="宋体" w:cs="Times New Roman"/>
          <w:color w:val="auto"/>
          <w:szCs w:val="21"/>
          <w:lang w:bidi="ar"/>
        </w:rPr>
        <w:t>，履约保证金的形式为银行转账</w:t>
      </w:r>
      <w:r>
        <w:rPr>
          <w:rFonts w:hint="eastAsia" w:ascii="Times New Roman" w:hAnsi="Times New Roman" w:eastAsia="宋体" w:cs="Times New Roman"/>
          <w:color w:val="auto"/>
          <w:szCs w:val="21"/>
          <w:lang w:val="en-US" w:eastAsia="zh-CN" w:bidi="ar"/>
        </w:rPr>
        <w:t>或履约保函</w:t>
      </w:r>
      <w:r>
        <w:rPr>
          <w:rFonts w:ascii="Times New Roman" w:hAnsi="Times New Roman" w:eastAsia="宋体" w:cs="Times New Roman"/>
          <w:color w:val="auto"/>
          <w:szCs w:val="21"/>
          <w:lang w:bidi="ar"/>
        </w:rPr>
        <w:t>。</w:t>
      </w:r>
    </w:p>
    <w:p w14:paraId="2C1DE6E3">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val="en-US" w:eastAsia="zh-CN" w:bidi="ar"/>
        </w:rPr>
        <w:t>9</w:t>
      </w:r>
      <w:r>
        <w:rPr>
          <w:rFonts w:hint="eastAsia" w:ascii="Times New Roman" w:hAnsi="Times New Roman" w:eastAsia="宋体" w:cs="Times New Roman"/>
          <w:color w:val="auto"/>
          <w:szCs w:val="21"/>
          <w:lang w:bidi="ar"/>
        </w:rPr>
        <w:t>、实际结算金额按照</w:t>
      </w:r>
      <w:r>
        <w:rPr>
          <w:rFonts w:hint="eastAsia" w:ascii="Times New Roman" w:hAnsi="Times New Roman" w:eastAsia="宋体" w:cs="Times New Roman"/>
          <w:color w:val="auto"/>
          <w:szCs w:val="21"/>
          <w:lang w:val="en-US" w:eastAsia="zh-CN" w:bidi="ar"/>
        </w:rPr>
        <w:t>分项</w:t>
      </w:r>
      <w:r>
        <w:rPr>
          <w:rFonts w:hint="eastAsia" w:ascii="Times New Roman" w:hAnsi="Times New Roman" w:eastAsia="宋体" w:cs="Times New Roman"/>
          <w:color w:val="auto"/>
          <w:szCs w:val="21"/>
          <w:lang w:bidi="ar"/>
        </w:rPr>
        <w:t>*报价费率进行结算。</w:t>
      </w:r>
    </w:p>
    <w:p w14:paraId="7365DE18">
      <w:pPr>
        <w:keepNext w:val="0"/>
        <w:keepLines w:val="0"/>
        <w:pageBreakBefore w:val="0"/>
        <w:widowControl w:val="0"/>
        <w:kinsoku/>
        <w:wordWrap/>
        <w:overflowPunct/>
        <w:topLinePunct w:val="0"/>
        <w:autoSpaceDE/>
        <w:autoSpaceDN/>
        <w:bidi w:val="0"/>
        <w:adjustRightInd/>
        <w:snapToGrid w:val="0"/>
        <w:spacing w:after="157" w:afterLines="50" w:line="440" w:lineRule="exact"/>
        <w:ind w:firstLine="482" w:firstLineChars="200"/>
        <w:textAlignment w:val="auto"/>
        <w:rPr>
          <w:rFonts w:ascii="Times New Roman" w:hAnsi="Times New Roman" w:cs="Times New Roman"/>
          <w:b/>
          <w:color w:val="auto"/>
          <w:sz w:val="24"/>
        </w:rPr>
      </w:pPr>
      <w:bookmarkStart w:id="114" w:name="_Toc199574623"/>
      <w:bookmarkStart w:id="115" w:name="_Toc417454846"/>
      <w:bookmarkStart w:id="116" w:name="_Toc260217325"/>
      <w:r>
        <w:rPr>
          <w:rFonts w:ascii="Times New Roman" w:hAnsi="Times New Roman" w:cs="Times New Roman"/>
          <w:b/>
          <w:color w:val="auto"/>
          <w:sz w:val="24"/>
        </w:rPr>
        <w:t>二、甲方的权利和义务</w:t>
      </w:r>
      <w:bookmarkEnd w:id="114"/>
      <w:bookmarkEnd w:id="115"/>
      <w:bookmarkEnd w:id="116"/>
    </w:p>
    <w:p w14:paraId="7915F71A">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1、甲方将依照有关法规、规章的规定，以及本</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所约定的条款向乙方进行采购、签订合同及支付合同款。</w:t>
      </w:r>
      <w:r>
        <w:rPr>
          <w:rFonts w:hint="eastAsia" w:ascii="Times New Roman" w:hAnsi="Times New Roman" w:eastAsia="宋体" w:cs="Times New Roman"/>
          <w:color w:val="auto"/>
          <w:szCs w:val="21"/>
          <w:lang w:bidi="ar"/>
        </w:rPr>
        <w:t xml:space="preserve"> </w:t>
      </w:r>
    </w:p>
    <w:p w14:paraId="078BD2C3">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2</w:t>
      </w:r>
      <w:r>
        <w:rPr>
          <w:rFonts w:ascii="Times New Roman" w:hAnsi="Times New Roman" w:eastAsia="宋体" w:cs="Times New Roman"/>
          <w:color w:val="auto"/>
          <w:szCs w:val="21"/>
          <w:lang w:bidi="ar"/>
        </w:rPr>
        <w:t>、甲方有权对乙方提供的服务质量进行管理、监督、检查和验收，</w:t>
      </w:r>
      <w:r>
        <w:rPr>
          <w:rFonts w:hint="eastAsia" w:ascii="Times New Roman" w:hAnsi="Times New Roman" w:eastAsia="宋体" w:cs="Times New Roman"/>
          <w:color w:val="auto"/>
          <w:szCs w:val="21"/>
          <w:lang w:bidi="ar"/>
        </w:rPr>
        <w:t>存在问题的</w:t>
      </w:r>
      <w:r>
        <w:rPr>
          <w:rFonts w:ascii="Times New Roman" w:hAnsi="Times New Roman" w:eastAsia="宋体" w:cs="Times New Roman"/>
          <w:color w:val="auto"/>
          <w:szCs w:val="21"/>
          <w:lang w:bidi="ar"/>
        </w:rPr>
        <w:t>甲方有权要求乙方采取整改措施。</w:t>
      </w:r>
    </w:p>
    <w:p w14:paraId="37C6F78E">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3</w:t>
      </w:r>
      <w:r>
        <w:rPr>
          <w:rFonts w:ascii="Times New Roman" w:hAnsi="Times New Roman" w:eastAsia="宋体" w:cs="Times New Roman"/>
          <w:color w:val="auto"/>
          <w:szCs w:val="21"/>
          <w:lang w:bidi="ar"/>
        </w:rPr>
        <w:t>、甲方</w:t>
      </w:r>
      <w:r>
        <w:rPr>
          <w:rFonts w:hint="eastAsia" w:ascii="Times New Roman" w:hAnsi="Times New Roman" w:eastAsia="宋体" w:cs="Times New Roman"/>
          <w:color w:val="auto"/>
          <w:szCs w:val="21"/>
          <w:lang w:bidi="ar"/>
        </w:rPr>
        <w:t>有权</w:t>
      </w:r>
      <w:r>
        <w:rPr>
          <w:rFonts w:ascii="Times New Roman" w:hAnsi="Times New Roman" w:eastAsia="宋体" w:cs="Times New Roman"/>
          <w:color w:val="auto"/>
          <w:szCs w:val="21"/>
          <w:lang w:bidi="ar"/>
        </w:rPr>
        <w:t>就乙方的工作制定相关考核细则，乙方在合同期内须接受甲方的考核。对于考核情况</w:t>
      </w:r>
      <w:r>
        <w:rPr>
          <w:rFonts w:hint="eastAsia" w:ascii="Times New Roman" w:hAnsi="Times New Roman" w:eastAsia="宋体" w:cs="Times New Roman"/>
          <w:color w:val="auto"/>
          <w:szCs w:val="21"/>
          <w:lang w:bidi="ar"/>
        </w:rPr>
        <w:t>不达标</w:t>
      </w:r>
      <w:r>
        <w:rPr>
          <w:rFonts w:ascii="Times New Roman" w:hAnsi="Times New Roman" w:eastAsia="宋体" w:cs="Times New Roman"/>
          <w:color w:val="auto"/>
          <w:szCs w:val="21"/>
          <w:lang w:bidi="ar"/>
        </w:rPr>
        <w:t>的单位，甲方有权随时终止</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w:t>
      </w:r>
    </w:p>
    <w:p w14:paraId="4B84B839">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4</w:t>
      </w:r>
      <w:r>
        <w:rPr>
          <w:rFonts w:ascii="Times New Roman" w:hAnsi="Times New Roman" w:eastAsia="宋体" w:cs="Times New Roman"/>
          <w:color w:val="auto"/>
          <w:szCs w:val="21"/>
          <w:lang w:bidi="ar"/>
        </w:rPr>
        <w:t>、甲方应向乙方提供各项目的相关要求和资料，由甲方或甲方委托的第三方机构负责项目有关技术、质量、安全、环保等交底工作</w:t>
      </w:r>
      <w:r>
        <w:rPr>
          <w:rFonts w:hint="eastAsia" w:ascii="Times New Roman" w:hAnsi="Times New Roman" w:eastAsia="宋体" w:cs="Times New Roman"/>
          <w:color w:val="auto"/>
          <w:szCs w:val="21"/>
          <w:lang w:bidi="ar"/>
        </w:rPr>
        <w:t>。</w:t>
      </w:r>
    </w:p>
    <w:p w14:paraId="27A5E796">
      <w:pPr>
        <w:pStyle w:val="2"/>
        <w:spacing w:after="0" w:line="360" w:lineRule="auto"/>
        <w:ind w:firstLine="420" w:firstLineChars="200"/>
        <w:rPr>
          <w:rFonts w:ascii="Times New Roman" w:hAnsi="Times New Roman" w:eastAsia="宋体" w:cs="Times New Roman"/>
          <w:color w:val="auto"/>
          <w:szCs w:val="21"/>
          <w:lang w:bidi="ar"/>
        </w:rPr>
      </w:pPr>
      <w:r>
        <w:rPr>
          <w:rFonts w:hint="eastAsia"/>
          <w:color w:val="auto"/>
        </w:rPr>
        <w:t>5、</w:t>
      </w:r>
      <w:r>
        <w:rPr>
          <w:rFonts w:hint="eastAsia" w:ascii="Times New Roman" w:hAnsi="Times New Roman" w:eastAsia="宋体" w:cs="Times New Roman"/>
          <w:color w:val="auto"/>
          <w:szCs w:val="21"/>
          <w:lang w:bidi="ar"/>
        </w:rPr>
        <w:t>甲方有权要求乙方在规定时间内完成试验检测仪器设备检定/校准工作，并获得检定/校准证书</w:t>
      </w:r>
      <w:r>
        <w:rPr>
          <w:rFonts w:ascii="Times New Roman" w:hAnsi="Times New Roman" w:eastAsia="宋体" w:cs="Times New Roman"/>
          <w:color w:val="auto"/>
          <w:szCs w:val="21"/>
          <w:lang w:bidi="ar"/>
        </w:rPr>
        <w:t>。</w:t>
      </w:r>
    </w:p>
    <w:p w14:paraId="18EFD038">
      <w:pPr>
        <w:pStyle w:val="2"/>
        <w:spacing w:after="0" w:line="360" w:lineRule="auto"/>
        <w:ind w:firstLine="420" w:firstLineChars="200"/>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6、甲方有权要求乙方按照仪器设备的具体工作量程及检校参数进行设备的检定/校准。</w:t>
      </w:r>
    </w:p>
    <w:p w14:paraId="5B36449F">
      <w:pPr>
        <w:pStyle w:val="2"/>
        <w:spacing w:after="0" w:line="360" w:lineRule="auto"/>
        <w:ind w:firstLine="420" w:firstLineChars="200"/>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7</w:t>
      </w:r>
      <w:r>
        <w:rPr>
          <w:rFonts w:ascii="Times New Roman" w:hAnsi="Times New Roman" w:eastAsia="宋体" w:cs="Times New Roman"/>
          <w:color w:val="auto"/>
          <w:szCs w:val="21"/>
          <w:lang w:bidi="ar"/>
        </w:rPr>
        <w:t>、甲方为乙方完成工作提供必要的协助。</w:t>
      </w:r>
    </w:p>
    <w:p w14:paraId="163CB2B1">
      <w:pPr>
        <w:pStyle w:val="2"/>
        <w:spacing w:after="0" w:line="360" w:lineRule="auto"/>
        <w:ind w:firstLine="420" w:firstLineChars="200"/>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8</w:t>
      </w:r>
      <w:r>
        <w:rPr>
          <w:rFonts w:ascii="Times New Roman" w:hAnsi="Times New Roman" w:eastAsia="宋体" w:cs="Times New Roman"/>
          <w:color w:val="auto"/>
          <w:szCs w:val="21"/>
          <w:lang w:bidi="ar"/>
        </w:rPr>
        <w:t>、甲方保证依法履行此</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全部约定义务。</w:t>
      </w:r>
    </w:p>
    <w:p w14:paraId="451447F9">
      <w:pPr>
        <w:snapToGrid w:val="0"/>
        <w:spacing w:line="360" w:lineRule="auto"/>
        <w:ind w:firstLine="422" w:firstLineChars="200"/>
        <w:rPr>
          <w:rFonts w:ascii="Times New Roman" w:hAnsi="Times New Roman" w:eastAsia="宋体" w:cs="Times New Roman"/>
          <w:b/>
          <w:color w:val="auto"/>
          <w:szCs w:val="21"/>
        </w:rPr>
      </w:pPr>
      <w:bookmarkStart w:id="117" w:name="_Toc260217326"/>
      <w:bookmarkStart w:id="118" w:name="_Toc199574624"/>
      <w:bookmarkStart w:id="119" w:name="_Toc417454847"/>
      <w:r>
        <w:rPr>
          <w:rFonts w:ascii="Times New Roman" w:hAnsi="Times New Roman" w:eastAsia="宋体" w:cs="Times New Roman"/>
          <w:b/>
          <w:color w:val="auto"/>
          <w:szCs w:val="21"/>
          <w:lang w:bidi="ar"/>
        </w:rPr>
        <w:t>三、乙方的权利和义务</w:t>
      </w:r>
      <w:bookmarkEnd w:id="117"/>
      <w:bookmarkEnd w:id="118"/>
      <w:bookmarkEnd w:id="119"/>
    </w:p>
    <w:p w14:paraId="5B02927D">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1、乙方只有在与甲方签订本</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后，才获得本合同下承接相关工作的有效资格。</w:t>
      </w:r>
    </w:p>
    <w:p w14:paraId="29D71592">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2、严格执行国家法律法规，守法经营，按章办事，自觉维护甲方利益。</w:t>
      </w:r>
    </w:p>
    <w:p w14:paraId="3D43FA82">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3、乙方所提供的服务质量满足必须满足相关规范要求及甲方需求。</w:t>
      </w:r>
    </w:p>
    <w:p w14:paraId="20FADB7A">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4、乙方应保证在接到甲方通知要求后24h内派遣相关工作人员与甲方联系人取得联系，对接具体项目需求，并在甲方要求的时限内提交相应工作方案。</w:t>
      </w:r>
    </w:p>
    <w:p w14:paraId="63F30164">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5</w:t>
      </w:r>
      <w:r>
        <w:rPr>
          <w:rFonts w:ascii="Times New Roman" w:hAnsi="Times New Roman" w:eastAsia="宋体" w:cs="Times New Roman"/>
          <w:color w:val="auto"/>
          <w:szCs w:val="21"/>
          <w:lang w:bidi="ar"/>
        </w:rPr>
        <w:t>、乙方应配合甲方或甲方委托的第三方机构对乙方提供的服务进行检查（检测）。乙方提供的服务质量不符合标准的，由乙方承担检查（检测）费用及相关责任，对甲方造成损失的，还应赔偿相应损失。</w:t>
      </w:r>
    </w:p>
    <w:p w14:paraId="363C1B59">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6、</w:t>
      </w:r>
      <w:r>
        <w:rPr>
          <w:rFonts w:ascii="Times New Roman" w:hAnsi="Times New Roman" w:eastAsia="宋体" w:cs="Times New Roman"/>
          <w:color w:val="auto"/>
          <w:szCs w:val="21"/>
          <w:lang w:bidi="ar"/>
        </w:rPr>
        <w:t>乙方根据甲方的仪器设备检定/校准需求提供上门检定/校准服务，如需带回</w:t>
      </w:r>
      <w:r>
        <w:rPr>
          <w:rFonts w:hint="eastAsia" w:ascii="Times New Roman" w:hAnsi="Times New Roman" w:eastAsia="宋体" w:cs="Times New Roman"/>
          <w:color w:val="auto"/>
          <w:szCs w:val="21"/>
          <w:lang w:val="en-US" w:eastAsia="zh-CN" w:bidi="ar"/>
        </w:rPr>
        <w:t>试</w:t>
      </w:r>
      <w:r>
        <w:rPr>
          <w:rFonts w:ascii="Times New Roman" w:hAnsi="Times New Roman" w:eastAsia="宋体" w:cs="Times New Roman"/>
          <w:color w:val="auto"/>
          <w:szCs w:val="21"/>
          <w:lang w:bidi="ar"/>
        </w:rPr>
        <w:t>验室检定/校准，由乙方</w:t>
      </w:r>
      <w:r>
        <w:rPr>
          <w:rFonts w:hint="eastAsia" w:ascii="Times New Roman" w:hAnsi="Times New Roman" w:eastAsia="宋体" w:cs="Times New Roman"/>
          <w:color w:val="auto"/>
          <w:szCs w:val="21"/>
          <w:lang w:bidi="ar"/>
        </w:rPr>
        <w:t>负责</w:t>
      </w:r>
      <w:r>
        <w:rPr>
          <w:rFonts w:ascii="Times New Roman" w:hAnsi="Times New Roman" w:eastAsia="宋体" w:cs="Times New Roman"/>
          <w:color w:val="auto"/>
          <w:szCs w:val="21"/>
          <w:lang w:bidi="ar"/>
        </w:rPr>
        <w:t>带走检测设备并于检定/校准结束后及时送还</w:t>
      </w:r>
      <w:r>
        <w:rPr>
          <w:rFonts w:hint="eastAsia" w:ascii="Times New Roman" w:hAnsi="Times New Roman" w:eastAsia="宋体" w:cs="Times New Roman"/>
          <w:color w:val="auto"/>
          <w:szCs w:val="21"/>
          <w:lang w:bidi="ar"/>
        </w:rPr>
        <w:t>甲方指定地点</w:t>
      </w:r>
      <w:r>
        <w:rPr>
          <w:rFonts w:ascii="Times New Roman" w:hAnsi="Times New Roman" w:eastAsia="宋体" w:cs="Times New Roman"/>
          <w:color w:val="auto"/>
          <w:szCs w:val="21"/>
          <w:lang w:bidi="ar"/>
        </w:rPr>
        <w:t>，且双方应做好设备交接手续，乙方对带出检定/校准期间的甲方设备负有妥善保管义务，不得损坏或丢失，否则应当赔偿甲方损失</w:t>
      </w:r>
      <w:r>
        <w:rPr>
          <w:rFonts w:hint="eastAsia" w:ascii="Times New Roman" w:hAnsi="Times New Roman" w:eastAsia="宋体" w:cs="Times New Roman"/>
          <w:color w:val="auto"/>
          <w:szCs w:val="21"/>
          <w:lang w:bidi="ar"/>
        </w:rPr>
        <w:t>。</w:t>
      </w:r>
    </w:p>
    <w:p w14:paraId="733F0245">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7、</w:t>
      </w:r>
      <w:r>
        <w:rPr>
          <w:rFonts w:ascii="Times New Roman" w:hAnsi="Times New Roman" w:eastAsia="宋体" w:cs="Times New Roman"/>
          <w:color w:val="auto"/>
          <w:szCs w:val="21"/>
          <w:lang w:bidi="ar"/>
        </w:rPr>
        <w:t>乙方</w:t>
      </w:r>
      <w:r>
        <w:rPr>
          <w:rFonts w:hint="eastAsia" w:ascii="Times New Roman" w:hAnsi="Times New Roman" w:eastAsia="宋体" w:cs="Times New Roman"/>
          <w:color w:val="auto"/>
          <w:szCs w:val="21"/>
          <w:lang w:bidi="ar"/>
        </w:rPr>
        <w:t>对于</w:t>
      </w:r>
      <w:r>
        <w:rPr>
          <w:rFonts w:ascii="Times New Roman" w:hAnsi="Times New Roman" w:eastAsia="宋体" w:cs="Times New Roman"/>
          <w:color w:val="auto"/>
          <w:szCs w:val="21"/>
          <w:lang w:bidi="ar"/>
        </w:rPr>
        <w:t>现场检定/校准、仪器送检的</w:t>
      </w:r>
      <w:r>
        <w:rPr>
          <w:rFonts w:hint="eastAsia" w:ascii="Times New Roman" w:hAnsi="Times New Roman" w:eastAsia="宋体" w:cs="Times New Roman"/>
          <w:color w:val="auto"/>
          <w:szCs w:val="21"/>
          <w:lang w:bidi="ar"/>
        </w:rPr>
        <w:t>试验检测仪器设备</w:t>
      </w:r>
      <w:r>
        <w:rPr>
          <w:rFonts w:ascii="Times New Roman" w:hAnsi="Times New Roman" w:eastAsia="宋体" w:cs="Times New Roman"/>
          <w:color w:val="auto"/>
          <w:szCs w:val="21"/>
          <w:lang w:bidi="ar"/>
        </w:rPr>
        <w:t>，原则上在</w:t>
      </w:r>
      <w:r>
        <w:rPr>
          <w:rFonts w:hint="eastAsia" w:ascii="Times New Roman" w:hAnsi="Times New Roman" w:eastAsia="宋体" w:cs="Times New Roman"/>
          <w:color w:val="auto"/>
          <w:szCs w:val="21"/>
          <w:lang w:bidi="ar"/>
        </w:rPr>
        <w:t>15</w:t>
      </w:r>
      <w:r>
        <w:rPr>
          <w:rFonts w:ascii="Times New Roman" w:hAnsi="Times New Roman" w:eastAsia="宋体" w:cs="Times New Roman"/>
          <w:color w:val="auto"/>
          <w:szCs w:val="21"/>
          <w:lang w:bidi="ar"/>
        </w:rPr>
        <w:t>个工作日内出具证书，</w:t>
      </w:r>
      <w:r>
        <w:rPr>
          <w:rFonts w:hint="eastAsia" w:ascii="Times New Roman" w:hAnsi="Times New Roman" w:eastAsia="宋体" w:cs="Times New Roman"/>
          <w:color w:val="auto"/>
          <w:szCs w:val="21"/>
          <w:lang w:bidi="ar"/>
        </w:rPr>
        <w:t>成交响应人</w:t>
      </w:r>
      <w:r>
        <w:rPr>
          <w:rFonts w:ascii="Times New Roman" w:hAnsi="Times New Roman" w:eastAsia="宋体" w:cs="Times New Roman"/>
          <w:color w:val="auto"/>
          <w:szCs w:val="21"/>
          <w:lang w:bidi="ar"/>
        </w:rPr>
        <w:t>应在约定时间完成检定/校准服务、出具检定/校准证书并送达</w:t>
      </w:r>
      <w:r>
        <w:rPr>
          <w:rFonts w:hint="eastAsia" w:ascii="Times New Roman" w:hAnsi="Times New Roman" w:eastAsia="宋体" w:cs="Times New Roman"/>
          <w:color w:val="auto"/>
          <w:szCs w:val="21"/>
          <w:lang w:bidi="ar"/>
        </w:rPr>
        <w:t>甲方指定地点</w:t>
      </w:r>
      <w:r>
        <w:rPr>
          <w:rFonts w:ascii="Times New Roman" w:hAnsi="Times New Roman" w:eastAsia="宋体" w:cs="Times New Roman"/>
          <w:color w:val="auto"/>
          <w:szCs w:val="21"/>
          <w:lang w:bidi="ar"/>
        </w:rPr>
        <w:t>。</w:t>
      </w:r>
    </w:p>
    <w:p w14:paraId="4CE71DFF">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8、</w:t>
      </w:r>
      <w:r>
        <w:rPr>
          <w:rFonts w:ascii="Times New Roman" w:hAnsi="Times New Roman" w:eastAsia="宋体" w:cs="Times New Roman"/>
          <w:color w:val="auto"/>
          <w:szCs w:val="21"/>
          <w:lang w:bidi="ar"/>
        </w:rPr>
        <w:t>检测设备超过乙方计量能力范围的，经甲方书面同意后由乙方负责代送至有相应资质的检定/校准机构并向甲方提供外协检定/校准机构相应资质供甲方备案</w:t>
      </w:r>
      <w:r>
        <w:rPr>
          <w:rFonts w:hint="eastAsia" w:ascii="Times New Roman" w:hAnsi="Times New Roman" w:eastAsia="宋体" w:cs="Times New Roman"/>
          <w:color w:val="auto"/>
          <w:szCs w:val="21"/>
          <w:lang w:eastAsia="zh-CN" w:bidi="ar"/>
        </w:rPr>
        <w:t>，</w:t>
      </w:r>
      <w:r>
        <w:rPr>
          <w:rFonts w:hint="eastAsia" w:ascii="Times New Roman" w:hAnsi="Times New Roman" w:eastAsia="宋体" w:cs="Times New Roman"/>
          <w:color w:val="auto"/>
          <w:szCs w:val="21"/>
          <w:lang w:val="en-US" w:eastAsia="zh-CN" w:bidi="ar"/>
        </w:rPr>
        <w:t>费用由乙方承担，甲方不另行支付</w:t>
      </w:r>
      <w:r>
        <w:rPr>
          <w:rFonts w:ascii="Times New Roman" w:hAnsi="Times New Roman" w:eastAsia="宋体" w:cs="Times New Roman"/>
          <w:color w:val="auto"/>
          <w:szCs w:val="21"/>
          <w:lang w:bidi="ar"/>
        </w:rPr>
        <w:t>。</w:t>
      </w:r>
    </w:p>
    <w:p w14:paraId="1CF95A2B">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9</w:t>
      </w:r>
      <w:r>
        <w:rPr>
          <w:rFonts w:ascii="Times New Roman" w:hAnsi="Times New Roman" w:eastAsia="宋体" w:cs="Times New Roman"/>
          <w:color w:val="auto"/>
          <w:szCs w:val="21"/>
          <w:lang w:bidi="ar"/>
        </w:rPr>
        <w:t>、乙方不得转让和违规分包合同内容。</w:t>
      </w:r>
    </w:p>
    <w:p w14:paraId="5536AA14">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10</w:t>
      </w:r>
      <w:r>
        <w:rPr>
          <w:rFonts w:ascii="Times New Roman" w:hAnsi="Times New Roman" w:eastAsia="宋体" w:cs="Times New Roman"/>
          <w:color w:val="auto"/>
          <w:szCs w:val="21"/>
          <w:lang w:bidi="ar"/>
        </w:rPr>
        <w:t>、乙方应对甲方及项目的相关信息承担保密义务。</w:t>
      </w:r>
    </w:p>
    <w:p w14:paraId="0F494564">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11</w:t>
      </w:r>
      <w:r>
        <w:rPr>
          <w:rFonts w:ascii="Times New Roman" w:hAnsi="Times New Roman" w:eastAsia="宋体" w:cs="Times New Roman"/>
          <w:color w:val="auto"/>
          <w:szCs w:val="21"/>
          <w:lang w:bidi="ar"/>
        </w:rPr>
        <w:t>、乙方不得向甲方或有关工作人员行贿或提供其它不正当利益。</w:t>
      </w:r>
    </w:p>
    <w:p w14:paraId="1BE1C5FC">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12</w:t>
      </w:r>
      <w:r>
        <w:rPr>
          <w:rFonts w:ascii="Times New Roman" w:hAnsi="Times New Roman" w:eastAsia="宋体" w:cs="Times New Roman"/>
          <w:color w:val="auto"/>
          <w:szCs w:val="21"/>
          <w:lang w:bidi="ar"/>
        </w:rPr>
        <w:t>、乙方承诺：甲方已充分提示，乙方亦已经保证：乙方在本项目项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因素、原因、责任，任何情况下乙方均应当承担相应的法律责任。</w:t>
      </w:r>
    </w:p>
    <w:p w14:paraId="7D22BF80">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1</w:t>
      </w:r>
      <w:r>
        <w:rPr>
          <w:rFonts w:hint="eastAsia" w:ascii="Times New Roman" w:hAnsi="Times New Roman" w:eastAsia="宋体" w:cs="Times New Roman"/>
          <w:color w:val="auto"/>
          <w:szCs w:val="21"/>
          <w:lang w:bidi="ar"/>
        </w:rPr>
        <w:t>3</w:t>
      </w:r>
      <w:r>
        <w:rPr>
          <w:rFonts w:ascii="Times New Roman" w:hAnsi="Times New Roman" w:eastAsia="宋体" w:cs="Times New Roman"/>
          <w:color w:val="auto"/>
          <w:szCs w:val="21"/>
          <w:lang w:bidi="ar"/>
        </w:rPr>
        <w:t>、</w:t>
      </w:r>
      <w:r>
        <w:rPr>
          <w:rFonts w:hint="eastAsia" w:ascii="Times New Roman" w:hAnsi="Times New Roman" w:eastAsia="宋体" w:cs="Times New Roman"/>
          <w:color w:val="auto"/>
          <w:szCs w:val="21"/>
          <w:lang w:bidi="ar"/>
        </w:rPr>
        <w:t>在甲方取得相关合同授权并对乙方披露后，</w:t>
      </w:r>
      <w:r>
        <w:rPr>
          <w:rFonts w:ascii="Times New Roman" w:hAnsi="Times New Roman" w:eastAsia="宋体" w:cs="Times New Roman"/>
          <w:color w:val="auto"/>
          <w:szCs w:val="21"/>
          <w:lang w:bidi="ar"/>
        </w:rPr>
        <w:t>乙方同意本</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适用于甲方及甲方指定的甲方控股或管理的单位。</w:t>
      </w:r>
    </w:p>
    <w:p w14:paraId="5DF0B6CB">
      <w:pPr>
        <w:snapToGrid w:val="0"/>
        <w:spacing w:line="440" w:lineRule="exact"/>
        <w:ind w:firstLine="422" w:firstLineChars="200"/>
        <w:rPr>
          <w:rFonts w:ascii="Times New Roman" w:hAnsi="Times New Roman" w:eastAsia="宋体" w:cs="Times New Roman"/>
          <w:b/>
          <w:color w:val="auto"/>
          <w:szCs w:val="21"/>
        </w:rPr>
      </w:pPr>
      <w:bookmarkStart w:id="120" w:name="_Toc417454848"/>
      <w:r>
        <w:rPr>
          <w:rFonts w:hint="eastAsia" w:ascii="Times New Roman" w:hAnsi="Times New Roman" w:eastAsia="宋体" w:cs="Times New Roman"/>
          <w:b/>
          <w:color w:val="auto"/>
          <w:szCs w:val="21"/>
          <w:lang w:bidi="ar"/>
        </w:rPr>
        <w:t>四</w:t>
      </w:r>
      <w:r>
        <w:rPr>
          <w:rFonts w:ascii="Times New Roman" w:hAnsi="Times New Roman" w:eastAsia="宋体" w:cs="Times New Roman"/>
          <w:b/>
          <w:color w:val="auto"/>
          <w:szCs w:val="21"/>
          <w:lang w:bidi="ar"/>
        </w:rPr>
        <w:t>、违约责任</w:t>
      </w:r>
      <w:bookmarkEnd w:id="120"/>
    </w:p>
    <w:p w14:paraId="0E5CDEB3">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双方都必须严格遵守签订的合同条款、不得违约；任一方违反本合同约定造成另一方损失的，违约方应承担赔偿责任。具体赔偿标准由各项目合同具体约定，违约的情形包括：</w:t>
      </w:r>
    </w:p>
    <w:p w14:paraId="14DBFABC">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1、</w:t>
      </w:r>
      <w:r>
        <w:rPr>
          <w:rFonts w:hint="eastAsia" w:ascii="Times New Roman" w:hAnsi="Times New Roman" w:eastAsia="宋体" w:cs="Times New Roman"/>
          <w:color w:val="auto"/>
          <w:szCs w:val="21"/>
          <w:lang w:bidi="ar"/>
        </w:rPr>
        <w:t>甲方未及时支付合同款；</w:t>
      </w:r>
    </w:p>
    <w:p w14:paraId="6D04029E">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2、</w:t>
      </w:r>
      <w:r>
        <w:rPr>
          <w:rFonts w:ascii="Times New Roman" w:hAnsi="Times New Roman" w:eastAsia="宋体" w:cs="Times New Roman"/>
          <w:color w:val="auto"/>
          <w:szCs w:val="21"/>
          <w:lang w:bidi="ar"/>
        </w:rPr>
        <w:t>乙方无正当理由拒绝签订项目合同以及双方交易达成或签订合同后拒绝履约的；</w:t>
      </w:r>
    </w:p>
    <w:p w14:paraId="658BE3A7">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3</w:t>
      </w:r>
      <w:r>
        <w:rPr>
          <w:rFonts w:ascii="Times New Roman" w:hAnsi="Times New Roman" w:eastAsia="宋体" w:cs="Times New Roman"/>
          <w:color w:val="auto"/>
          <w:szCs w:val="21"/>
          <w:lang w:bidi="ar"/>
        </w:rPr>
        <w:t>、乙方使用不正当竞争手段，影响甲方正常采购活动的；</w:t>
      </w:r>
    </w:p>
    <w:p w14:paraId="4AA7D5F9">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4</w:t>
      </w:r>
      <w:r>
        <w:rPr>
          <w:rFonts w:ascii="Times New Roman" w:hAnsi="Times New Roman" w:eastAsia="宋体" w:cs="Times New Roman"/>
          <w:color w:val="auto"/>
          <w:szCs w:val="21"/>
          <w:lang w:bidi="ar"/>
        </w:rPr>
        <w:t>、乙方提供的服务不符合国家有关规定和响应文件承诺、合同约定的标准的；</w:t>
      </w:r>
    </w:p>
    <w:p w14:paraId="6F576B57">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5</w:t>
      </w:r>
      <w:r>
        <w:rPr>
          <w:rFonts w:ascii="Times New Roman" w:hAnsi="Times New Roman" w:eastAsia="宋体" w:cs="Times New Roman"/>
          <w:color w:val="auto"/>
          <w:szCs w:val="21"/>
          <w:lang w:bidi="ar"/>
        </w:rPr>
        <w:t>、乙方拒绝接受甲方的监督检查的；</w:t>
      </w:r>
    </w:p>
    <w:p w14:paraId="279B6E96">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6</w:t>
      </w:r>
      <w:r>
        <w:rPr>
          <w:rFonts w:ascii="Times New Roman" w:hAnsi="Times New Roman" w:eastAsia="宋体" w:cs="Times New Roman"/>
          <w:color w:val="auto"/>
          <w:szCs w:val="21"/>
          <w:lang w:bidi="ar"/>
        </w:rPr>
        <w:t>、乙方被有关机关责令关闭、撤销登记、吊销营业执照或者被行业主管部门取消行业经营资格的；</w:t>
      </w:r>
    </w:p>
    <w:p w14:paraId="4DBCE609">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7</w:t>
      </w:r>
      <w:r>
        <w:rPr>
          <w:rFonts w:ascii="Times New Roman" w:hAnsi="Times New Roman" w:eastAsia="宋体" w:cs="Times New Roman"/>
          <w:color w:val="auto"/>
          <w:szCs w:val="21"/>
          <w:lang w:bidi="ar"/>
        </w:rPr>
        <w:t>、乙方进行转包或未经甲方同意进行分包的；</w:t>
      </w:r>
    </w:p>
    <w:p w14:paraId="6D844996">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lang w:bidi="ar"/>
        </w:rPr>
        <w:t>8</w:t>
      </w:r>
      <w:r>
        <w:rPr>
          <w:rFonts w:ascii="Times New Roman" w:hAnsi="Times New Roman" w:eastAsia="宋体" w:cs="Times New Roman"/>
          <w:color w:val="auto"/>
          <w:szCs w:val="21"/>
          <w:lang w:bidi="ar"/>
        </w:rPr>
        <w:t>、为甲方相关工作人员提供各种不正当利益的；</w:t>
      </w:r>
    </w:p>
    <w:p w14:paraId="460889CC">
      <w:pPr>
        <w:tabs>
          <w:tab w:val="left" w:pos="709"/>
          <w:tab w:val="left" w:pos="851"/>
        </w:tabs>
        <w:adjustRightInd w:val="0"/>
        <w:snapToGrid w:val="0"/>
        <w:spacing w:line="440" w:lineRule="exact"/>
        <w:ind w:firstLine="420" w:firstLineChars="200"/>
        <w:textAlignment w:val="baseline"/>
        <w:rPr>
          <w:rFonts w:eastAsia="宋体"/>
          <w:color w:val="auto"/>
        </w:rPr>
      </w:pPr>
      <w:r>
        <w:rPr>
          <w:rFonts w:hint="eastAsia" w:ascii="Times New Roman" w:hAnsi="Times New Roman" w:eastAsia="宋体" w:cs="Times New Roman"/>
          <w:color w:val="auto"/>
          <w:szCs w:val="21"/>
          <w:lang w:bidi="ar"/>
        </w:rPr>
        <w:t>9</w:t>
      </w:r>
      <w:r>
        <w:rPr>
          <w:rFonts w:ascii="Times New Roman" w:hAnsi="Times New Roman" w:eastAsia="宋体" w:cs="Times New Roman"/>
          <w:color w:val="auto"/>
          <w:szCs w:val="21"/>
          <w:lang w:bidi="ar"/>
        </w:rPr>
        <w:t>、违反法律法规、询比文件及</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规定、响应文件承诺、本合同及项目具体合同约定的其他情形。</w:t>
      </w:r>
    </w:p>
    <w:p w14:paraId="2D99E527">
      <w:pPr>
        <w:spacing w:line="440" w:lineRule="exact"/>
        <w:ind w:firstLine="420"/>
        <w:jc w:val="left"/>
        <w:rPr>
          <w:rFonts w:hint="eastAsia" w:ascii="Times New Roman" w:hAnsi="Times New Roman" w:cs="Times New Roman"/>
          <w:color w:val="auto"/>
        </w:rPr>
      </w:pPr>
      <w:r>
        <w:rPr>
          <w:rFonts w:hint="eastAsia" w:ascii="Times New Roman" w:hAnsi="Times New Roman" w:eastAsia="宋体" w:cs="Times New Roman"/>
          <w:color w:val="auto"/>
          <w:szCs w:val="21"/>
          <w:lang w:bidi="ar"/>
        </w:rPr>
        <w:t>10、乙方超过15个工作日出具证书，</w:t>
      </w:r>
      <w:r>
        <w:rPr>
          <w:rFonts w:hint="eastAsia" w:ascii="Times New Roman" w:hAnsi="Times New Roman" w:cs="Times New Roman"/>
          <w:color w:val="auto"/>
        </w:rPr>
        <w:t>每超过约定时间一天扣除1%履约保证金，直至履约金扣完本合同终止。</w:t>
      </w:r>
    </w:p>
    <w:p w14:paraId="3162F751">
      <w:pPr>
        <w:spacing w:line="440" w:lineRule="exact"/>
        <w:ind w:firstLine="420"/>
        <w:jc w:val="left"/>
        <w:rPr>
          <w:rFonts w:hint="default" w:eastAsiaTheme="minorEastAsia"/>
          <w:highlight w:val="none"/>
          <w:lang w:val="en-US" w:eastAsia="zh-CN"/>
        </w:rPr>
      </w:pPr>
      <w:r>
        <w:rPr>
          <w:rFonts w:hint="eastAsia" w:ascii="Times New Roman" w:hAnsi="Times New Roman" w:cs="Times New Roman"/>
          <w:color w:val="auto"/>
          <w:highlight w:val="none"/>
          <w:lang w:val="en-US" w:eastAsia="zh-CN"/>
        </w:rPr>
        <w:t>11、乙方因过失导致检定/校准证书错误，给甲方造成的损失，由乙方全额赔偿，并在计量款中扣除。</w:t>
      </w:r>
    </w:p>
    <w:p w14:paraId="72519D6D">
      <w:pPr>
        <w:spacing w:line="440" w:lineRule="exact"/>
        <w:ind w:firstLine="420"/>
        <w:jc w:val="left"/>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w:t>
      </w:r>
      <w:r>
        <w:rPr>
          <w:rFonts w:hint="eastAsia" w:ascii="Times New Roman" w:hAnsi="Times New Roman" w:eastAsia="宋体" w:cs="Times New Roman"/>
          <w:color w:val="auto"/>
          <w:szCs w:val="21"/>
          <w:lang w:val="en-US" w:eastAsia="zh-CN" w:bidi="ar"/>
        </w:rPr>
        <w:t>2</w:t>
      </w:r>
      <w:r>
        <w:rPr>
          <w:rFonts w:hint="eastAsia" w:ascii="Times New Roman" w:hAnsi="Times New Roman" w:eastAsia="宋体" w:cs="Times New Roman"/>
          <w:color w:val="auto"/>
          <w:szCs w:val="21"/>
          <w:lang w:bidi="ar"/>
        </w:rPr>
        <w:t>、乙方对仪器设备计量数据弄虚作假的，甲方有权委托第三方计量机构验证核实，核实结果确凿的，产生责任及委托费用由乙方承担，甲方有权扣除履约保证金立即终止合同，同时将乙方纳入供应商黑名单。</w:t>
      </w:r>
    </w:p>
    <w:p w14:paraId="25CB86DC">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color w:val="auto"/>
          <w:szCs w:val="21"/>
        </w:rPr>
      </w:pPr>
      <w:r>
        <w:rPr>
          <w:rFonts w:hint="eastAsia" w:ascii="Times New Roman" w:hAnsi="Times New Roman" w:eastAsia="宋体" w:cs="Times New Roman"/>
          <w:b/>
          <w:color w:val="auto"/>
          <w:szCs w:val="21"/>
          <w:lang w:bidi="ar"/>
        </w:rPr>
        <w:t>五</w:t>
      </w:r>
      <w:r>
        <w:rPr>
          <w:rFonts w:ascii="Times New Roman" w:hAnsi="Times New Roman" w:eastAsia="宋体" w:cs="Times New Roman"/>
          <w:b/>
          <w:color w:val="auto"/>
          <w:szCs w:val="21"/>
          <w:lang w:bidi="ar"/>
        </w:rPr>
        <w:t>、不可抗力</w:t>
      </w:r>
    </w:p>
    <w:p w14:paraId="5166E426">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1、</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一方由于受诸如战争、骚乱、瘟疫、严重火灾、洪水、台风、地震等不可抗力事件的影响而不能执行</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时，履行</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的期限应予以延长，延长的期限应相当于事件所影响的时间。不可抗力事件是指</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双方在缔结</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时所不能预见的，且它的发生及其后果是无法避免和无法克服的事件。</w:t>
      </w:r>
    </w:p>
    <w:p w14:paraId="35D52F3A">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2、遭受不可抗力一方应在不可抗力事件发生后尽快以书面形式通知对方，并于事件发生后14天内将有关部门出具的证明文件、详细情况报告以及不可抗力对履行</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影响程度的说明用特快专递或挂号信寄给对方。</w:t>
      </w:r>
    </w:p>
    <w:p w14:paraId="08894023">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3、发生不可抗力时，任何一方均不对因不可抗力无法履行或延迟履行本</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义务而使另一方蒙受损失承担责任，但遭受不可抗力一方有责任尽可能及时采取适当或必要措施减少或消除不可抗力的影响。遭受不可抗力的一方对因未尽本项义务而造成的损失承担赔偿责任。</w:t>
      </w:r>
    </w:p>
    <w:p w14:paraId="3A4BC8F6">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4、一旦不可抗力事件的影响持续120天以上，</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双方通过友好协商，在合理的时间内达成进一步履行</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或终止</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的意见。</w:t>
      </w:r>
    </w:p>
    <w:p w14:paraId="4909A8BA">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color w:val="auto"/>
          <w:szCs w:val="21"/>
        </w:rPr>
      </w:pPr>
      <w:r>
        <w:rPr>
          <w:rFonts w:hint="eastAsia" w:ascii="Times New Roman" w:hAnsi="Times New Roman" w:eastAsia="宋体" w:cs="Times New Roman"/>
          <w:b/>
          <w:color w:val="auto"/>
          <w:szCs w:val="21"/>
          <w:lang w:bidi="ar"/>
        </w:rPr>
        <w:t>六</w:t>
      </w:r>
      <w:r>
        <w:rPr>
          <w:rFonts w:ascii="Times New Roman" w:hAnsi="Times New Roman" w:eastAsia="宋体" w:cs="Times New Roman"/>
          <w:b/>
          <w:color w:val="auto"/>
          <w:szCs w:val="21"/>
          <w:lang w:bidi="ar"/>
        </w:rPr>
        <w:t>、保密条款</w:t>
      </w:r>
    </w:p>
    <w:p w14:paraId="698B6AEC">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1、任何一方对其获知的本</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涉及的所有有形、无形的信息及资料（包括但不限于合同双方的往来书面文字文件、电子邮件及信息、软盘资料等）中另一方的商业秘密或国家秘密负有保密义务。</w:t>
      </w:r>
    </w:p>
    <w:p w14:paraId="5900F856">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2、除法律、法规或本</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另有规定，或得到本</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另一方的书面许可，任何一方不得向第三方泄露前款规定的商业秘密或国家秘密。保密期限自任何一方获知该商业秘密或国家秘密之日起至本条规定的秘密成为公众信息之日止。</w:t>
      </w:r>
    </w:p>
    <w:p w14:paraId="3D4EAD2C">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color w:val="auto"/>
          <w:szCs w:val="21"/>
        </w:rPr>
      </w:pPr>
      <w:r>
        <w:rPr>
          <w:rFonts w:hint="eastAsia" w:ascii="Times New Roman" w:hAnsi="Times New Roman" w:eastAsia="宋体" w:cs="Times New Roman"/>
          <w:b/>
          <w:color w:val="auto"/>
          <w:szCs w:val="21"/>
          <w:lang w:bidi="ar"/>
        </w:rPr>
        <w:t>七</w:t>
      </w:r>
      <w:r>
        <w:rPr>
          <w:rFonts w:ascii="Times New Roman" w:hAnsi="Times New Roman" w:eastAsia="宋体" w:cs="Times New Roman"/>
          <w:b/>
          <w:color w:val="auto"/>
          <w:szCs w:val="21"/>
          <w:lang w:bidi="ar"/>
        </w:rPr>
        <w:t>、争议的解决</w:t>
      </w:r>
    </w:p>
    <w:p w14:paraId="569420D9">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lang w:bidi="ar"/>
        </w:rPr>
        <w:t>在执行本</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中发生的与本</w:t>
      </w:r>
      <w:r>
        <w:rPr>
          <w:rFonts w:hint="eastAsia" w:ascii="Times New Roman" w:hAnsi="Times New Roman" w:eastAsia="宋体" w:cs="Times New Roman"/>
          <w:color w:val="auto"/>
          <w:szCs w:val="21"/>
          <w:lang w:bidi="ar"/>
        </w:rPr>
        <w:t>合同</w:t>
      </w:r>
      <w:r>
        <w:rPr>
          <w:rFonts w:ascii="Times New Roman" w:hAnsi="Times New Roman" w:eastAsia="宋体" w:cs="Times New Roman"/>
          <w:color w:val="auto"/>
          <w:szCs w:val="21"/>
          <w:lang w:bidi="ar"/>
        </w:rPr>
        <w:t>有关的争端，甲乙双方应通过友好协商解决，协商不成的，甲乙双方同意将争议提交有管辖权的人民法院解决。</w:t>
      </w:r>
    </w:p>
    <w:p w14:paraId="6333C3ED">
      <w:pPr>
        <w:spacing w:after="120"/>
        <w:ind w:left="420" w:leftChars="200" w:firstLine="420" w:firstLineChars="200"/>
        <w:rPr>
          <w:rFonts w:ascii="Calibri" w:hAnsi="Calibri"/>
          <w:color w:val="auto"/>
          <w:szCs w:val="22"/>
        </w:rPr>
      </w:pPr>
    </w:p>
    <w:p w14:paraId="7A455C6D">
      <w:pPr>
        <w:spacing w:after="120"/>
        <w:ind w:left="420" w:leftChars="200" w:firstLine="420" w:firstLineChars="200"/>
        <w:rPr>
          <w:rFonts w:ascii="Times New Roman" w:hAnsi="Times New Roman" w:cs="Times New Roman"/>
          <w:color w:val="auto"/>
          <w:szCs w:val="22"/>
        </w:rPr>
      </w:pPr>
      <w:r>
        <w:rPr>
          <w:rFonts w:ascii="Times New Roman" w:hAnsi="Times New Roman" w:cs="Times New Roman"/>
          <w:color w:val="auto"/>
          <w:szCs w:val="22"/>
        </w:rPr>
        <w:t>本合同一式</w:t>
      </w:r>
      <w:r>
        <w:rPr>
          <w:rFonts w:ascii="Times New Roman" w:hAnsi="Times New Roman" w:cs="Times New Roman"/>
          <w:color w:val="auto"/>
          <w:szCs w:val="22"/>
          <w:u w:val="single"/>
        </w:rPr>
        <w:t xml:space="preserve">    </w:t>
      </w:r>
      <w:r>
        <w:rPr>
          <w:rFonts w:ascii="Times New Roman" w:hAnsi="Times New Roman" w:cs="Times New Roman"/>
          <w:color w:val="auto"/>
          <w:szCs w:val="22"/>
        </w:rPr>
        <w:t>份，由甲、乙双方各执</w:t>
      </w:r>
      <w:r>
        <w:rPr>
          <w:rFonts w:ascii="Times New Roman" w:hAnsi="Times New Roman" w:cs="Times New Roman"/>
          <w:color w:val="auto"/>
          <w:szCs w:val="22"/>
          <w:u w:val="single"/>
        </w:rPr>
        <w:t xml:space="preserve">    </w:t>
      </w:r>
      <w:r>
        <w:rPr>
          <w:rFonts w:ascii="Times New Roman" w:hAnsi="Times New Roman" w:cs="Times New Roman"/>
          <w:color w:val="auto"/>
          <w:szCs w:val="22"/>
        </w:rPr>
        <w:t>份。</w:t>
      </w:r>
    </w:p>
    <w:p w14:paraId="5747EFC4">
      <w:pPr>
        <w:spacing w:after="120"/>
        <w:ind w:left="420" w:leftChars="200" w:firstLine="420" w:firstLineChars="200"/>
        <w:rPr>
          <w:rFonts w:ascii="Times New Roman" w:hAnsi="Times New Roman" w:cs="Times New Roman"/>
          <w:color w:val="auto"/>
          <w:szCs w:val="22"/>
        </w:rPr>
      </w:pPr>
    </w:p>
    <w:p w14:paraId="304C29BD">
      <w:pPr>
        <w:spacing w:after="120"/>
        <w:ind w:left="420" w:leftChars="200" w:firstLine="420" w:firstLineChars="200"/>
        <w:rPr>
          <w:rFonts w:ascii="Calibri" w:hAnsi="Calibri"/>
          <w:color w:val="auto"/>
          <w:szCs w:val="21"/>
          <w:lang w:bidi="ar"/>
        </w:rPr>
      </w:pPr>
      <w:r>
        <w:rPr>
          <w:rFonts w:hint="eastAsia" w:ascii="Calibri" w:hAnsi="Calibri"/>
          <w:color w:val="auto"/>
          <w:szCs w:val="21"/>
          <w:lang w:bidi="ar"/>
        </w:rPr>
        <w:t>甲方</w:t>
      </w:r>
      <w:r>
        <w:rPr>
          <w:rFonts w:ascii="Calibri" w:hAnsi="Calibri"/>
          <w:color w:val="auto"/>
          <w:szCs w:val="21"/>
          <w:lang w:bidi="ar"/>
        </w:rPr>
        <w:t xml:space="preserve">：（公章）         </w:t>
      </w:r>
      <w:r>
        <w:rPr>
          <w:rFonts w:hint="eastAsia" w:ascii="Calibri" w:hAnsi="Calibri"/>
          <w:color w:val="auto"/>
          <w:szCs w:val="21"/>
          <w:lang w:bidi="ar"/>
        </w:rPr>
        <w:t xml:space="preserve"> </w:t>
      </w:r>
      <w:r>
        <w:rPr>
          <w:rFonts w:ascii="Calibri" w:hAnsi="Calibri"/>
          <w:color w:val="auto"/>
          <w:szCs w:val="21"/>
          <w:lang w:bidi="ar"/>
        </w:rPr>
        <w:t xml:space="preserve">  </w:t>
      </w:r>
      <w:r>
        <w:rPr>
          <w:rFonts w:hint="eastAsia" w:ascii="Calibri" w:hAnsi="Calibri"/>
          <w:color w:val="auto"/>
          <w:szCs w:val="21"/>
          <w:lang w:bidi="ar"/>
        </w:rPr>
        <w:t xml:space="preserve">   乙方</w:t>
      </w:r>
      <w:r>
        <w:rPr>
          <w:rFonts w:ascii="Calibri" w:hAnsi="Calibri"/>
          <w:color w:val="auto"/>
          <w:szCs w:val="21"/>
          <w:lang w:bidi="ar"/>
        </w:rPr>
        <w:t>：（公章）</w:t>
      </w:r>
    </w:p>
    <w:p w14:paraId="5614480E">
      <w:pPr>
        <w:spacing w:after="120"/>
        <w:ind w:left="420" w:leftChars="200" w:firstLine="420" w:firstLineChars="200"/>
        <w:rPr>
          <w:rFonts w:ascii="Calibri" w:hAnsi="Calibri"/>
          <w:color w:val="auto"/>
          <w:szCs w:val="21"/>
          <w:lang w:bidi="ar"/>
        </w:rPr>
      </w:pPr>
      <w:r>
        <w:rPr>
          <w:rFonts w:ascii="Calibri" w:hAnsi="Calibri"/>
          <w:color w:val="auto"/>
          <w:szCs w:val="21"/>
          <w:lang w:bidi="ar"/>
        </w:rPr>
        <w:t xml:space="preserve">地      址：           </w:t>
      </w:r>
      <w:r>
        <w:rPr>
          <w:rFonts w:hint="eastAsia" w:ascii="Calibri" w:hAnsi="Calibri"/>
          <w:color w:val="auto"/>
          <w:szCs w:val="21"/>
          <w:lang w:bidi="ar"/>
        </w:rPr>
        <w:t xml:space="preserve">      </w:t>
      </w:r>
      <w:r>
        <w:rPr>
          <w:rFonts w:ascii="Calibri" w:hAnsi="Calibri"/>
          <w:color w:val="auto"/>
          <w:szCs w:val="21"/>
          <w:lang w:bidi="ar"/>
        </w:rPr>
        <w:t>地      址：</w:t>
      </w:r>
    </w:p>
    <w:p w14:paraId="32CA8DA6">
      <w:pPr>
        <w:spacing w:after="120"/>
        <w:ind w:left="420" w:leftChars="200" w:firstLine="420" w:firstLineChars="200"/>
        <w:rPr>
          <w:rFonts w:ascii="Calibri" w:hAnsi="Calibri"/>
          <w:color w:val="auto"/>
          <w:szCs w:val="21"/>
          <w:lang w:bidi="ar"/>
        </w:rPr>
      </w:pPr>
      <w:r>
        <w:rPr>
          <w:rFonts w:ascii="Calibri" w:hAnsi="Calibri"/>
          <w:color w:val="auto"/>
          <w:szCs w:val="21"/>
          <w:lang w:bidi="ar"/>
        </w:rPr>
        <w:t xml:space="preserve">法定代表人：              </w:t>
      </w:r>
      <w:r>
        <w:rPr>
          <w:rFonts w:hint="eastAsia" w:ascii="Calibri" w:hAnsi="Calibri"/>
          <w:color w:val="auto"/>
          <w:szCs w:val="21"/>
          <w:lang w:bidi="ar"/>
        </w:rPr>
        <w:t xml:space="preserve"> </w:t>
      </w:r>
      <w:r>
        <w:rPr>
          <w:rFonts w:ascii="Calibri" w:hAnsi="Calibri"/>
          <w:color w:val="auto"/>
          <w:szCs w:val="21"/>
          <w:lang w:bidi="ar"/>
        </w:rPr>
        <w:t xml:space="preserve"> </w:t>
      </w:r>
      <w:r>
        <w:rPr>
          <w:rFonts w:hint="eastAsia" w:ascii="Calibri" w:hAnsi="Calibri"/>
          <w:color w:val="auto"/>
          <w:szCs w:val="21"/>
          <w:lang w:bidi="ar"/>
        </w:rPr>
        <w:t xml:space="preserve"> </w:t>
      </w:r>
      <w:r>
        <w:rPr>
          <w:rFonts w:ascii="Calibri" w:hAnsi="Calibri"/>
          <w:color w:val="auto"/>
          <w:szCs w:val="21"/>
          <w:lang w:bidi="ar"/>
        </w:rPr>
        <w:t>法定代表人：</w:t>
      </w:r>
    </w:p>
    <w:p w14:paraId="36AA159B">
      <w:pPr>
        <w:spacing w:after="120"/>
        <w:ind w:left="420" w:leftChars="200" w:firstLine="420" w:firstLineChars="200"/>
        <w:rPr>
          <w:rFonts w:ascii="Calibri" w:hAnsi="Calibri"/>
          <w:color w:val="auto"/>
          <w:szCs w:val="21"/>
          <w:lang w:bidi="ar"/>
        </w:rPr>
      </w:pPr>
      <w:r>
        <w:rPr>
          <w:rFonts w:ascii="Calibri" w:hAnsi="Calibri"/>
          <w:color w:val="auto"/>
          <w:szCs w:val="21"/>
          <w:lang w:bidi="ar"/>
        </w:rPr>
        <w:t xml:space="preserve">委托代理人：                </w:t>
      </w:r>
      <w:r>
        <w:rPr>
          <w:rFonts w:hint="eastAsia" w:ascii="Calibri" w:hAnsi="Calibri"/>
          <w:color w:val="auto"/>
          <w:szCs w:val="21"/>
          <w:lang w:bidi="ar"/>
        </w:rPr>
        <w:t xml:space="preserve"> </w:t>
      </w:r>
      <w:r>
        <w:rPr>
          <w:rFonts w:ascii="Calibri" w:hAnsi="Calibri"/>
          <w:color w:val="auto"/>
          <w:szCs w:val="21"/>
          <w:lang w:bidi="ar"/>
        </w:rPr>
        <w:t>委托代理人：</w:t>
      </w:r>
    </w:p>
    <w:p w14:paraId="16581185">
      <w:pPr>
        <w:spacing w:after="120"/>
        <w:ind w:left="420" w:leftChars="200" w:firstLine="420" w:firstLineChars="200"/>
        <w:rPr>
          <w:rFonts w:ascii="Calibri" w:hAnsi="Calibri"/>
          <w:color w:val="auto"/>
          <w:szCs w:val="21"/>
          <w:lang w:bidi="ar"/>
        </w:rPr>
      </w:pPr>
      <w:r>
        <w:rPr>
          <w:rFonts w:ascii="Calibri" w:hAnsi="Calibri"/>
          <w:color w:val="auto"/>
          <w:szCs w:val="21"/>
          <w:lang w:bidi="ar"/>
        </w:rPr>
        <w:t xml:space="preserve">电    </w:t>
      </w:r>
      <w:r>
        <w:rPr>
          <w:rFonts w:hint="eastAsia" w:ascii="Calibri" w:hAnsi="Calibri"/>
          <w:color w:val="auto"/>
          <w:szCs w:val="21"/>
          <w:lang w:bidi="ar"/>
        </w:rPr>
        <w:t xml:space="preserve"> </w:t>
      </w:r>
      <w:r>
        <w:rPr>
          <w:rFonts w:ascii="Calibri" w:hAnsi="Calibri"/>
          <w:color w:val="auto"/>
          <w:szCs w:val="21"/>
          <w:lang w:bidi="ar"/>
        </w:rPr>
        <w:t xml:space="preserve"> 话：                 电   </w:t>
      </w:r>
      <w:r>
        <w:rPr>
          <w:rFonts w:hint="eastAsia" w:ascii="Calibri" w:hAnsi="Calibri"/>
          <w:color w:val="auto"/>
          <w:szCs w:val="21"/>
          <w:lang w:bidi="ar"/>
        </w:rPr>
        <w:t xml:space="preserve"> </w:t>
      </w:r>
      <w:r>
        <w:rPr>
          <w:rFonts w:ascii="Calibri" w:hAnsi="Calibri"/>
          <w:color w:val="auto"/>
          <w:szCs w:val="21"/>
          <w:lang w:bidi="ar"/>
        </w:rPr>
        <w:t xml:space="preserve">  话：</w:t>
      </w:r>
    </w:p>
    <w:p w14:paraId="603698A0">
      <w:pPr>
        <w:spacing w:after="120"/>
        <w:ind w:left="420" w:leftChars="200" w:firstLine="420" w:firstLineChars="200"/>
        <w:rPr>
          <w:rFonts w:ascii="Calibri" w:hAnsi="Calibri"/>
          <w:color w:val="auto"/>
          <w:szCs w:val="21"/>
          <w:lang w:bidi="ar"/>
        </w:rPr>
      </w:pPr>
      <w:r>
        <w:rPr>
          <w:rFonts w:ascii="Calibri" w:hAnsi="Calibri"/>
          <w:color w:val="auto"/>
          <w:szCs w:val="21"/>
          <w:lang w:bidi="ar"/>
        </w:rPr>
        <w:t xml:space="preserve">传  </w:t>
      </w:r>
      <w:r>
        <w:rPr>
          <w:rFonts w:hint="eastAsia" w:ascii="Calibri" w:hAnsi="Calibri"/>
          <w:color w:val="auto"/>
          <w:szCs w:val="21"/>
          <w:lang w:bidi="ar"/>
        </w:rPr>
        <w:t xml:space="preserve"> </w:t>
      </w:r>
      <w:r>
        <w:rPr>
          <w:rFonts w:ascii="Calibri" w:hAnsi="Calibri"/>
          <w:color w:val="auto"/>
          <w:szCs w:val="21"/>
          <w:lang w:bidi="ar"/>
        </w:rPr>
        <w:t xml:space="preserve">   真：                 传  </w:t>
      </w:r>
      <w:r>
        <w:rPr>
          <w:rFonts w:hint="eastAsia" w:ascii="Calibri" w:hAnsi="Calibri"/>
          <w:color w:val="auto"/>
          <w:szCs w:val="21"/>
          <w:lang w:bidi="ar"/>
        </w:rPr>
        <w:t xml:space="preserve"> </w:t>
      </w:r>
      <w:r>
        <w:rPr>
          <w:rFonts w:ascii="Calibri" w:hAnsi="Calibri"/>
          <w:color w:val="auto"/>
          <w:szCs w:val="21"/>
          <w:lang w:bidi="ar"/>
        </w:rPr>
        <w:t xml:space="preserve">   真：</w:t>
      </w:r>
    </w:p>
    <w:p w14:paraId="641F569C">
      <w:pPr>
        <w:spacing w:after="120"/>
        <w:ind w:left="420" w:leftChars="200" w:firstLine="420" w:firstLineChars="200"/>
        <w:rPr>
          <w:rFonts w:ascii="Calibri" w:hAnsi="Calibri"/>
          <w:color w:val="auto"/>
          <w:szCs w:val="21"/>
          <w:lang w:bidi="ar"/>
        </w:rPr>
      </w:pPr>
      <w:r>
        <w:rPr>
          <w:rFonts w:ascii="Calibri" w:hAnsi="Calibri"/>
          <w:color w:val="auto"/>
          <w:szCs w:val="21"/>
          <w:lang w:bidi="ar"/>
        </w:rPr>
        <w:t>开  户</w:t>
      </w:r>
      <w:r>
        <w:rPr>
          <w:rFonts w:hint="eastAsia" w:ascii="Calibri" w:hAnsi="Calibri"/>
          <w:color w:val="auto"/>
          <w:szCs w:val="21"/>
          <w:lang w:bidi="ar"/>
        </w:rPr>
        <w:t xml:space="preserve"> </w:t>
      </w:r>
      <w:r>
        <w:rPr>
          <w:rFonts w:ascii="Calibri" w:hAnsi="Calibri"/>
          <w:color w:val="auto"/>
          <w:szCs w:val="21"/>
          <w:lang w:bidi="ar"/>
        </w:rPr>
        <w:t xml:space="preserve"> 行：                 开  户 </w:t>
      </w:r>
      <w:r>
        <w:rPr>
          <w:rFonts w:hint="eastAsia" w:ascii="Calibri" w:hAnsi="Calibri"/>
          <w:color w:val="auto"/>
          <w:szCs w:val="21"/>
          <w:lang w:bidi="ar"/>
        </w:rPr>
        <w:t xml:space="preserve"> </w:t>
      </w:r>
      <w:r>
        <w:rPr>
          <w:rFonts w:ascii="Calibri" w:hAnsi="Calibri"/>
          <w:color w:val="auto"/>
          <w:szCs w:val="21"/>
          <w:lang w:bidi="ar"/>
        </w:rPr>
        <w:t>行：</w:t>
      </w:r>
    </w:p>
    <w:p w14:paraId="47495CA7">
      <w:pPr>
        <w:spacing w:after="120"/>
        <w:ind w:left="420" w:leftChars="200" w:firstLine="420" w:firstLineChars="200"/>
        <w:rPr>
          <w:rFonts w:ascii="Calibri" w:hAnsi="Calibri"/>
          <w:color w:val="auto"/>
          <w:szCs w:val="21"/>
          <w:lang w:bidi="ar"/>
        </w:rPr>
      </w:pPr>
      <w:r>
        <w:rPr>
          <w:rFonts w:ascii="Calibri" w:hAnsi="Calibri"/>
          <w:color w:val="auto"/>
          <w:szCs w:val="21"/>
          <w:lang w:bidi="ar"/>
        </w:rPr>
        <w:t xml:space="preserve">账    </w:t>
      </w:r>
      <w:r>
        <w:rPr>
          <w:rFonts w:hint="eastAsia" w:ascii="Calibri" w:hAnsi="Calibri"/>
          <w:color w:val="auto"/>
          <w:szCs w:val="21"/>
          <w:lang w:bidi="ar"/>
        </w:rPr>
        <w:t xml:space="preserve"> </w:t>
      </w:r>
      <w:r>
        <w:rPr>
          <w:rFonts w:ascii="Calibri" w:hAnsi="Calibri"/>
          <w:color w:val="auto"/>
          <w:szCs w:val="21"/>
          <w:lang w:bidi="ar"/>
        </w:rPr>
        <w:t xml:space="preserve"> 号：                 账    </w:t>
      </w:r>
      <w:r>
        <w:rPr>
          <w:rFonts w:hint="eastAsia" w:ascii="Calibri" w:hAnsi="Calibri"/>
          <w:color w:val="auto"/>
          <w:szCs w:val="21"/>
          <w:lang w:bidi="ar"/>
        </w:rPr>
        <w:t xml:space="preserve"> </w:t>
      </w:r>
      <w:r>
        <w:rPr>
          <w:rFonts w:ascii="Calibri" w:hAnsi="Calibri"/>
          <w:color w:val="auto"/>
          <w:szCs w:val="21"/>
          <w:lang w:bidi="ar"/>
        </w:rPr>
        <w:t xml:space="preserve"> 号：</w:t>
      </w:r>
    </w:p>
    <w:p w14:paraId="04666CB9">
      <w:pPr>
        <w:spacing w:after="120"/>
        <w:ind w:left="420" w:leftChars="200" w:firstLine="420" w:firstLineChars="200"/>
        <w:rPr>
          <w:rFonts w:ascii="Calibri" w:hAnsi="Calibri"/>
          <w:color w:val="auto"/>
          <w:szCs w:val="21"/>
          <w:lang w:bidi="ar"/>
        </w:rPr>
      </w:pPr>
    </w:p>
    <w:p w14:paraId="6BC4E566">
      <w:pPr>
        <w:spacing w:after="120"/>
        <w:ind w:left="420" w:leftChars="200" w:firstLine="420" w:firstLineChars="200"/>
        <w:rPr>
          <w:rFonts w:ascii="Calibri" w:hAnsi="Calibri"/>
          <w:color w:val="auto"/>
          <w:szCs w:val="21"/>
          <w:lang w:bidi="ar"/>
        </w:rPr>
      </w:pPr>
      <w:r>
        <w:rPr>
          <w:rFonts w:ascii="Calibri" w:hAnsi="Calibri"/>
          <w:color w:val="auto"/>
          <w:szCs w:val="21"/>
          <w:lang w:bidi="ar"/>
        </w:rPr>
        <w:t xml:space="preserve">签订日期：                 </w:t>
      </w:r>
      <w:r>
        <w:rPr>
          <w:rFonts w:hint="eastAsia" w:ascii="Calibri" w:hAnsi="Calibri"/>
          <w:color w:val="auto"/>
          <w:szCs w:val="21"/>
          <w:lang w:bidi="ar"/>
        </w:rPr>
        <w:t xml:space="preserve"> </w:t>
      </w:r>
      <w:r>
        <w:rPr>
          <w:rFonts w:ascii="Calibri" w:hAnsi="Calibri"/>
          <w:color w:val="auto"/>
          <w:szCs w:val="21"/>
          <w:lang w:bidi="ar"/>
        </w:rPr>
        <w:t xml:space="preserve">签订日期：                 </w:t>
      </w:r>
      <w:r>
        <w:rPr>
          <w:rFonts w:hint="eastAsia" w:ascii="Calibri" w:hAnsi="Calibri"/>
          <w:color w:val="auto"/>
          <w:szCs w:val="21"/>
          <w:lang w:bidi="ar"/>
        </w:rPr>
        <w:t xml:space="preserve"> </w:t>
      </w:r>
    </w:p>
    <w:p w14:paraId="4C2CF614">
      <w:pPr>
        <w:spacing w:after="120"/>
        <w:ind w:left="420" w:leftChars="200" w:firstLine="420" w:firstLineChars="200"/>
        <w:rPr>
          <w:rFonts w:ascii="Calibri" w:hAnsi="Calibri"/>
          <w:color w:val="auto"/>
          <w:szCs w:val="21"/>
          <w:lang w:bidi="ar"/>
        </w:rPr>
      </w:pPr>
    </w:p>
    <w:p w14:paraId="0D918D36">
      <w:pPr>
        <w:spacing w:after="120"/>
        <w:ind w:left="420" w:leftChars="200" w:firstLine="420" w:firstLineChars="200"/>
        <w:rPr>
          <w:rFonts w:ascii="Calibri" w:hAnsi="Calibri"/>
          <w:color w:val="auto"/>
          <w:szCs w:val="21"/>
          <w:lang w:bidi="ar"/>
        </w:rPr>
      </w:pPr>
    </w:p>
    <w:p w14:paraId="5A14FB50">
      <w:pPr>
        <w:spacing w:after="120"/>
        <w:ind w:left="420" w:leftChars="200" w:firstLine="420" w:firstLineChars="200"/>
        <w:rPr>
          <w:rFonts w:ascii="Calibri" w:hAnsi="Calibri"/>
          <w:color w:val="auto"/>
          <w:szCs w:val="21"/>
          <w:lang w:bidi="ar"/>
        </w:rPr>
      </w:pPr>
    </w:p>
    <w:p w14:paraId="5A783A0D">
      <w:pPr>
        <w:spacing w:after="120"/>
        <w:ind w:left="420" w:leftChars="200" w:firstLine="420" w:firstLineChars="200"/>
        <w:rPr>
          <w:rFonts w:ascii="Calibri" w:hAnsi="Calibri"/>
          <w:color w:val="auto"/>
          <w:szCs w:val="21"/>
          <w:lang w:bidi="ar"/>
        </w:rPr>
      </w:pPr>
    </w:p>
    <w:p w14:paraId="29AB5498">
      <w:pPr>
        <w:spacing w:after="120"/>
        <w:ind w:left="420" w:leftChars="200" w:firstLine="420" w:firstLineChars="200"/>
        <w:rPr>
          <w:rFonts w:ascii="Calibri" w:hAnsi="Calibri"/>
          <w:color w:val="auto"/>
          <w:szCs w:val="21"/>
          <w:lang w:bidi="ar"/>
        </w:rPr>
      </w:pPr>
    </w:p>
    <w:p w14:paraId="63E1C914">
      <w:pP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p>
    <w:p w14:paraId="3B907B95">
      <w:pPr>
        <w:pStyle w:val="2"/>
        <w:jc w:val="center"/>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二、安全合同</w:t>
      </w:r>
    </w:p>
    <w:p w14:paraId="7654160D">
      <w:pPr>
        <w:spacing w:line="440" w:lineRule="exact"/>
        <w:ind w:firstLine="420"/>
        <w:jc w:val="left"/>
        <w:rPr>
          <w:rFonts w:ascii="Times New Roman" w:hAnsi="Times New Roman" w:cs="Times New Roman"/>
          <w:color w:val="auto"/>
        </w:rPr>
      </w:pPr>
      <w:r>
        <w:rPr>
          <w:rFonts w:ascii="Times New Roman" w:hAnsi="Times New Roman" w:cs="Times New Roman"/>
          <w:color w:val="auto"/>
        </w:rPr>
        <w:t>为在合同的实施过程中创造安全、高效的</w:t>
      </w:r>
      <w:r>
        <w:rPr>
          <w:rFonts w:hint="eastAsia" w:ascii="Times New Roman" w:hAnsi="Times New Roman" w:cs="Times New Roman"/>
          <w:color w:val="auto"/>
        </w:rPr>
        <w:t>服务</w:t>
      </w:r>
      <w:r>
        <w:rPr>
          <w:rFonts w:ascii="Times New Roman" w:hAnsi="Times New Roman" w:cs="Times New Roman"/>
          <w:color w:val="auto"/>
        </w:rPr>
        <w:t xml:space="preserve">环境，切实搞好本项目的安全管理工作， </w:t>
      </w:r>
      <w:r>
        <w:rPr>
          <w:rFonts w:hint="eastAsia" w:ascii="Times New Roman" w:hAnsi="Times New Roman" w:cs="Times New Roman"/>
          <w:color w:val="auto"/>
        </w:rPr>
        <w:t>安徽省高速公路试验检测科研中心有限公司</w:t>
      </w:r>
      <w:r>
        <w:rPr>
          <w:rFonts w:ascii="Times New Roman" w:hAnsi="Times New Roman" w:cs="Times New Roman"/>
          <w:color w:val="auto"/>
        </w:rPr>
        <w:t xml:space="preserve"> (以下简称“甲方”)与</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cs="Times New Roman"/>
          <w:color w:val="auto"/>
        </w:rPr>
        <w:t>以下简称“乙方”)特此签订安全生产合同：</w:t>
      </w:r>
    </w:p>
    <w:p w14:paraId="579205CC">
      <w:pPr>
        <w:spacing w:line="440" w:lineRule="exact"/>
        <w:ind w:firstLine="420"/>
        <w:jc w:val="left"/>
        <w:outlineLvl w:val="2"/>
        <w:rPr>
          <w:rFonts w:ascii="Times New Roman" w:hAnsi="Times New Roman" w:cs="Times New Roman"/>
          <w:color w:val="auto"/>
        </w:rPr>
      </w:pPr>
      <w:r>
        <w:rPr>
          <w:rFonts w:ascii="Times New Roman" w:hAnsi="Times New Roman" w:cs="Times New Roman"/>
          <w:color w:val="auto"/>
        </w:rPr>
        <w:t>第一条 甲方责任</w:t>
      </w:r>
    </w:p>
    <w:p w14:paraId="07764CAD">
      <w:pPr>
        <w:spacing w:line="440" w:lineRule="exact"/>
        <w:ind w:firstLine="420"/>
        <w:jc w:val="left"/>
        <w:rPr>
          <w:rFonts w:ascii="Times New Roman" w:hAnsi="Times New Roman" w:cs="Times New Roman"/>
          <w:color w:val="auto"/>
        </w:rPr>
      </w:pPr>
      <w:r>
        <w:rPr>
          <w:rFonts w:ascii="Times New Roman" w:hAnsi="Times New Roman" w:cs="Times New Roman"/>
          <w:color w:val="auto"/>
        </w:rPr>
        <w:t>（一）严格遵守国家有关安全生产的法律法规，认真执行技术服务合同中的有关安全要求。</w:t>
      </w:r>
    </w:p>
    <w:p w14:paraId="5A1884C5">
      <w:pPr>
        <w:spacing w:line="440" w:lineRule="exact"/>
        <w:ind w:firstLine="420"/>
        <w:jc w:val="left"/>
        <w:rPr>
          <w:rFonts w:ascii="Times New Roman" w:hAnsi="Times New Roman" w:cs="Times New Roman"/>
          <w:color w:val="auto"/>
        </w:rPr>
      </w:pPr>
      <w:r>
        <w:rPr>
          <w:rFonts w:ascii="Times New Roman" w:hAnsi="Times New Roman" w:cs="Times New Roman"/>
          <w:color w:val="auto"/>
        </w:rPr>
        <w:t>（二）按照“安全第一、预防为主、综合治理”的原则对安全生产工作进行监督及管理</w:t>
      </w:r>
      <w:r>
        <w:rPr>
          <w:rFonts w:hint="eastAsia" w:ascii="Times New Roman" w:hAnsi="Times New Roman" w:cs="Times New Roman"/>
          <w:color w:val="auto"/>
        </w:rPr>
        <w:t>、做到检定/校准与安全工作同时计划、布置、检查。</w:t>
      </w:r>
    </w:p>
    <w:p w14:paraId="5C9A038B">
      <w:pPr>
        <w:spacing w:line="440" w:lineRule="exact"/>
        <w:ind w:firstLine="420"/>
        <w:jc w:val="left"/>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三</w:t>
      </w:r>
      <w:r>
        <w:rPr>
          <w:rFonts w:ascii="Times New Roman" w:hAnsi="Times New Roman" w:cs="Times New Roman"/>
          <w:color w:val="auto"/>
        </w:rPr>
        <w:t>）负责建立健全本项目各项安全生产的管理机构和安全生产管理制度。</w:t>
      </w:r>
    </w:p>
    <w:p w14:paraId="348C677C">
      <w:pPr>
        <w:spacing w:line="440" w:lineRule="exact"/>
        <w:ind w:firstLine="420"/>
        <w:jc w:val="left"/>
        <w:rPr>
          <w:rFonts w:ascii="Times New Roman" w:hAnsi="Times New Roman" w:cs="Times New Roman"/>
          <w:color w:val="auto"/>
        </w:rPr>
      </w:pPr>
      <w:r>
        <w:rPr>
          <w:rFonts w:ascii="Times New Roman" w:hAnsi="Times New Roman" w:cs="Times New Roman"/>
          <w:color w:val="auto"/>
        </w:rPr>
        <w:t>（四）按照本项目特点，组织制定本</w:t>
      </w:r>
      <w:r>
        <w:rPr>
          <w:rFonts w:hint="eastAsia" w:ascii="Times New Roman" w:hAnsi="Times New Roman" w:cs="Times New Roman"/>
          <w:color w:val="auto"/>
        </w:rPr>
        <w:t>项目</w:t>
      </w:r>
      <w:r>
        <w:rPr>
          <w:rFonts w:ascii="Times New Roman" w:hAnsi="Times New Roman" w:cs="Times New Roman"/>
          <w:color w:val="auto"/>
        </w:rPr>
        <w:t>实施中的生产安全事故应急救援预案；组织对乙方技术服务现场安全生产检查，监督乙方及时处理发现的各种安全隐患。</w:t>
      </w:r>
    </w:p>
    <w:p w14:paraId="221DD92C">
      <w:pPr>
        <w:spacing w:line="440" w:lineRule="exact"/>
        <w:ind w:firstLine="420"/>
        <w:jc w:val="left"/>
        <w:outlineLvl w:val="2"/>
        <w:rPr>
          <w:rFonts w:ascii="Times New Roman" w:hAnsi="Times New Roman" w:cs="Times New Roman"/>
          <w:color w:val="auto"/>
        </w:rPr>
      </w:pPr>
      <w:r>
        <w:rPr>
          <w:rFonts w:ascii="Times New Roman" w:hAnsi="Times New Roman" w:cs="Times New Roman"/>
          <w:color w:val="auto"/>
        </w:rPr>
        <w:t>第二条 乙方职责</w:t>
      </w:r>
    </w:p>
    <w:p w14:paraId="55F813EC">
      <w:pPr>
        <w:spacing w:line="360" w:lineRule="auto"/>
        <w:ind w:firstLine="420" w:firstLineChars="200"/>
        <w:jc w:val="left"/>
        <w:rPr>
          <w:rFonts w:ascii="Times New Roman" w:hAnsi="Times New Roman" w:cs="Times New Roman"/>
          <w:color w:val="auto"/>
        </w:rPr>
      </w:pPr>
      <w:r>
        <w:rPr>
          <w:rFonts w:ascii="Times New Roman" w:hAnsi="Times New Roman" w:cs="Times New Roman"/>
          <w:color w:val="auto"/>
        </w:rPr>
        <w:t>（一）乙方派驻人员应坚持“安全第一、预防为主、综合治理”原则，严格遵守国家及行业有关安全生产管理的法律法规、规程等规定，认真执行合同中的有关安全要求。</w:t>
      </w:r>
    </w:p>
    <w:p w14:paraId="3C1FC1FC">
      <w:pPr>
        <w:spacing w:line="440" w:lineRule="exact"/>
        <w:ind w:firstLine="420"/>
        <w:jc w:val="left"/>
        <w:rPr>
          <w:rFonts w:ascii="Times New Roman" w:hAnsi="Times New Roman" w:cs="Times New Roman"/>
          <w:color w:val="auto"/>
        </w:rPr>
      </w:pPr>
      <w:r>
        <w:rPr>
          <w:rFonts w:ascii="Times New Roman" w:hAnsi="Times New Roman" w:cs="Times New Roman"/>
          <w:color w:val="auto"/>
        </w:rPr>
        <w:t>（二）乙方应加强派驻人员的安全生产宣传教育工作，增强全员安全生产意识，有组织、有计划地按照甲方要求开展安全生产活动。</w:t>
      </w:r>
    </w:p>
    <w:p w14:paraId="499A6906">
      <w:pPr>
        <w:spacing w:line="360" w:lineRule="auto"/>
        <w:ind w:firstLine="420" w:firstLineChars="200"/>
        <w:jc w:val="left"/>
        <w:rPr>
          <w:rFonts w:ascii="Times New Roman" w:hAnsi="Times New Roman" w:cs="Times New Roman"/>
          <w:color w:val="auto"/>
        </w:rPr>
      </w:pPr>
      <w:r>
        <w:rPr>
          <w:rFonts w:ascii="Times New Roman" w:hAnsi="Times New Roman" w:cs="Times New Roman"/>
          <w:color w:val="auto"/>
        </w:rPr>
        <w:t>（三）乙方所有派驻人员，必须熟悉和遵守本条款的各项规定，做到生产与安全工作同时计划、布置、检查、总结和评比。</w:t>
      </w:r>
    </w:p>
    <w:p w14:paraId="3F8956B2">
      <w:pPr>
        <w:spacing w:line="440" w:lineRule="exact"/>
        <w:ind w:firstLine="420"/>
        <w:jc w:val="left"/>
        <w:rPr>
          <w:rFonts w:ascii="Times New Roman" w:hAnsi="Times New Roman" w:cs="Times New Roman"/>
          <w:color w:val="auto"/>
        </w:rPr>
      </w:pPr>
      <w:r>
        <w:rPr>
          <w:rFonts w:ascii="Times New Roman" w:hAnsi="Times New Roman" w:cs="Times New Roman"/>
          <w:color w:val="auto"/>
        </w:rPr>
        <w:t>（四）乙方应建立健全本项目派驻人员的安全生产管理系统和安全生产责任制。从派往项目实施的现场负责人到驾驶员必须做到纵向到底,一环不漏；横向到边，人人有责。</w:t>
      </w:r>
    </w:p>
    <w:p w14:paraId="702B31A6">
      <w:pPr>
        <w:spacing w:line="440" w:lineRule="exact"/>
        <w:ind w:firstLine="420"/>
        <w:jc w:val="left"/>
        <w:rPr>
          <w:rFonts w:ascii="Times New Roman" w:hAnsi="Times New Roman" w:cs="Times New Roman"/>
          <w:color w:val="auto"/>
        </w:rPr>
      </w:pPr>
      <w:r>
        <w:rPr>
          <w:rFonts w:ascii="Times New Roman" w:hAnsi="Times New Roman" w:cs="Times New Roman"/>
          <w:color w:val="auto"/>
        </w:rPr>
        <w:t>（五）乙方派驻的现场负责人是安全生产的第一责任人。现场设置安全员,负责所有员工的安全和治安保卫工作及预防事故的发生。并采取保护性措施防止事故发生。</w:t>
      </w:r>
    </w:p>
    <w:p w14:paraId="4AE099F1">
      <w:pPr>
        <w:spacing w:line="440" w:lineRule="exact"/>
        <w:ind w:firstLine="420"/>
        <w:jc w:val="left"/>
        <w:rPr>
          <w:rFonts w:ascii="Times New Roman" w:hAnsi="Times New Roman" w:cs="Times New Roman"/>
          <w:color w:val="auto"/>
        </w:rPr>
      </w:pPr>
      <w:r>
        <w:rPr>
          <w:rFonts w:ascii="Times New Roman" w:hAnsi="Times New Roman" w:cs="Times New Roman"/>
          <w:color w:val="auto"/>
        </w:rPr>
        <w:t>（六）乙方在任何时候都应采取各种合理的预防措施，防止其员工发生违法、违禁、暴力或妨碍治安的行为。</w:t>
      </w:r>
    </w:p>
    <w:p w14:paraId="7AB9C153">
      <w:pPr>
        <w:spacing w:line="440" w:lineRule="exact"/>
        <w:ind w:firstLine="420"/>
        <w:jc w:val="left"/>
        <w:rPr>
          <w:rFonts w:ascii="Times New Roman" w:hAnsi="Times New Roman" w:cs="Times New Roman"/>
          <w:color w:val="auto"/>
        </w:rPr>
      </w:pPr>
      <w:r>
        <w:rPr>
          <w:rFonts w:ascii="Times New Roman" w:hAnsi="Times New Roman" w:cs="Times New Roman"/>
          <w:color w:val="auto"/>
        </w:rPr>
        <w:t>（七）乙方派驻人员须接受安全技术教育和培训，熟知和遵守本工种的各项安全技术操作规程，定期进行安全技术考核，合格者方准上岗操作</w:t>
      </w:r>
      <w:r>
        <w:rPr>
          <w:rFonts w:hint="eastAsia" w:ascii="Times New Roman" w:hAnsi="Times New Roman" w:cs="Times New Roman"/>
          <w:color w:val="auto"/>
        </w:rPr>
        <w:t>；检定/校准现场如出现特种作业无证操作现象时，项目负责人必须承担管理责任。</w:t>
      </w:r>
    </w:p>
    <w:p w14:paraId="6962A509">
      <w:pPr>
        <w:spacing w:line="440" w:lineRule="exact"/>
        <w:ind w:firstLine="420"/>
        <w:jc w:val="left"/>
        <w:rPr>
          <w:rFonts w:ascii="Times New Roman" w:hAnsi="Times New Roman" w:cs="Times New Roman"/>
          <w:color w:val="auto"/>
        </w:rPr>
      </w:pPr>
      <w:r>
        <w:rPr>
          <w:rFonts w:ascii="Times New Roman" w:hAnsi="Times New Roman" w:cs="Times New Roman"/>
          <w:color w:val="auto"/>
        </w:rPr>
        <w:t>（八）操作人员上岗，必须按规定穿戴防护用品。乙方现场负责人和安全检查员应随时检查劳动防护用品的穿戴情况，不按规定穿戴防护用品的人员不得上岗。</w:t>
      </w:r>
    </w:p>
    <w:p w14:paraId="3368BC63">
      <w:pPr>
        <w:spacing w:line="440" w:lineRule="exact"/>
        <w:ind w:firstLine="420"/>
        <w:jc w:val="left"/>
        <w:rPr>
          <w:rFonts w:ascii="Times New Roman" w:hAnsi="Times New Roman" w:cs="Times New Roman"/>
          <w:color w:val="auto"/>
        </w:rPr>
      </w:pPr>
      <w:r>
        <w:rPr>
          <w:rFonts w:ascii="Times New Roman" w:hAnsi="Times New Roman" w:cs="Times New Roman"/>
          <w:color w:val="auto"/>
        </w:rPr>
        <w:t>（九）乙方配置的所有机具设备和高空作业的设备均应定期检查，并有安全员的签字记录，保证其经常处于完好状态；不合格的机具、设备和劳动保护用品严禁使用。</w:t>
      </w:r>
    </w:p>
    <w:p w14:paraId="236B4397">
      <w:pPr>
        <w:spacing w:line="440" w:lineRule="exact"/>
        <w:ind w:firstLine="420" w:firstLineChars="200"/>
        <w:jc w:val="left"/>
        <w:rPr>
          <w:color w:val="auto"/>
        </w:rPr>
      </w:pPr>
      <w:r>
        <w:rPr>
          <w:rFonts w:hint="eastAsia" w:ascii="Times New Roman" w:hAnsi="Times New Roman" w:cs="Times New Roman"/>
          <w:color w:val="auto"/>
        </w:rPr>
        <w:t>（十）</w:t>
      </w:r>
      <w:r>
        <w:rPr>
          <w:rFonts w:ascii="Times New Roman" w:hAnsi="Times New Roman" w:cs="Times New Roman"/>
          <w:color w:val="auto"/>
        </w:rPr>
        <w:t xml:space="preserve"> </w:t>
      </w:r>
      <w:r>
        <w:rPr>
          <w:rFonts w:hint="eastAsia" w:ascii="Times New Roman" w:hAnsi="Times New Roman" w:cs="Times New Roman"/>
          <w:color w:val="auto"/>
        </w:rPr>
        <w:t>乙方必须按照本工程项目特点，组织制定本工程实施中的生产安全事故应急救援预案；如果发生事故，应按照《国务院关于特大安全事故行政责任追究的规定》以及其它有关规定，及时上报有关部门，并坚持“三不放过”的原则，严肃处理相关责任人。</w:t>
      </w:r>
    </w:p>
    <w:p w14:paraId="4CE7E85D">
      <w:pPr>
        <w:spacing w:line="440" w:lineRule="exact"/>
        <w:ind w:firstLine="420" w:firstLineChars="200"/>
        <w:jc w:val="left"/>
        <w:rPr>
          <w:rFonts w:ascii="Times New Roman" w:hAnsi="Times New Roman" w:cs="Times New Roman"/>
          <w:color w:val="auto"/>
        </w:rPr>
      </w:pPr>
      <w:r>
        <w:rPr>
          <w:rFonts w:ascii="Times New Roman" w:hAnsi="Times New Roman" w:cs="Times New Roman"/>
          <w:color w:val="auto"/>
        </w:rPr>
        <w:t>（十一）技术服务中采用新技术、新工艺、新设备、新材料时，必须严格执行甲方制定的相应安全技术措施，施工现场必须具有相关的安全标志牌。</w:t>
      </w:r>
    </w:p>
    <w:p w14:paraId="6BECE4F8">
      <w:pPr>
        <w:spacing w:line="360" w:lineRule="auto"/>
        <w:ind w:firstLine="420" w:firstLineChars="200"/>
        <w:jc w:val="left"/>
        <w:rPr>
          <w:rFonts w:ascii="Times New Roman" w:hAnsi="Times New Roman" w:cs="Times New Roman"/>
          <w:color w:val="auto"/>
        </w:rPr>
      </w:pPr>
      <w:r>
        <w:rPr>
          <w:rFonts w:ascii="Times New Roman" w:hAnsi="Times New Roman" w:cs="Times New Roman"/>
          <w:color w:val="auto"/>
        </w:rPr>
        <w:t>（十</w:t>
      </w:r>
      <w:r>
        <w:rPr>
          <w:rFonts w:hint="eastAsia" w:ascii="Times New Roman" w:hAnsi="Times New Roman" w:cs="Times New Roman"/>
          <w:color w:val="auto"/>
        </w:rPr>
        <w:t>二</w:t>
      </w:r>
      <w:r>
        <w:rPr>
          <w:rFonts w:ascii="Times New Roman" w:hAnsi="Times New Roman" w:cs="Times New Roman"/>
          <w:color w:val="auto"/>
        </w:rPr>
        <w:t>）乙方承担项目全部的安全责任，项目实施过程中如发生安全事故，由此造成任何的人身伤亡、罚款、索赔、损失补偿、诉讼费用及其他一切责任均由乙方承担。</w:t>
      </w:r>
    </w:p>
    <w:p w14:paraId="5D485836">
      <w:pPr>
        <w:spacing w:line="440" w:lineRule="exact"/>
        <w:ind w:firstLine="420"/>
        <w:jc w:val="left"/>
        <w:outlineLvl w:val="2"/>
        <w:rPr>
          <w:rFonts w:ascii="Times New Roman" w:hAnsi="Times New Roman" w:cs="Times New Roman"/>
          <w:color w:val="auto"/>
        </w:rPr>
      </w:pPr>
      <w:r>
        <w:rPr>
          <w:rFonts w:ascii="Times New Roman" w:hAnsi="Times New Roman" w:cs="Times New Roman"/>
          <w:color w:val="auto"/>
        </w:rPr>
        <w:t>第三条 违约责任</w:t>
      </w:r>
    </w:p>
    <w:p w14:paraId="57E8E754">
      <w:pPr>
        <w:spacing w:line="440" w:lineRule="exact"/>
        <w:ind w:firstLine="420"/>
        <w:jc w:val="left"/>
        <w:rPr>
          <w:rFonts w:ascii="Times New Roman" w:hAnsi="Times New Roman" w:cs="Times New Roman"/>
          <w:color w:val="auto"/>
        </w:rPr>
      </w:pPr>
      <w:r>
        <w:rPr>
          <w:rFonts w:ascii="Times New Roman" w:hAnsi="Times New Roman" w:cs="Times New Roman"/>
          <w:color w:val="auto"/>
        </w:rPr>
        <w:t>（一）乙方派驻人员具体实施和完成本合同工程的过程中，应采取足够的安全预防措施，以保证施工安全、公路通行安全、河（航）道通行安全，不干扰司乘人员、群众生产、生活和通行方便。如发生安全事故导致索赔、诉讼以及其他经济损失，应由乙方承担一切责任和费用。</w:t>
      </w:r>
    </w:p>
    <w:p w14:paraId="22CD8E26">
      <w:pPr>
        <w:spacing w:line="440" w:lineRule="exact"/>
        <w:ind w:firstLine="420"/>
        <w:jc w:val="left"/>
        <w:rPr>
          <w:rFonts w:ascii="Times New Roman" w:hAnsi="Times New Roman" w:cs="Times New Roman"/>
          <w:color w:val="auto"/>
        </w:rPr>
      </w:pPr>
      <w:r>
        <w:rPr>
          <w:rFonts w:ascii="Times New Roman" w:hAnsi="Times New Roman" w:cs="Times New Roman"/>
          <w:color w:val="auto"/>
        </w:rPr>
        <w:t>（二）如因乙方导致的安全事故对甲方名誉、财产造成损失的，甲方将有权解除合同并依法追究责任。</w:t>
      </w:r>
    </w:p>
    <w:p w14:paraId="02F9CAA6">
      <w:pPr>
        <w:spacing w:line="440" w:lineRule="exact"/>
        <w:ind w:firstLine="420"/>
        <w:jc w:val="left"/>
        <w:rPr>
          <w:rFonts w:ascii="Times New Roman" w:hAnsi="Times New Roman" w:cs="Times New Roman"/>
          <w:color w:val="auto"/>
        </w:rPr>
      </w:pPr>
      <w:r>
        <w:rPr>
          <w:rFonts w:ascii="Times New Roman" w:hAnsi="Times New Roman" w:cs="Times New Roman"/>
          <w:color w:val="auto"/>
        </w:rPr>
        <w:t>（三）甲方有权在工作开展过程中查验乙方投入本项目人员、设备、车辆各类保险凭证，如因乙方原因出现安全事故，乙方未能及时处理，甲方有权使用乙方工程款优先执行相关合理赔偿，乙方必须服从。</w:t>
      </w:r>
    </w:p>
    <w:p w14:paraId="59C09286">
      <w:pPr>
        <w:spacing w:line="440" w:lineRule="exact"/>
        <w:ind w:firstLine="420"/>
        <w:jc w:val="left"/>
        <w:rPr>
          <w:rFonts w:ascii="Times New Roman" w:hAnsi="Times New Roman" w:cs="Times New Roman"/>
          <w:color w:val="auto"/>
        </w:rPr>
      </w:pPr>
      <w:r>
        <w:rPr>
          <w:rFonts w:ascii="Times New Roman" w:hAnsi="Times New Roman" w:cs="Times New Roman"/>
          <w:color w:val="auto"/>
        </w:rPr>
        <w:t>（四）甲方在检查过程中发现安全隐患，乙方未能及时整改的或屡改屡犯的，视情节轻重甲方有权对乙方处以人民币5000-50000元罚款。</w:t>
      </w:r>
    </w:p>
    <w:p w14:paraId="63B676C1">
      <w:pPr>
        <w:spacing w:line="440" w:lineRule="exact"/>
        <w:ind w:firstLine="420"/>
        <w:jc w:val="left"/>
        <w:rPr>
          <w:rFonts w:ascii="Times New Roman" w:hAnsi="Times New Roman" w:cs="Times New Roman"/>
          <w:color w:val="auto"/>
        </w:rPr>
      </w:pPr>
    </w:p>
    <w:p w14:paraId="1E12D67E">
      <w:pPr>
        <w:spacing w:line="440" w:lineRule="exact"/>
        <w:ind w:firstLine="420"/>
        <w:jc w:val="left"/>
        <w:rPr>
          <w:rFonts w:ascii="Times New Roman" w:hAnsi="Times New Roman" w:cs="Times New Roman"/>
          <w:color w:val="auto"/>
        </w:rPr>
      </w:pPr>
      <w:r>
        <w:rPr>
          <w:rFonts w:ascii="Times New Roman" w:hAnsi="Times New Roman" w:cs="Times New Roman"/>
          <w:color w:val="auto"/>
        </w:rPr>
        <w:t xml:space="preserve">甲方:                              乙方： </w:t>
      </w:r>
    </w:p>
    <w:p w14:paraId="197225FB">
      <w:pPr>
        <w:spacing w:line="440" w:lineRule="exact"/>
        <w:ind w:firstLine="420"/>
        <w:jc w:val="left"/>
        <w:rPr>
          <w:rFonts w:ascii="Times New Roman" w:hAnsi="Times New Roman" w:cs="Times New Roman"/>
          <w:color w:val="auto"/>
        </w:rPr>
      </w:pPr>
    </w:p>
    <w:p w14:paraId="3883588D">
      <w:pPr>
        <w:spacing w:line="440" w:lineRule="exact"/>
        <w:ind w:firstLine="420"/>
        <w:jc w:val="left"/>
        <w:rPr>
          <w:rFonts w:ascii="Times New Roman" w:hAnsi="Times New Roman" w:cs="Times New Roman"/>
          <w:color w:val="auto"/>
        </w:rPr>
      </w:pPr>
      <w:r>
        <w:rPr>
          <w:rFonts w:ascii="Times New Roman" w:hAnsi="Times New Roman" w:cs="Times New Roman"/>
          <w:color w:val="auto"/>
        </w:rPr>
        <w:t>法定代表人                         法定代表人</w:t>
      </w:r>
    </w:p>
    <w:p w14:paraId="1D43B4BB">
      <w:pPr>
        <w:spacing w:line="440" w:lineRule="exact"/>
        <w:ind w:firstLine="420"/>
        <w:jc w:val="left"/>
        <w:rPr>
          <w:rFonts w:ascii="Times New Roman" w:hAnsi="Times New Roman" w:cs="Times New Roman"/>
          <w:color w:val="auto"/>
        </w:rPr>
      </w:pPr>
    </w:p>
    <w:p w14:paraId="60A50907">
      <w:pPr>
        <w:spacing w:line="440" w:lineRule="exact"/>
        <w:ind w:firstLine="420"/>
        <w:jc w:val="left"/>
        <w:rPr>
          <w:rFonts w:ascii="Times New Roman" w:hAnsi="Times New Roman" w:cs="Times New Roman"/>
          <w:color w:val="auto"/>
        </w:rPr>
      </w:pPr>
      <w:r>
        <w:rPr>
          <w:rFonts w:ascii="Times New Roman" w:hAnsi="Times New Roman" w:cs="Times New Roman"/>
          <w:color w:val="auto"/>
        </w:rPr>
        <w:t xml:space="preserve">或其委托代理人： 　            　  或其委托代理人：                              </w:t>
      </w:r>
    </w:p>
    <w:p w14:paraId="1180C174">
      <w:pPr>
        <w:spacing w:line="440" w:lineRule="exact"/>
        <w:ind w:firstLine="420"/>
        <w:jc w:val="left"/>
        <w:rPr>
          <w:rFonts w:ascii="Times New Roman" w:hAnsi="Times New Roman" w:cs="Times New Roman"/>
          <w:color w:val="auto"/>
        </w:rPr>
      </w:pPr>
    </w:p>
    <w:p w14:paraId="31226092">
      <w:pPr>
        <w:spacing w:line="440" w:lineRule="exact"/>
        <w:ind w:firstLine="420"/>
        <w:jc w:val="left"/>
        <w:rPr>
          <w:rFonts w:ascii="Times New Roman" w:hAnsi="Times New Roman" w:cs="Times New Roman"/>
          <w:color w:val="auto"/>
        </w:rPr>
        <w:sectPr>
          <w:footerReference r:id="rId3" w:type="default"/>
          <w:pgSz w:w="11906" w:h="16838"/>
          <w:pgMar w:top="1440" w:right="1786" w:bottom="1440" w:left="1300" w:header="851" w:footer="992" w:gutter="0"/>
          <w:pgNumType w:start="1"/>
          <w:cols w:space="720" w:num="1"/>
          <w:docGrid w:type="lines" w:linePitch="312" w:charSpace="0"/>
        </w:sectPr>
      </w:pPr>
      <w:r>
        <w:rPr>
          <w:rFonts w:ascii="Times New Roman" w:hAnsi="Times New Roman" w:cs="Times New Roman"/>
          <w:color w:val="auto"/>
        </w:rPr>
        <w:t xml:space="preserve">签约时间： 　年   月 </w:t>
      </w:r>
      <w:r>
        <w:rPr>
          <w:rFonts w:hint="eastAsia" w:ascii="Times New Roman" w:hAnsi="Times New Roman" w:cs="Times New Roman"/>
          <w:color w:val="auto"/>
        </w:rPr>
        <w:t xml:space="preserve"> </w:t>
      </w:r>
      <w:r>
        <w:rPr>
          <w:rFonts w:ascii="Times New Roman" w:hAnsi="Times New Roman" w:cs="Times New Roman"/>
          <w:color w:val="auto"/>
        </w:rPr>
        <w:t xml:space="preserve"> 日　         签约时间： 　年   月 </w:t>
      </w:r>
      <w:r>
        <w:rPr>
          <w:rFonts w:hint="eastAsia" w:ascii="Times New Roman" w:hAnsi="Times New Roman" w:cs="Times New Roman"/>
          <w:color w:val="auto"/>
        </w:rPr>
        <w:t xml:space="preserve">   </w:t>
      </w:r>
      <w:r>
        <w:rPr>
          <w:rFonts w:ascii="Times New Roman" w:hAnsi="Times New Roman" w:cs="Times New Roman"/>
          <w:color w:val="auto"/>
        </w:rPr>
        <w:t>日</w:t>
      </w:r>
    </w:p>
    <w:p w14:paraId="0B4D9555">
      <w:pPr>
        <w:snapToGrid w:val="0"/>
        <w:spacing w:line="520" w:lineRule="exact"/>
        <w:jc w:val="center"/>
        <w:outlineLvl w:val="1"/>
        <w:rPr>
          <w:rStyle w:val="23"/>
          <w:rFonts w:ascii="仿宋_GB2312" w:hAnsi="仿宋_GB2312" w:eastAsia="仿宋_GB2312" w:cs="仿宋_GB2312"/>
          <w:color w:val="auto"/>
          <w:sz w:val="36"/>
          <w:szCs w:val="36"/>
          <w:shd w:val="clear" w:color="auto" w:fill="FFFFFF"/>
        </w:rPr>
      </w:pPr>
      <w:r>
        <w:rPr>
          <w:rFonts w:hint="eastAsia" w:ascii="仿宋_GB2312" w:hAnsi="仿宋_GB2312" w:eastAsia="仿宋_GB2312" w:cs="仿宋_GB2312"/>
          <w:b/>
          <w:color w:val="auto"/>
          <w:sz w:val="32"/>
          <w:szCs w:val="32"/>
        </w:rPr>
        <w:t>三、廉政合同</w:t>
      </w:r>
    </w:p>
    <w:p w14:paraId="3884856B">
      <w:pPr>
        <w:spacing w:line="440" w:lineRule="exact"/>
        <w:ind w:firstLine="420"/>
        <w:jc w:val="left"/>
        <w:rPr>
          <w:rFonts w:ascii="Times New Roman" w:hAnsi="Times New Roman" w:cs="Times New Roman"/>
          <w:color w:val="auto"/>
        </w:rPr>
      </w:pPr>
      <w:r>
        <w:rPr>
          <w:rFonts w:ascii="Times New Roman" w:hAnsi="Times New Roman" w:cs="Times New Roman"/>
          <w:color w:val="auto"/>
        </w:rPr>
        <w:t>为抓好</w:t>
      </w:r>
      <w:r>
        <w:rPr>
          <w:rFonts w:hint="eastAsia" w:ascii="Times New Roman" w:hAnsi="Times New Roman" w:cs="Times New Roman"/>
          <w:color w:val="auto"/>
        </w:rPr>
        <w:t>企业</w:t>
      </w:r>
      <w:r>
        <w:rPr>
          <w:rFonts w:ascii="Times New Roman" w:hAnsi="Times New Roman" w:cs="Times New Roman"/>
          <w:color w:val="auto"/>
        </w:rPr>
        <w:t>采购供应中的党风廉政建设，规范、约束采供双方行为，确保双方工作人员廉洁从业，_______（项目名称）的采购人</w:t>
      </w:r>
      <w:r>
        <w:rPr>
          <w:rFonts w:ascii="Times New Roman" w:hAnsi="Times New Roman" w:cs="Times New Roman"/>
          <w:color w:val="auto"/>
          <w:u w:val="single"/>
        </w:rPr>
        <w:t xml:space="preserve"> </w:t>
      </w:r>
      <w:r>
        <w:rPr>
          <w:rFonts w:hint="eastAsia" w:ascii="Times New Roman" w:hAnsi="Times New Roman" w:cs="Times New Roman"/>
          <w:color w:val="auto"/>
          <w:u w:val="single"/>
        </w:rPr>
        <w:t>安徽省高速公路试验检测科研中心有限公司</w:t>
      </w:r>
      <w:r>
        <w:rPr>
          <w:rFonts w:ascii="Times New Roman" w:hAnsi="Times New Roman" w:cs="Times New Roman"/>
          <w:color w:val="auto"/>
          <w:u w:val="single"/>
        </w:rPr>
        <w:t xml:space="preserve"> </w:t>
      </w:r>
      <w:r>
        <w:rPr>
          <w:rFonts w:ascii="Times New Roman" w:hAnsi="Times New Roman" w:cs="Times New Roman"/>
          <w:color w:val="auto"/>
        </w:rPr>
        <w:t>（采购人名称，以下简称甲方）与该项目的</w:t>
      </w:r>
      <w:r>
        <w:rPr>
          <w:rFonts w:hint="eastAsia" w:ascii="Times New Roman" w:hAnsi="Times New Roman" w:cs="Times New Roman"/>
          <w:color w:val="auto"/>
        </w:rPr>
        <w:t>成交人</w:t>
      </w:r>
      <w:r>
        <w:rPr>
          <w:rFonts w:ascii="Times New Roman" w:hAnsi="Times New Roman" w:cs="Times New Roman"/>
          <w:color w:val="auto"/>
          <w:u w:val="single"/>
        </w:rPr>
        <w:t xml:space="preserve">       </w:t>
      </w:r>
      <w:r>
        <w:rPr>
          <w:rFonts w:ascii="Times New Roman" w:hAnsi="Times New Roman" w:cs="Times New Roman"/>
          <w:color w:val="auto"/>
        </w:rPr>
        <w:t>（</w:t>
      </w:r>
      <w:r>
        <w:rPr>
          <w:rFonts w:hint="eastAsia" w:ascii="Times New Roman" w:hAnsi="Times New Roman" w:cs="Times New Roman"/>
          <w:color w:val="auto"/>
        </w:rPr>
        <w:t>成交人</w:t>
      </w:r>
      <w:r>
        <w:rPr>
          <w:rFonts w:ascii="Times New Roman" w:hAnsi="Times New Roman" w:cs="Times New Roman"/>
          <w:color w:val="auto"/>
        </w:rPr>
        <w:t>名称，以下简称乙方），特订立如下合同。</w:t>
      </w:r>
    </w:p>
    <w:p w14:paraId="24DC2AD3">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一、甲方和乙方双方的权利和义务</w:t>
      </w:r>
    </w:p>
    <w:p w14:paraId="5B0D6F7B">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(一)严格遵守党的政策规定和国家有关法律法规规定。</w:t>
      </w:r>
    </w:p>
    <w:p w14:paraId="43BE7368">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 xml:space="preserve">(二)严格执行 </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（项目名称）合同文件，自觉按合同办事。</w:t>
      </w:r>
    </w:p>
    <w:p w14:paraId="64B72B02">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(三)双方的业务活动坚持公开、公正、诚信、透明的原则(法律认定的商业秘密和合同文件另有规定除外)，不得损害国家和集体利益，不得违反规章制度。</w:t>
      </w:r>
    </w:p>
    <w:p w14:paraId="146D6752">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(四)建立健全廉政制度，开展廉政教育，设立廉政告示牌，公布举报电话，监督并认真查处违法违纪行为。</w:t>
      </w:r>
    </w:p>
    <w:p w14:paraId="493027F4">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(五)发现对方在业务活动中有违反廉政规定的行为，有及时提醒对方纠正的权利和义务。</w:t>
      </w:r>
    </w:p>
    <w:p w14:paraId="0285F453">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(六)发现对方严重违反本合同义务条款的行为，有向其上级有关部门举报、建议给予处理并要求告知处理结果的权利。</w:t>
      </w:r>
    </w:p>
    <w:p w14:paraId="71446F1D">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二、甲方的义务</w:t>
      </w:r>
    </w:p>
    <w:p w14:paraId="41AD02AD">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（一）甲方及其工作人员不得索要或接受乙方的礼金、有价证券和贵重物品，不得让乙方报销任何应由甲方或甲方工作人员个人支付的费用等。</w:t>
      </w:r>
    </w:p>
    <w:p w14:paraId="572FDE15">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（二）甲方工作人员不得参加乙方安排的超标准宴请和娱乐活动；不得接受乙方提供的通讯工具、交通工具和高档办公用品等。</w:t>
      </w:r>
    </w:p>
    <w:p w14:paraId="496F11E9">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（三）甲方及其工作人员不得要求或者接受乙方为其住房装修、婚丧嫁娶活动、配偶子女的工作安排以及出国出境、旅游等提供方便等。</w:t>
      </w:r>
    </w:p>
    <w:p w14:paraId="6BAAFF0C">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（四）甲方工作人员及其配偶、子女不得从事与甲方项目有关的材料设备供应、工程分包、劳务、服务等经济活动。</w:t>
      </w:r>
    </w:p>
    <w:p w14:paraId="11FF444D">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（五）甲方及其工作人员不得以任何理由向乙方推荐产品，不得要求乙方购买合同规定外的物资、材料和设备。</w:t>
      </w:r>
    </w:p>
    <w:p w14:paraId="2E0B2FE7">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（六）甲方工作人员要秉公办事，不准营私舞弊，不准利用职权从事各种个人有偿中介活动。</w:t>
      </w:r>
    </w:p>
    <w:p w14:paraId="34719C3F">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三、乙方的义务</w:t>
      </w:r>
    </w:p>
    <w:p w14:paraId="4177CDEC">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(一)乙方不得以任何理由向甲方及其工作人员行贿或馈赠礼金、有价证券、贵重礼品。</w:t>
      </w:r>
    </w:p>
    <w:p w14:paraId="244A87E5">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(二)乙方不得以任何名义为甲方及其工作人员报销应由甲方单位或个人支付的任何费用。</w:t>
      </w:r>
    </w:p>
    <w:p w14:paraId="1153C78C">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(三)乙方不得以任何理由安排甲方工作人员参加超标准宴请及娱乐活动。</w:t>
      </w:r>
    </w:p>
    <w:p w14:paraId="46184DD5">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(四)乙方不得为甲方单位和个人购置或提供通信工具、交通工具和高档办公用品等。</w:t>
      </w:r>
    </w:p>
    <w:p w14:paraId="166AD250">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四、 违约责任</w:t>
      </w:r>
    </w:p>
    <w:p w14:paraId="094869DC">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(一)甲方及其工作人员违反本合同第1、2条，按管理权限，依据有关规定给予党纪、政纪或组织处理；涉嫌犯罪的，移交司法机关追究刑事责任；给乙方单位造成经济损失的，应予以赔偿。</w:t>
      </w:r>
    </w:p>
    <w:p w14:paraId="7530C8A9">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(二)乙方及其工作人员违反本合同第1、3条，按管理权限，依据有关规定给予党纪、政纪或组织处理；给甲方单位造成经济损失的，应予以赔偿。</w:t>
      </w:r>
    </w:p>
    <w:p w14:paraId="751897FB">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 xml:space="preserve"> 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14:paraId="37AF9E60">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六、本合同有效期为甲方和乙方签署之日起至该项目完成后止。</w:t>
      </w:r>
    </w:p>
    <w:p w14:paraId="333086FA">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七、 本合同作为</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（项目名称）合同的附件，与项目主合同具有同等的法律效力，经合同双方签署后立即生效。</w:t>
      </w:r>
    </w:p>
    <w:p w14:paraId="6762228D">
      <w:pPr>
        <w:spacing w:line="520" w:lineRule="exact"/>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八、本合同书正本二份、副本</w:t>
      </w:r>
      <w:r>
        <w:rPr>
          <w:rFonts w:hint="eastAsia" w:ascii="宋体" w:hAnsi="宋体" w:eastAsia="宋体" w:cs="宋体"/>
          <w:color w:val="auto"/>
          <w:szCs w:val="21"/>
          <w:u w:val="single"/>
          <w:lang w:bidi="ar"/>
        </w:rPr>
        <w:t xml:space="preserve"> 四 </w:t>
      </w:r>
      <w:r>
        <w:rPr>
          <w:rFonts w:hint="eastAsia" w:ascii="宋体" w:hAnsi="宋体" w:eastAsia="宋体" w:cs="宋体"/>
          <w:color w:val="auto"/>
          <w:szCs w:val="21"/>
          <w:lang w:bidi="ar"/>
        </w:rPr>
        <w:t>份，合同双方各执正本一份，副本</w:t>
      </w:r>
      <w:r>
        <w:rPr>
          <w:rFonts w:hint="eastAsia" w:ascii="宋体" w:hAnsi="宋体" w:eastAsia="宋体" w:cs="宋体"/>
          <w:color w:val="auto"/>
          <w:szCs w:val="21"/>
          <w:u w:val="single"/>
          <w:lang w:bidi="ar"/>
        </w:rPr>
        <w:t xml:space="preserve"> 二 </w:t>
      </w:r>
      <w:r>
        <w:rPr>
          <w:rFonts w:hint="eastAsia" w:ascii="宋体" w:hAnsi="宋体" w:eastAsia="宋体" w:cs="宋体"/>
          <w:color w:val="auto"/>
          <w:szCs w:val="21"/>
          <w:lang w:bidi="ar"/>
        </w:rPr>
        <w:t>份，当正本与副本的内容不一致时，以正本为准。</w:t>
      </w:r>
    </w:p>
    <w:p w14:paraId="4696D43B">
      <w:pPr>
        <w:spacing w:line="440" w:lineRule="exact"/>
        <w:ind w:firstLine="420"/>
        <w:jc w:val="left"/>
        <w:rPr>
          <w:rFonts w:ascii="Times New Roman" w:hAnsi="Times New Roman" w:cs="Times New Roman"/>
          <w:color w:val="auto"/>
        </w:rPr>
      </w:pPr>
      <w:r>
        <w:rPr>
          <w:rFonts w:ascii="Times New Roman" w:hAnsi="Times New Roman" w:cs="Times New Roman"/>
          <w:color w:val="auto"/>
        </w:rPr>
        <w:t>甲方单位：（盖章）              乙方单位：（盖章）</w:t>
      </w:r>
    </w:p>
    <w:p w14:paraId="55C7832F">
      <w:pPr>
        <w:spacing w:line="440" w:lineRule="exact"/>
        <w:ind w:firstLine="420"/>
        <w:jc w:val="left"/>
        <w:rPr>
          <w:rFonts w:ascii="Times New Roman" w:hAnsi="Times New Roman" w:cs="Times New Roman"/>
          <w:color w:val="auto"/>
        </w:rPr>
      </w:pPr>
      <w:r>
        <w:rPr>
          <w:rFonts w:ascii="Times New Roman" w:hAnsi="Times New Roman" w:cs="Times New Roman"/>
          <w:color w:val="auto"/>
        </w:rPr>
        <w:t>法定代表人：                    法定代表人：</w:t>
      </w:r>
    </w:p>
    <w:p w14:paraId="2A381D87">
      <w:pPr>
        <w:spacing w:line="440" w:lineRule="exact"/>
        <w:ind w:firstLine="420"/>
        <w:jc w:val="left"/>
        <w:rPr>
          <w:rFonts w:ascii="Times New Roman" w:hAnsi="Times New Roman" w:cs="Times New Roman"/>
          <w:color w:val="auto"/>
        </w:rPr>
      </w:pPr>
      <w:r>
        <w:rPr>
          <w:rFonts w:ascii="Times New Roman" w:hAnsi="Times New Roman" w:cs="Times New Roman"/>
          <w:color w:val="auto"/>
        </w:rPr>
        <w:t xml:space="preserve">或其授权的代理人：              或其授权的代理人：          </w:t>
      </w:r>
    </w:p>
    <w:p w14:paraId="44158C67">
      <w:pPr>
        <w:spacing w:line="440" w:lineRule="exact"/>
        <w:ind w:firstLine="420"/>
        <w:jc w:val="left"/>
        <w:rPr>
          <w:rFonts w:ascii="Times New Roman" w:hAnsi="Times New Roman" w:cs="Times New Roman"/>
          <w:color w:val="auto"/>
        </w:rPr>
      </w:pPr>
      <w:r>
        <w:rPr>
          <w:rFonts w:ascii="Times New Roman" w:hAnsi="Times New Roman" w:cs="Times New Roman"/>
          <w:color w:val="auto"/>
        </w:rPr>
        <w:t>年   月   日                    年   月   日</w:t>
      </w:r>
    </w:p>
    <w:p w14:paraId="78C3928C">
      <w:pPr>
        <w:pStyle w:val="2"/>
        <w:rPr>
          <w:rFonts w:ascii="宋体" w:hAnsi="宋体" w:eastAsia="宋体" w:cs="宋体"/>
          <w:color w:val="auto"/>
          <w:szCs w:val="21"/>
        </w:rPr>
      </w:pPr>
    </w:p>
    <w:p w14:paraId="5FF81D19">
      <w:pPr>
        <w:rPr>
          <w:rFonts w:ascii="Times New Roman" w:hAnsi="Times New Roman" w:eastAsia="宋体" w:cs="Times New Roman"/>
          <w:color w:val="auto"/>
        </w:rPr>
      </w:pPr>
      <w:r>
        <w:rPr>
          <w:rFonts w:hint="eastAsia" w:ascii="Times New Roman" w:hAnsi="Times New Roman" w:eastAsia="宋体" w:cs="Times New Roman"/>
          <w:color w:val="auto"/>
        </w:rPr>
        <w:br w:type="page"/>
      </w:r>
    </w:p>
    <w:p w14:paraId="1E127890">
      <w:pPr>
        <w:pStyle w:val="4"/>
        <w:numPr>
          <w:ilvl w:val="0"/>
          <w:numId w:val="0"/>
        </w:numPr>
        <w:spacing w:before="317" w:after="317"/>
        <w:rPr>
          <w:rFonts w:ascii="Times New Roman" w:hAnsi="Times New Roman" w:eastAsia="宋体" w:cs="Times New Roman"/>
          <w:color w:val="auto"/>
        </w:rPr>
      </w:pPr>
      <w:r>
        <w:rPr>
          <w:rFonts w:hint="eastAsia" w:ascii="Times New Roman" w:hAnsi="Times New Roman" w:eastAsia="宋体" w:cs="Times New Roman"/>
          <w:color w:val="auto"/>
        </w:rPr>
        <w:t xml:space="preserve">第五章 </w:t>
      </w:r>
      <w:r>
        <w:rPr>
          <w:rFonts w:ascii="Times New Roman" w:hAnsi="Times New Roman" w:eastAsia="宋体" w:cs="Times New Roman"/>
          <w:color w:val="auto"/>
        </w:rPr>
        <w:t>采购</w:t>
      </w:r>
      <w:r>
        <w:rPr>
          <w:rFonts w:hint="eastAsia" w:ascii="Times New Roman" w:hAnsi="Times New Roman" w:eastAsia="宋体" w:cs="Times New Roman"/>
          <w:color w:val="auto"/>
        </w:rPr>
        <w:t>需求及</w:t>
      </w:r>
      <w:r>
        <w:rPr>
          <w:rFonts w:ascii="Times New Roman" w:hAnsi="Times New Roman" w:eastAsia="宋体" w:cs="Times New Roman"/>
          <w:color w:val="auto"/>
        </w:rPr>
        <w:t>清单</w:t>
      </w:r>
      <w:bookmarkEnd w:id="113"/>
    </w:p>
    <w:p w14:paraId="0D655728">
      <w:pPr>
        <w:pStyle w:val="2"/>
        <w:numPr>
          <w:ilvl w:val="0"/>
          <w:numId w:val="8"/>
        </w:numPr>
        <w:spacing w:line="360" w:lineRule="auto"/>
        <w:ind w:left="425" w:leftChars="0" w:hanging="425" w:firstLineChars="0"/>
        <w:rPr>
          <w:rFonts w:hint="eastAsia" w:ascii="Times New Roman" w:hAnsi="Times New Roman" w:eastAsia="宋体"/>
          <w:sz w:val="21"/>
          <w:szCs w:val="21"/>
          <w:lang w:val="en-US" w:eastAsia="zh-CN"/>
        </w:rPr>
      </w:pPr>
      <w:bookmarkStart w:id="121" w:name="_Toc10970_WPSOffice_Level1"/>
      <w:bookmarkStart w:id="122" w:name="_Toc28814_WPSOffice_Level2"/>
      <w:r>
        <w:rPr>
          <w:rFonts w:hint="eastAsia" w:ascii="Times New Roman" w:hAnsi="Times New Roman" w:eastAsia="宋体"/>
          <w:sz w:val="21"/>
          <w:szCs w:val="21"/>
          <w:lang w:val="en-US" w:eastAsia="zh-CN"/>
        </w:rPr>
        <w:t>该</w:t>
      </w:r>
      <w:r>
        <w:rPr>
          <w:rFonts w:hint="eastAsia" w:eastAsia="宋体" w:cs="Times New Roman"/>
          <w:sz w:val="21"/>
          <w:szCs w:val="21"/>
          <w:lang w:val="en-US" w:eastAsia="zh-CN"/>
        </w:rPr>
        <w:t>报价</w:t>
      </w:r>
      <w:r>
        <w:rPr>
          <w:rFonts w:hint="eastAsia" w:ascii="Times New Roman" w:hAnsi="Times New Roman" w:eastAsia="宋体"/>
          <w:sz w:val="21"/>
          <w:szCs w:val="21"/>
          <w:lang w:val="en-US" w:eastAsia="zh-CN"/>
        </w:rPr>
        <w:t>以年为周期，每个工地试验室按路基/路面设备</w:t>
      </w:r>
      <w:r>
        <w:rPr>
          <w:rFonts w:hint="eastAsia" w:ascii="Times New Roman" w:hAnsi="Times New Roman" w:eastAsia="宋体"/>
          <w:color w:val="auto"/>
          <w:sz w:val="21"/>
          <w:szCs w:val="21"/>
          <w:lang w:val="en-US" w:eastAsia="zh-CN"/>
        </w:rPr>
        <w:t>总价对省内外</w:t>
      </w:r>
      <w:r>
        <w:rPr>
          <w:rFonts w:hint="eastAsia" w:ascii="Times New Roman" w:hAnsi="Times New Roman" w:eastAsia="宋体"/>
          <w:sz w:val="21"/>
          <w:szCs w:val="21"/>
          <w:lang w:val="en-US" w:eastAsia="zh-CN"/>
        </w:rPr>
        <w:t>项目分别进行报价</w:t>
      </w:r>
      <w:r>
        <w:rPr>
          <w:rFonts w:hint="eastAsia" w:ascii="Times New Roman" w:hAnsi="Times New Roman" w:eastAsia="宋体"/>
          <w:sz w:val="21"/>
          <w:szCs w:val="21"/>
          <w:highlight w:val="none"/>
          <w:lang w:val="en-US" w:eastAsia="zh-CN"/>
        </w:rPr>
        <w:t>；</w:t>
      </w:r>
      <w:r>
        <w:rPr>
          <w:rFonts w:hint="eastAsia" w:ascii="Times New Roman" w:hAnsi="Times New Roman" w:eastAsia="宋体"/>
          <w:sz w:val="21"/>
          <w:szCs w:val="21"/>
          <w:lang w:val="en-US" w:eastAsia="zh-CN"/>
        </w:rPr>
        <w:t>若试验室分主点和副点，副点的仪器按照主点仪器数量的占比进行结算（计算数量不含试模及配件），即结算金额为占比比例*主点路基/路面仪器报价。</w:t>
      </w:r>
    </w:p>
    <w:p w14:paraId="41803C63">
      <w:pPr>
        <w:pStyle w:val="2"/>
        <w:numPr>
          <w:ilvl w:val="0"/>
          <w:numId w:val="8"/>
        </w:numPr>
        <w:spacing w:line="360" w:lineRule="auto"/>
        <w:ind w:left="425" w:leftChars="0" w:hanging="425" w:firstLineChars="0"/>
        <w:rPr>
          <w:rFonts w:hint="eastAsia" w:eastAsia="宋体" w:cs="Times New Roman"/>
          <w:sz w:val="21"/>
          <w:szCs w:val="21"/>
          <w:lang w:val="en-US" w:eastAsia="zh-CN"/>
        </w:rPr>
      </w:pPr>
      <w:r>
        <w:rPr>
          <w:rFonts w:hint="eastAsia" w:eastAsia="宋体" w:cs="Times New Roman"/>
          <w:sz w:val="21"/>
          <w:szCs w:val="21"/>
          <w:lang w:val="en-US" w:eastAsia="zh-CN"/>
        </w:rPr>
        <w:t>服务地点为试验室实际所在位置，包括省内和省外所有试验室。</w:t>
      </w:r>
    </w:p>
    <w:p w14:paraId="22CC6D10">
      <w:pPr>
        <w:pStyle w:val="2"/>
        <w:numPr>
          <w:ilvl w:val="0"/>
          <w:numId w:val="8"/>
        </w:numPr>
        <w:spacing w:line="360" w:lineRule="auto"/>
        <w:ind w:left="425" w:leftChars="0" w:hanging="425" w:firstLineChars="0"/>
        <w:rPr>
          <w:rFonts w:hint="default" w:eastAsia="宋体" w:cs="Times New Roman"/>
          <w:sz w:val="21"/>
          <w:szCs w:val="21"/>
          <w:lang w:val="en-US" w:eastAsia="zh-CN"/>
        </w:rPr>
      </w:pPr>
      <w:r>
        <w:rPr>
          <w:rFonts w:hint="default" w:eastAsia="宋体" w:cs="Times New Roman"/>
          <w:sz w:val="21"/>
          <w:szCs w:val="21"/>
          <w:lang w:val="en-US" w:eastAsia="zh-CN"/>
        </w:rPr>
        <w:t>本表所列仪器设备名称、型号规格</w:t>
      </w:r>
      <w:r>
        <w:rPr>
          <w:rFonts w:hint="eastAsia" w:eastAsia="宋体" w:cs="Times New Roman"/>
          <w:sz w:val="21"/>
          <w:szCs w:val="21"/>
          <w:lang w:val="en-US" w:eastAsia="zh-CN"/>
        </w:rPr>
        <w:t>、数量（含配件）</w:t>
      </w:r>
      <w:r>
        <w:rPr>
          <w:rFonts w:hint="default" w:eastAsia="宋体" w:cs="Times New Roman"/>
          <w:sz w:val="21"/>
          <w:szCs w:val="21"/>
          <w:lang w:val="en-US" w:eastAsia="zh-CN"/>
        </w:rPr>
        <w:t>等与实际工作内容不相符时以实际工作内容为准</w:t>
      </w:r>
      <w:r>
        <w:rPr>
          <w:rFonts w:hint="eastAsia" w:eastAsia="宋体" w:cs="Times New Roman"/>
          <w:sz w:val="21"/>
          <w:szCs w:val="21"/>
          <w:lang w:val="en-US" w:eastAsia="zh-CN"/>
        </w:rPr>
        <w:t>，</w:t>
      </w:r>
      <w:r>
        <w:rPr>
          <w:rFonts w:hint="default" w:eastAsia="宋体" w:cs="Times New Roman"/>
          <w:sz w:val="21"/>
          <w:szCs w:val="21"/>
          <w:lang w:val="en-US" w:eastAsia="zh-CN"/>
        </w:rPr>
        <w:t>实际检定/校准工作中出现本表未包含仪器设备的</w:t>
      </w:r>
      <w:r>
        <w:rPr>
          <w:rFonts w:hint="eastAsia" w:eastAsia="宋体" w:cs="Times New Roman"/>
          <w:sz w:val="21"/>
          <w:szCs w:val="21"/>
          <w:lang w:val="en-US" w:eastAsia="zh-CN"/>
        </w:rPr>
        <w:t>，不另行计费</w:t>
      </w:r>
      <w:r>
        <w:rPr>
          <w:rFonts w:hint="default" w:eastAsia="宋体" w:cs="Times New Roman"/>
          <w:sz w:val="21"/>
          <w:szCs w:val="21"/>
          <w:lang w:val="en-US" w:eastAsia="zh-CN"/>
        </w:rPr>
        <w:t>。</w:t>
      </w:r>
    </w:p>
    <w:p w14:paraId="641BEC37">
      <w:pPr>
        <w:pStyle w:val="2"/>
        <w:numPr>
          <w:ilvl w:val="0"/>
          <w:numId w:val="8"/>
        </w:numPr>
        <w:spacing w:line="360" w:lineRule="auto"/>
        <w:ind w:left="425" w:leftChars="0" w:hanging="425" w:firstLineChars="0"/>
        <w:rPr>
          <w:rFonts w:hint="default" w:eastAsia="宋体" w:cs="Times New Roman"/>
          <w:sz w:val="21"/>
          <w:szCs w:val="21"/>
          <w:lang w:val="en-US" w:eastAsia="zh-CN"/>
        </w:rPr>
      </w:pPr>
      <w:r>
        <w:rPr>
          <w:rFonts w:hint="default" w:eastAsia="宋体" w:cs="Times New Roman"/>
          <w:sz w:val="21"/>
          <w:szCs w:val="21"/>
          <w:lang w:val="en-US" w:eastAsia="zh-CN"/>
        </w:rPr>
        <w:t>本表中</w:t>
      </w:r>
      <w:r>
        <w:rPr>
          <w:rFonts w:hint="eastAsia" w:eastAsia="宋体" w:cs="Times New Roman"/>
          <w:sz w:val="21"/>
          <w:szCs w:val="21"/>
          <w:lang w:val="en-US" w:eastAsia="zh-CN"/>
        </w:rPr>
        <w:t>部分</w:t>
      </w:r>
      <w:r>
        <w:rPr>
          <w:rFonts w:hint="default" w:eastAsia="宋体" w:cs="Times New Roman"/>
          <w:sz w:val="21"/>
          <w:szCs w:val="21"/>
          <w:lang w:val="en-US" w:eastAsia="zh-CN"/>
        </w:rPr>
        <w:t>仪器设备（如回弹仪、试模等）根据规定在1年内需进行大于1次的检定/校准，报价人应根据规定提供检定/校准服务，且服务费用结算时按每年1次计取，采购人不另行</w:t>
      </w:r>
      <w:r>
        <w:rPr>
          <w:rFonts w:hint="eastAsia" w:eastAsia="宋体" w:cs="Times New Roman"/>
          <w:sz w:val="21"/>
          <w:szCs w:val="21"/>
          <w:lang w:val="en-US" w:eastAsia="zh-CN"/>
        </w:rPr>
        <w:t>计费</w:t>
      </w:r>
      <w:r>
        <w:rPr>
          <w:rFonts w:hint="default" w:eastAsia="宋体" w:cs="Times New Roman"/>
          <w:sz w:val="21"/>
          <w:szCs w:val="21"/>
          <w:lang w:val="en-US" w:eastAsia="zh-CN"/>
        </w:rPr>
        <w:t>。</w:t>
      </w:r>
    </w:p>
    <w:p w14:paraId="1C9E397B">
      <w:pPr>
        <w:pStyle w:val="2"/>
        <w:numPr>
          <w:ilvl w:val="0"/>
          <w:numId w:val="8"/>
        </w:numPr>
        <w:spacing w:line="360" w:lineRule="auto"/>
        <w:ind w:left="425" w:leftChars="0" w:hanging="425" w:firstLineChars="0"/>
        <w:rPr>
          <w:rFonts w:hint="default" w:eastAsia="宋体" w:cs="Times New Roman"/>
          <w:sz w:val="21"/>
          <w:szCs w:val="21"/>
          <w:lang w:val="en-US" w:eastAsia="zh-CN"/>
        </w:rPr>
      </w:pPr>
      <w:r>
        <w:rPr>
          <w:rFonts w:hint="eastAsia" w:eastAsia="宋体" w:cs="Times New Roman"/>
          <w:sz w:val="21"/>
          <w:szCs w:val="21"/>
          <w:lang w:val="en-US" w:eastAsia="zh-CN"/>
        </w:rPr>
        <w:t>在实际过程中，如存在设备新增/更换/维修等情况，需要按照试验室的要求进行检定/校准，不另行计费。</w:t>
      </w:r>
    </w:p>
    <w:p w14:paraId="6C1D4108">
      <w:pPr>
        <w:pStyle w:val="2"/>
        <w:numPr>
          <w:ilvl w:val="0"/>
          <w:numId w:val="8"/>
        </w:numPr>
        <w:spacing w:line="360" w:lineRule="auto"/>
        <w:ind w:left="425" w:leftChars="0" w:hanging="425" w:firstLineChars="0"/>
        <w:rPr>
          <w:rFonts w:hint="default" w:eastAsia="宋体" w:cs="Times New Roman"/>
          <w:sz w:val="21"/>
          <w:szCs w:val="21"/>
          <w:lang w:val="en-US" w:eastAsia="zh-CN"/>
        </w:rPr>
      </w:pPr>
      <w:r>
        <w:rPr>
          <w:rFonts w:hint="default" w:eastAsia="宋体" w:cs="Times New Roman"/>
          <w:sz w:val="21"/>
          <w:szCs w:val="21"/>
          <w:lang w:val="en-US" w:eastAsia="zh-CN"/>
        </w:rPr>
        <w:t>设备所检参数需按照项目提供的参数或规范要求参数进行检校。</w:t>
      </w:r>
    </w:p>
    <w:p w14:paraId="41517BBA">
      <w:pPr>
        <w:pStyle w:val="2"/>
        <w:numPr>
          <w:ilvl w:val="0"/>
          <w:numId w:val="8"/>
        </w:numPr>
        <w:spacing w:line="360" w:lineRule="auto"/>
        <w:ind w:left="425" w:leftChars="0" w:hanging="425" w:firstLineChars="0"/>
        <w:rPr>
          <w:rFonts w:hint="default"/>
          <w:lang w:val="en-US" w:eastAsia="zh-CN"/>
        </w:rPr>
      </w:pPr>
      <w:r>
        <w:rPr>
          <w:rFonts w:hint="default" w:eastAsia="宋体" w:cs="Times New Roman"/>
          <w:sz w:val="21"/>
          <w:szCs w:val="21"/>
          <w:lang w:val="en-US" w:eastAsia="zh-CN"/>
        </w:rPr>
        <w:t>允许成交供应商对自身不具备检定/校准资质的部分试验检测仪器设备进行分包，但分包方必须具备相应检定/校准资质;对于成交供应商送合同外机构进行检定/校准的试验检测仪器设备，须事先得到采购人同意，否则由此造成的一切损失，由成交供应商承担。</w:t>
      </w:r>
    </w:p>
    <w:p w14:paraId="222DB80C">
      <w:pPr>
        <w:jc w:val="center"/>
        <w:rPr>
          <w:rFonts w:hint="default" w:cs="Times New Roman" w:asciiTheme="minorEastAsia" w:hAnsiTheme="minorEastAsia"/>
          <w:sz w:val="24"/>
          <w:szCs w:val="24"/>
          <w:lang w:val="en-US"/>
        </w:rPr>
      </w:pPr>
      <w:r>
        <w:rPr>
          <w:rFonts w:hint="eastAsia" w:ascii="宋体" w:hAnsi="宋体" w:eastAsia="宋体" w:cs="宋体"/>
          <w:b/>
          <w:bCs/>
          <w:i w:val="0"/>
          <w:iCs w:val="0"/>
          <w:color w:val="000000"/>
          <w:kern w:val="0"/>
          <w:sz w:val="24"/>
          <w:szCs w:val="24"/>
          <w:u w:val="none"/>
          <w:lang w:val="en-US" w:eastAsia="zh-CN" w:bidi="ar"/>
        </w:rPr>
        <w:t>附件1：工地试验室试验路基仪器设备检定/校准清单及限价</w:t>
      </w:r>
    </w:p>
    <w:tbl>
      <w:tblPr>
        <w:tblStyle w:val="20"/>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4040"/>
        <w:gridCol w:w="2000"/>
        <w:gridCol w:w="1517"/>
        <w:gridCol w:w="1633"/>
      </w:tblGrid>
      <w:tr w14:paraId="6C2F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blHead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D42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13C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F0EA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规格型号</w:t>
            </w:r>
          </w:p>
          <w:p w14:paraId="1942B432">
            <w:pPr>
              <w:pStyle w:val="2"/>
              <w:jc w:val="center"/>
              <w:rPr>
                <w:rFonts w:hint="default"/>
                <w:lang w:val="en-US"/>
              </w:rPr>
            </w:pPr>
            <w:r>
              <w:rPr>
                <w:rFonts w:hint="eastAsia" w:ascii="宋体" w:hAnsi="宋体" w:eastAsia="宋体" w:cs="宋体"/>
                <w:b/>
                <w:bCs/>
                <w:i w:val="0"/>
                <w:iCs w:val="0"/>
                <w:color w:val="000000"/>
                <w:kern w:val="0"/>
                <w:sz w:val="18"/>
                <w:szCs w:val="18"/>
                <w:u w:val="none"/>
                <w:lang w:val="en-US" w:eastAsia="zh-CN" w:bidi="ar"/>
              </w:rPr>
              <w:t>（仅供参考）</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39C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溯源方式</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25E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14DA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8A55C">
            <w:pPr>
              <w:jc w:val="center"/>
              <w:rPr>
                <w:rFonts w:hint="eastAsia" w:ascii="宋体" w:hAnsi="宋体" w:eastAsia="宋体" w:cs="宋体"/>
                <w:i w:val="0"/>
                <w:iCs w:val="0"/>
                <w:color w:val="000000"/>
                <w:sz w:val="18"/>
                <w:szCs w:val="18"/>
                <w:u w:val="none"/>
              </w:rPr>
            </w:pPr>
          </w:p>
        </w:tc>
        <w:tc>
          <w:tcPr>
            <w:tcW w:w="4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ADDA9">
            <w:pPr>
              <w:jc w:val="center"/>
              <w:rPr>
                <w:rFonts w:hint="eastAsia" w:ascii="宋体" w:hAnsi="宋体" w:eastAsia="宋体" w:cs="宋体"/>
                <w:i w:val="0"/>
                <w:iCs w:val="0"/>
                <w:color w:val="000000"/>
                <w:sz w:val="18"/>
                <w:szCs w:val="18"/>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16028">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1E9E4">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A953E">
            <w:pPr>
              <w:jc w:val="center"/>
              <w:rPr>
                <w:rFonts w:hint="eastAsia" w:ascii="宋体" w:hAnsi="宋体" w:eastAsia="宋体" w:cs="宋体"/>
                <w:i w:val="0"/>
                <w:iCs w:val="0"/>
                <w:color w:val="000000"/>
                <w:sz w:val="18"/>
                <w:szCs w:val="18"/>
                <w:u w:val="none"/>
              </w:rPr>
            </w:pPr>
          </w:p>
        </w:tc>
      </w:tr>
      <w:tr w14:paraId="2E09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FA86">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B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标准养护室全自动控温控湿设备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6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FHBS-120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C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1E49">
            <w:pPr>
              <w:jc w:val="center"/>
              <w:rPr>
                <w:rFonts w:hint="eastAsia" w:ascii="宋体" w:hAnsi="宋体" w:eastAsia="宋体" w:cs="宋体"/>
                <w:i w:val="0"/>
                <w:iCs w:val="0"/>
                <w:color w:val="000000"/>
                <w:sz w:val="18"/>
                <w:szCs w:val="18"/>
                <w:u w:val="none"/>
              </w:rPr>
            </w:pPr>
          </w:p>
        </w:tc>
      </w:tr>
      <w:tr w14:paraId="3F05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F89D">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D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干湿温度计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C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4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11FF">
            <w:pPr>
              <w:jc w:val="center"/>
              <w:rPr>
                <w:rFonts w:hint="eastAsia" w:ascii="宋体" w:hAnsi="宋体" w:eastAsia="宋体" w:cs="宋体"/>
                <w:i w:val="0"/>
                <w:iCs w:val="0"/>
                <w:color w:val="000000"/>
                <w:sz w:val="18"/>
                <w:szCs w:val="18"/>
                <w:u w:val="none"/>
              </w:rPr>
            </w:pPr>
          </w:p>
        </w:tc>
      </w:tr>
      <w:tr w14:paraId="17DF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821C">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1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强制式单卧轴混凝土搅拌机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C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SJD-60型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8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0585">
            <w:pPr>
              <w:jc w:val="center"/>
              <w:rPr>
                <w:rFonts w:hint="eastAsia" w:ascii="宋体" w:hAnsi="宋体" w:eastAsia="宋体" w:cs="宋体"/>
                <w:i w:val="0"/>
                <w:iCs w:val="0"/>
                <w:color w:val="000000"/>
                <w:sz w:val="18"/>
                <w:szCs w:val="18"/>
                <w:u w:val="none"/>
              </w:rPr>
            </w:pPr>
          </w:p>
        </w:tc>
      </w:tr>
      <w:tr w14:paraId="4361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493">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砂浆搅拌机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E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SJD-15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5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AF5C">
            <w:pPr>
              <w:jc w:val="center"/>
              <w:rPr>
                <w:rFonts w:hint="eastAsia" w:ascii="宋体" w:hAnsi="宋体" w:eastAsia="宋体" w:cs="宋体"/>
                <w:i w:val="0"/>
                <w:iCs w:val="0"/>
                <w:color w:val="000000"/>
                <w:sz w:val="18"/>
                <w:szCs w:val="18"/>
                <w:u w:val="none"/>
              </w:rPr>
            </w:pPr>
          </w:p>
        </w:tc>
      </w:tr>
      <w:tr w14:paraId="1493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ED5E">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1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振动台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0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7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8B97">
            <w:pPr>
              <w:jc w:val="center"/>
              <w:rPr>
                <w:rFonts w:hint="eastAsia" w:ascii="宋体" w:hAnsi="宋体" w:eastAsia="宋体" w:cs="宋体"/>
                <w:i w:val="0"/>
                <w:iCs w:val="0"/>
                <w:color w:val="000000"/>
                <w:sz w:val="18"/>
                <w:szCs w:val="18"/>
                <w:u w:val="none"/>
              </w:rPr>
            </w:pPr>
          </w:p>
        </w:tc>
      </w:tr>
      <w:tr w14:paraId="2151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82F0">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1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混凝土含气量测定仪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E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HC-7L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B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B199">
            <w:pPr>
              <w:jc w:val="center"/>
              <w:rPr>
                <w:rFonts w:hint="eastAsia" w:ascii="宋体" w:hAnsi="宋体" w:eastAsia="宋体" w:cs="宋体"/>
                <w:i w:val="0"/>
                <w:iCs w:val="0"/>
                <w:color w:val="000000"/>
                <w:sz w:val="18"/>
                <w:szCs w:val="18"/>
                <w:u w:val="none"/>
              </w:rPr>
            </w:pPr>
          </w:p>
        </w:tc>
      </w:tr>
      <w:tr w14:paraId="6FEE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795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E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砂浆稠度仪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0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SC-145型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5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34C9">
            <w:pPr>
              <w:jc w:val="center"/>
              <w:rPr>
                <w:rFonts w:hint="eastAsia" w:ascii="宋体" w:hAnsi="宋体" w:eastAsia="宋体" w:cs="宋体"/>
                <w:i w:val="0"/>
                <w:iCs w:val="0"/>
                <w:color w:val="000000"/>
                <w:sz w:val="18"/>
                <w:szCs w:val="18"/>
                <w:u w:val="none"/>
              </w:rPr>
            </w:pPr>
          </w:p>
        </w:tc>
      </w:tr>
      <w:tr w14:paraId="75AD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2A51">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F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调压混凝土抗渗仪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D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HP-4.0型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0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1CD5">
            <w:pPr>
              <w:jc w:val="center"/>
              <w:rPr>
                <w:rFonts w:hint="eastAsia" w:ascii="宋体" w:hAnsi="宋体" w:eastAsia="宋体" w:cs="宋体"/>
                <w:i w:val="0"/>
                <w:iCs w:val="0"/>
                <w:color w:val="000000"/>
                <w:sz w:val="18"/>
                <w:szCs w:val="18"/>
                <w:u w:val="none"/>
              </w:rPr>
            </w:pPr>
          </w:p>
        </w:tc>
      </w:tr>
      <w:tr w14:paraId="77E2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243D">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5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数显混凝土贯入阻力仪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D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HG-1000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7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FBDD">
            <w:pPr>
              <w:jc w:val="center"/>
              <w:rPr>
                <w:rFonts w:hint="eastAsia" w:ascii="宋体" w:hAnsi="宋体" w:eastAsia="宋体" w:cs="宋体"/>
                <w:i w:val="0"/>
                <w:iCs w:val="0"/>
                <w:color w:val="000000"/>
                <w:sz w:val="18"/>
                <w:szCs w:val="18"/>
                <w:u w:val="none"/>
              </w:rPr>
            </w:pPr>
          </w:p>
        </w:tc>
      </w:tr>
      <w:tr w14:paraId="60DE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E60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D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凝结时间筒(带盖)</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D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6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C34B">
            <w:pPr>
              <w:jc w:val="center"/>
              <w:rPr>
                <w:rFonts w:hint="eastAsia" w:ascii="宋体" w:hAnsi="宋体" w:eastAsia="宋体" w:cs="宋体"/>
                <w:i w:val="0"/>
                <w:iCs w:val="0"/>
                <w:color w:val="000000"/>
                <w:sz w:val="18"/>
                <w:szCs w:val="18"/>
                <w:u w:val="none"/>
              </w:rPr>
            </w:pPr>
          </w:p>
        </w:tc>
      </w:tr>
      <w:tr w14:paraId="369D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E4D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D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砼数显维勃稠度仪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1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HCY-A</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F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9D4A">
            <w:pPr>
              <w:jc w:val="center"/>
              <w:rPr>
                <w:rFonts w:hint="eastAsia" w:ascii="宋体" w:hAnsi="宋体" w:eastAsia="宋体" w:cs="宋体"/>
                <w:i w:val="0"/>
                <w:iCs w:val="0"/>
                <w:color w:val="000000"/>
                <w:sz w:val="18"/>
                <w:szCs w:val="18"/>
                <w:u w:val="none"/>
              </w:rPr>
            </w:pPr>
          </w:p>
        </w:tc>
      </w:tr>
      <w:tr w14:paraId="5D9F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55BF">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0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砂浆分层度测定仪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D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C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F483">
            <w:pPr>
              <w:jc w:val="center"/>
              <w:rPr>
                <w:rFonts w:hint="eastAsia" w:ascii="宋体" w:hAnsi="宋体" w:eastAsia="宋体" w:cs="宋体"/>
                <w:i w:val="0"/>
                <w:iCs w:val="0"/>
                <w:color w:val="000000"/>
                <w:sz w:val="18"/>
                <w:szCs w:val="18"/>
                <w:u w:val="none"/>
              </w:rPr>
            </w:pPr>
          </w:p>
        </w:tc>
      </w:tr>
      <w:tr w14:paraId="7A96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5367">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E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砂浆压力泌水试验仪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0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YMS-1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B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D7B5">
            <w:pPr>
              <w:jc w:val="center"/>
              <w:rPr>
                <w:rFonts w:hint="eastAsia" w:ascii="宋体" w:hAnsi="宋体" w:eastAsia="宋体" w:cs="宋体"/>
                <w:i w:val="0"/>
                <w:iCs w:val="0"/>
                <w:color w:val="000000"/>
                <w:sz w:val="18"/>
                <w:szCs w:val="18"/>
                <w:u w:val="none"/>
              </w:rPr>
            </w:pPr>
          </w:p>
        </w:tc>
      </w:tr>
      <w:tr w14:paraId="5674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E96E">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9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坍落度筒</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1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100*200*300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8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6D67">
            <w:pPr>
              <w:jc w:val="center"/>
              <w:rPr>
                <w:rFonts w:hint="eastAsia" w:ascii="宋体" w:hAnsi="宋体" w:eastAsia="宋体" w:cs="宋体"/>
                <w:i w:val="0"/>
                <w:iCs w:val="0"/>
                <w:color w:val="000000"/>
                <w:sz w:val="18"/>
                <w:szCs w:val="18"/>
                <w:u w:val="none"/>
              </w:rPr>
            </w:pPr>
          </w:p>
        </w:tc>
      </w:tr>
      <w:tr w14:paraId="608F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96B2">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1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水泥混凝土抗压试模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E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150*150*150mm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6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8334">
            <w:pPr>
              <w:jc w:val="center"/>
              <w:rPr>
                <w:rFonts w:hint="eastAsia" w:ascii="宋体" w:hAnsi="宋体" w:eastAsia="宋体" w:cs="宋体"/>
                <w:i w:val="0"/>
                <w:iCs w:val="0"/>
                <w:color w:val="000000"/>
                <w:sz w:val="18"/>
                <w:szCs w:val="18"/>
                <w:u w:val="none"/>
              </w:rPr>
            </w:pPr>
          </w:p>
        </w:tc>
      </w:tr>
      <w:tr w14:paraId="4380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9D33">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4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水泥混凝土抗渗试模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9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175*185*150mm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E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E308">
            <w:pPr>
              <w:jc w:val="center"/>
              <w:rPr>
                <w:rFonts w:hint="eastAsia" w:ascii="宋体" w:hAnsi="宋体" w:eastAsia="宋体" w:cs="宋体"/>
                <w:i w:val="0"/>
                <w:iCs w:val="0"/>
                <w:color w:val="000000"/>
                <w:sz w:val="18"/>
                <w:szCs w:val="18"/>
                <w:u w:val="none"/>
              </w:rPr>
            </w:pPr>
          </w:p>
        </w:tc>
      </w:tr>
      <w:tr w14:paraId="10AC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3E6A">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9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水泥混凝土抗折试模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9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150*150*550mm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C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CD76">
            <w:pPr>
              <w:jc w:val="center"/>
              <w:rPr>
                <w:rFonts w:hint="eastAsia" w:ascii="宋体" w:hAnsi="宋体" w:eastAsia="宋体" w:cs="宋体"/>
                <w:i w:val="0"/>
                <w:iCs w:val="0"/>
                <w:color w:val="000000"/>
                <w:sz w:val="18"/>
                <w:szCs w:val="18"/>
                <w:u w:val="none"/>
              </w:rPr>
            </w:pPr>
          </w:p>
        </w:tc>
      </w:tr>
      <w:tr w14:paraId="5EC8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B3CC">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C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水泥混凝土轴心抗压试模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8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150*150*300mm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5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D37F">
            <w:pPr>
              <w:jc w:val="center"/>
              <w:rPr>
                <w:rFonts w:hint="eastAsia" w:ascii="宋体" w:hAnsi="宋体" w:eastAsia="宋体" w:cs="宋体"/>
                <w:i w:val="0"/>
                <w:iCs w:val="0"/>
                <w:color w:val="000000"/>
                <w:sz w:val="18"/>
                <w:szCs w:val="18"/>
                <w:u w:val="none"/>
              </w:rPr>
            </w:pPr>
          </w:p>
        </w:tc>
      </w:tr>
      <w:tr w14:paraId="1801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FEF0">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5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3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70.7*70.7*70.7mm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8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059D">
            <w:pPr>
              <w:jc w:val="center"/>
              <w:rPr>
                <w:rFonts w:hint="eastAsia" w:ascii="宋体" w:hAnsi="宋体" w:eastAsia="宋体" w:cs="宋体"/>
                <w:i w:val="0"/>
                <w:iCs w:val="0"/>
                <w:color w:val="000000"/>
                <w:sz w:val="18"/>
                <w:szCs w:val="18"/>
                <w:u w:val="none"/>
              </w:rPr>
            </w:pPr>
          </w:p>
        </w:tc>
      </w:tr>
      <w:tr w14:paraId="0F1A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06A8">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7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水泥浆稠度仪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9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2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6384">
            <w:pPr>
              <w:jc w:val="center"/>
              <w:rPr>
                <w:rFonts w:hint="eastAsia" w:ascii="宋体" w:hAnsi="宋体" w:eastAsia="宋体" w:cs="宋体"/>
                <w:i w:val="0"/>
                <w:iCs w:val="0"/>
                <w:color w:val="000000"/>
                <w:sz w:val="18"/>
                <w:szCs w:val="18"/>
                <w:u w:val="none"/>
              </w:rPr>
            </w:pPr>
          </w:p>
        </w:tc>
      </w:tr>
      <w:tr w14:paraId="621A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7242">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D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水泥浆搅拌机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A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SJS-15型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D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BBFD">
            <w:pPr>
              <w:jc w:val="center"/>
              <w:rPr>
                <w:rFonts w:hint="eastAsia" w:ascii="宋体" w:hAnsi="宋体" w:eastAsia="宋体" w:cs="宋体"/>
                <w:i w:val="0"/>
                <w:iCs w:val="0"/>
                <w:color w:val="000000"/>
                <w:sz w:val="18"/>
                <w:szCs w:val="18"/>
                <w:u w:val="none"/>
              </w:rPr>
            </w:pPr>
          </w:p>
        </w:tc>
      </w:tr>
      <w:tr w14:paraId="3518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EFD6">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7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膨胀值测定仪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3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TZ-1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F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A0B4">
            <w:pPr>
              <w:jc w:val="center"/>
              <w:rPr>
                <w:rFonts w:hint="eastAsia" w:ascii="宋体" w:hAnsi="宋体" w:eastAsia="宋体" w:cs="宋体"/>
                <w:i w:val="0"/>
                <w:iCs w:val="0"/>
                <w:color w:val="000000"/>
                <w:sz w:val="18"/>
                <w:szCs w:val="18"/>
                <w:u w:val="none"/>
              </w:rPr>
            </w:pPr>
          </w:p>
        </w:tc>
      </w:tr>
      <w:tr w14:paraId="5E20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0733">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标准恒温恒湿养护箱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D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YH-40B</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C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FFE5">
            <w:pPr>
              <w:jc w:val="center"/>
              <w:rPr>
                <w:rFonts w:hint="eastAsia" w:ascii="宋体" w:hAnsi="宋体" w:eastAsia="宋体" w:cs="宋体"/>
                <w:i w:val="0"/>
                <w:iCs w:val="0"/>
                <w:color w:val="000000"/>
                <w:sz w:val="18"/>
                <w:szCs w:val="18"/>
                <w:u w:val="none"/>
              </w:rPr>
            </w:pPr>
          </w:p>
        </w:tc>
      </w:tr>
      <w:tr w14:paraId="45F5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1C49">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1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水泥净浆搅拌机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1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NJ-160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3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C905">
            <w:pPr>
              <w:jc w:val="center"/>
              <w:rPr>
                <w:rFonts w:hint="eastAsia" w:ascii="宋体" w:hAnsi="宋体" w:eastAsia="宋体" w:cs="宋体"/>
                <w:i w:val="0"/>
                <w:iCs w:val="0"/>
                <w:color w:val="000000"/>
                <w:sz w:val="18"/>
                <w:szCs w:val="18"/>
                <w:u w:val="none"/>
              </w:rPr>
            </w:pPr>
          </w:p>
        </w:tc>
      </w:tr>
      <w:tr w14:paraId="30FD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FB51">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3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水泥胶砂流动度测定仪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NLD-3</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1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BBB1">
            <w:pPr>
              <w:jc w:val="center"/>
              <w:rPr>
                <w:rFonts w:hint="eastAsia" w:ascii="宋体" w:hAnsi="宋体" w:eastAsia="宋体" w:cs="宋体"/>
                <w:i w:val="0"/>
                <w:iCs w:val="0"/>
                <w:color w:val="000000"/>
                <w:sz w:val="18"/>
                <w:szCs w:val="18"/>
                <w:u w:val="none"/>
              </w:rPr>
            </w:pPr>
          </w:p>
        </w:tc>
      </w:tr>
      <w:tr w14:paraId="336E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BE16">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F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负压筛析仪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3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FYS-150型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0447">
            <w:pPr>
              <w:jc w:val="center"/>
              <w:rPr>
                <w:rFonts w:hint="eastAsia" w:ascii="宋体" w:hAnsi="宋体" w:eastAsia="宋体" w:cs="宋体"/>
                <w:i w:val="0"/>
                <w:iCs w:val="0"/>
                <w:color w:val="000000"/>
                <w:sz w:val="18"/>
                <w:szCs w:val="18"/>
                <w:u w:val="none"/>
              </w:rPr>
            </w:pPr>
          </w:p>
        </w:tc>
      </w:tr>
      <w:tr w14:paraId="1CEA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549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7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水泥标准负压筛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D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BA6F">
            <w:pPr>
              <w:jc w:val="center"/>
              <w:rPr>
                <w:rFonts w:hint="eastAsia" w:ascii="宋体" w:hAnsi="宋体" w:eastAsia="宋体" w:cs="宋体"/>
                <w:i w:val="0"/>
                <w:iCs w:val="0"/>
                <w:color w:val="000000"/>
                <w:sz w:val="18"/>
                <w:szCs w:val="18"/>
                <w:u w:val="none"/>
              </w:rPr>
            </w:pPr>
          </w:p>
        </w:tc>
      </w:tr>
      <w:tr w14:paraId="61F6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FEE8">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3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水泥标准负压筛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B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0.045mm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F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2CF7">
            <w:pPr>
              <w:jc w:val="center"/>
              <w:rPr>
                <w:rFonts w:hint="eastAsia" w:ascii="宋体" w:hAnsi="宋体" w:eastAsia="宋体" w:cs="宋体"/>
                <w:i w:val="0"/>
                <w:iCs w:val="0"/>
                <w:color w:val="000000"/>
                <w:sz w:val="18"/>
                <w:szCs w:val="18"/>
                <w:u w:val="none"/>
              </w:rPr>
            </w:pPr>
          </w:p>
        </w:tc>
      </w:tr>
      <w:tr w14:paraId="0F27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E3F9">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1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水泥标准筛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7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D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61B9">
            <w:pPr>
              <w:jc w:val="center"/>
              <w:rPr>
                <w:rFonts w:hint="eastAsia" w:ascii="宋体" w:hAnsi="宋体" w:eastAsia="宋体" w:cs="宋体"/>
                <w:i w:val="0"/>
                <w:iCs w:val="0"/>
                <w:color w:val="000000"/>
                <w:sz w:val="18"/>
                <w:szCs w:val="18"/>
                <w:u w:val="none"/>
              </w:rPr>
            </w:pPr>
          </w:p>
        </w:tc>
      </w:tr>
      <w:tr w14:paraId="434E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C6FF">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6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水泥净浆标准稠度及凝结时间测定仪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0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D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3EFA">
            <w:pPr>
              <w:jc w:val="center"/>
              <w:rPr>
                <w:rFonts w:hint="eastAsia" w:ascii="宋体" w:hAnsi="宋体" w:eastAsia="宋体" w:cs="宋体"/>
                <w:i w:val="0"/>
                <w:iCs w:val="0"/>
                <w:color w:val="000000"/>
                <w:sz w:val="18"/>
                <w:szCs w:val="18"/>
                <w:u w:val="none"/>
              </w:rPr>
            </w:pPr>
          </w:p>
        </w:tc>
      </w:tr>
      <w:tr w14:paraId="64B6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AA2">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B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超级低温水槽</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THD-0506</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2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3F35">
            <w:pPr>
              <w:jc w:val="center"/>
              <w:rPr>
                <w:rFonts w:hint="eastAsia" w:ascii="宋体" w:hAnsi="宋体" w:eastAsia="宋体" w:cs="宋体"/>
                <w:i w:val="0"/>
                <w:iCs w:val="0"/>
                <w:color w:val="000000"/>
                <w:sz w:val="18"/>
                <w:szCs w:val="18"/>
                <w:u w:val="none"/>
              </w:rPr>
            </w:pPr>
          </w:p>
        </w:tc>
      </w:tr>
      <w:tr w14:paraId="4259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7988">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C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沸煮箱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8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FZ-31A</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B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B7E1">
            <w:pPr>
              <w:jc w:val="center"/>
              <w:rPr>
                <w:rFonts w:hint="eastAsia" w:ascii="宋体" w:hAnsi="宋体" w:eastAsia="宋体" w:cs="宋体"/>
                <w:i w:val="0"/>
                <w:iCs w:val="0"/>
                <w:color w:val="000000"/>
                <w:sz w:val="18"/>
                <w:szCs w:val="18"/>
                <w:u w:val="none"/>
              </w:rPr>
            </w:pPr>
          </w:p>
        </w:tc>
      </w:tr>
      <w:tr w14:paraId="0F8B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BCBC">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F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全自动比表面积仪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E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FBT-9</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8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AE57">
            <w:pPr>
              <w:jc w:val="center"/>
              <w:rPr>
                <w:rFonts w:hint="eastAsia" w:ascii="宋体" w:hAnsi="宋体" w:eastAsia="宋体" w:cs="宋体"/>
                <w:i w:val="0"/>
                <w:iCs w:val="0"/>
                <w:color w:val="000000"/>
                <w:sz w:val="18"/>
                <w:szCs w:val="18"/>
                <w:u w:val="none"/>
              </w:rPr>
            </w:pPr>
          </w:p>
        </w:tc>
      </w:tr>
      <w:tr w14:paraId="0FB0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49B9">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E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雷氏夹测定仪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4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LD-50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1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950C">
            <w:pPr>
              <w:jc w:val="center"/>
              <w:rPr>
                <w:rFonts w:hint="eastAsia" w:ascii="宋体" w:hAnsi="宋体" w:eastAsia="宋体" w:cs="宋体"/>
                <w:i w:val="0"/>
                <w:iCs w:val="0"/>
                <w:color w:val="000000"/>
                <w:sz w:val="18"/>
                <w:szCs w:val="18"/>
                <w:u w:val="none"/>
              </w:rPr>
            </w:pPr>
          </w:p>
        </w:tc>
      </w:tr>
      <w:tr w14:paraId="27B12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753A">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1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雷氏夹</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8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7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42A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周期：半年</w:t>
            </w:r>
          </w:p>
        </w:tc>
      </w:tr>
      <w:tr w14:paraId="324A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FB43">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B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钢丝间毛细泌水率仪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0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7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228B">
            <w:pPr>
              <w:jc w:val="center"/>
              <w:rPr>
                <w:rFonts w:hint="eastAsia" w:ascii="宋体" w:hAnsi="宋体" w:eastAsia="宋体" w:cs="宋体"/>
                <w:i w:val="0"/>
                <w:iCs w:val="0"/>
                <w:color w:val="000000"/>
                <w:sz w:val="18"/>
                <w:szCs w:val="18"/>
                <w:u w:val="none"/>
              </w:rPr>
            </w:pPr>
          </w:p>
        </w:tc>
      </w:tr>
      <w:tr w14:paraId="5EFC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B921">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压浆剂抗压塑料三联试模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3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40*40*160mm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4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7B7B">
            <w:pPr>
              <w:jc w:val="center"/>
              <w:rPr>
                <w:rFonts w:hint="eastAsia" w:ascii="宋体" w:hAnsi="宋体" w:eastAsia="宋体" w:cs="宋体"/>
                <w:i w:val="0"/>
                <w:iCs w:val="0"/>
                <w:color w:val="000000"/>
                <w:sz w:val="18"/>
                <w:szCs w:val="18"/>
                <w:u w:val="none"/>
              </w:rPr>
            </w:pPr>
          </w:p>
        </w:tc>
      </w:tr>
      <w:tr w14:paraId="7108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508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0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水泥胶砂试模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0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40*40*160mm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5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A42A">
            <w:pPr>
              <w:jc w:val="center"/>
              <w:rPr>
                <w:rFonts w:hint="eastAsia" w:ascii="宋体" w:hAnsi="宋体" w:eastAsia="宋体" w:cs="宋体"/>
                <w:i w:val="0"/>
                <w:iCs w:val="0"/>
                <w:color w:val="000000"/>
                <w:sz w:val="18"/>
                <w:szCs w:val="18"/>
                <w:u w:val="none"/>
              </w:rPr>
            </w:pPr>
          </w:p>
        </w:tc>
      </w:tr>
      <w:tr w14:paraId="07A3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074D">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4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电热鼓风恒温干燥箱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101A-3型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7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135E">
            <w:pPr>
              <w:jc w:val="center"/>
              <w:rPr>
                <w:rFonts w:hint="eastAsia" w:ascii="宋体" w:hAnsi="宋体" w:eastAsia="宋体" w:cs="宋体"/>
                <w:i w:val="0"/>
                <w:iCs w:val="0"/>
                <w:color w:val="000000"/>
                <w:sz w:val="18"/>
                <w:szCs w:val="18"/>
                <w:u w:val="none"/>
              </w:rPr>
            </w:pPr>
          </w:p>
        </w:tc>
      </w:tr>
      <w:tr w14:paraId="5AF62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37B8">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0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标准击实仪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4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DZY-Ⅲ型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9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00C9">
            <w:pPr>
              <w:jc w:val="center"/>
              <w:rPr>
                <w:rFonts w:hint="eastAsia" w:ascii="宋体" w:hAnsi="宋体" w:eastAsia="宋体" w:cs="宋体"/>
                <w:i w:val="0"/>
                <w:iCs w:val="0"/>
                <w:color w:val="000000"/>
                <w:sz w:val="18"/>
                <w:szCs w:val="18"/>
                <w:u w:val="none"/>
              </w:rPr>
            </w:pPr>
          </w:p>
        </w:tc>
      </w:tr>
      <w:tr w14:paraId="36E6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94C6">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5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小击实筒</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B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φ100mm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3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E194">
            <w:pPr>
              <w:jc w:val="center"/>
              <w:rPr>
                <w:rFonts w:hint="eastAsia" w:ascii="宋体" w:hAnsi="宋体" w:eastAsia="宋体" w:cs="宋体"/>
                <w:i w:val="0"/>
                <w:iCs w:val="0"/>
                <w:color w:val="000000"/>
                <w:sz w:val="18"/>
                <w:szCs w:val="18"/>
                <w:u w:val="none"/>
              </w:rPr>
            </w:pPr>
          </w:p>
        </w:tc>
      </w:tr>
      <w:tr w14:paraId="762F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DB81">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B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大击实筒</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6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φ152mm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3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B71B">
            <w:pPr>
              <w:jc w:val="center"/>
              <w:rPr>
                <w:rFonts w:hint="eastAsia" w:ascii="宋体" w:hAnsi="宋体" w:eastAsia="宋体" w:cs="宋体"/>
                <w:i w:val="0"/>
                <w:iCs w:val="0"/>
                <w:color w:val="000000"/>
                <w:sz w:val="18"/>
                <w:szCs w:val="18"/>
                <w:u w:val="none"/>
              </w:rPr>
            </w:pPr>
          </w:p>
        </w:tc>
      </w:tr>
      <w:tr w14:paraId="51A7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2C1A">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6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承载比试验仪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F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CBR-1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1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9E87">
            <w:pPr>
              <w:jc w:val="center"/>
              <w:rPr>
                <w:rFonts w:hint="eastAsia" w:ascii="宋体" w:hAnsi="宋体" w:eastAsia="宋体" w:cs="宋体"/>
                <w:i w:val="0"/>
                <w:iCs w:val="0"/>
                <w:color w:val="000000"/>
                <w:sz w:val="18"/>
                <w:szCs w:val="18"/>
                <w:u w:val="none"/>
              </w:rPr>
            </w:pPr>
          </w:p>
        </w:tc>
      </w:tr>
      <w:tr w14:paraId="7F973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C63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5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路面材料强度试验仪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0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MQS-2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8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0BDC">
            <w:pPr>
              <w:jc w:val="center"/>
              <w:rPr>
                <w:rFonts w:hint="eastAsia" w:ascii="宋体" w:hAnsi="宋体" w:eastAsia="宋体" w:cs="宋体"/>
                <w:i w:val="0"/>
                <w:iCs w:val="0"/>
                <w:color w:val="000000"/>
                <w:sz w:val="18"/>
                <w:szCs w:val="18"/>
                <w:u w:val="none"/>
              </w:rPr>
            </w:pPr>
          </w:p>
        </w:tc>
      </w:tr>
      <w:tr w14:paraId="0A20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2DA8">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5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7.5KN测力环</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3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F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8A9C">
            <w:pPr>
              <w:jc w:val="center"/>
              <w:rPr>
                <w:rFonts w:hint="eastAsia" w:ascii="宋体" w:hAnsi="宋体" w:eastAsia="宋体" w:cs="宋体"/>
                <w:i w:val="0"/>
                <w:iCs w:val="0"/>
                <w:color w:val="000000"/>
                <w:sz w:val="18"/>
                <w:szCs w:val="18"/>
                <w:u w:val="none"/>
              </w:rPr>
            </w:pPr>
          </w:p>
        </w:tc>
      </w:tr>
      <w:tr w14:paraId="4AB6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0E1C">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E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30KN测力环</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3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E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FCA2">
            <w:pPr>
              <w:jc w:val="center"/>
              <w:rPr>
                <w:rFonts w:hint="eastAsia" w:ascii="宋体" w:hAnsi="宋体" w:eastAsia="宋体" w:cs="宋体"/>
                <w:i w:val="0"/>
                <w:iCs w:val="0"/>
                <w:color w:val="000000"/>
                <w:sz w:val="18"/>
                <w:szCs w:val="18"/>
                <w:u w:val="none"/>
              </w:rPr>
            </w:pPr>
          </w:p>
        </w:tc>
      </w:tr>
      <w:tr w14:paraId="6EAA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0077">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8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数显式土壤液塑限联合测定仪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LP-100D</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4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48B5">
            <w:pPr>
              <w:jc w:val="center"/>
              <w:rPr>
                <w:rFonts w:hint="eastAsia" w:ascii="宋体" w:hAnsi="宋体" w:eastAsia="宋体" w:cs="宋体"/>
                <w:i w:val="0"/>
                <w:iCs w:val="0"/>
                <w:color w:val="000000"/>
                <w:sz w:val="18"/>
                <w:szCs w:val="18"/>
                <w:u w:val="none"/>
              </w:rPr>
            </w:pPr>
          </w:p>
        </w:tc>
      </w:tr>
      <w:tr w14:paraId="6708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9C86">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6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新标准土壤筛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D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0.075mm-60mm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6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13B1">
            <w:pPr>
              <w:jc w:val="center"/>
              <w:rPr>
                <w:rFonts w:hint="eastAsia" w:ascii="宋体" w:hAnsi="宋体" w:eastAsia="宋体" w:cs="宋体"/>
                <w:i w:val="0"/>
                <w:iCs w:val="0"/>
                <w:color w:val="000000"/>
                <w:sz w:val="18"/>
                <w:szCs w:val="18"/>
                <w:u w:val="none"/>
              </w:rPr>
            </w:pPr>
          </w:p>
        </w:tc>
      </w:tr>
      <w:tr w14:paraId="3E36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FD59">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D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CBR试模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8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6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B823">
            <w:pPr>
              <w:jc w:val="center"/>
              <w:rPr>
                <w:rFonts w:hint="eastAsia" w:ascii="宋体" w:hAnsi="宋体" w:eastAsia="宋体" w:cs="宋体"/>
                <w:i w:val="0"/>
                <w:iCs w:val="0"/>
                <w:color w:val="000000"/>
                <w:sz w:val="18"/>
                <w:szCs w:val="18"/>
                <w:u w:val="none"/>
              </w:rPr>
            </w:pPr>
          </w:p>
        </w:tc>
      </w:tr>
      <w:tr w14:paraId="068A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9832">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7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环刀</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C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0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664A">
            <w:pPr>
              <w:jc w:val="center"/>
              <w:rPr>
                <w:rFonts w:hint="eastAsia" w:ascii="宋体" w:hAnsi="宋体" w:eastAsia="宋体" w:cs="宋体"/>
                <w:i w:val="0"/>
                <w:iCs w:val="0"/>
                <w:color w:val="000000"/>
                <w:sz w:val="18"/>
                <w:szCs w:val="18"/>
                <w:u w:val="none"/>
              </w:rPr>
            </w:pPr>
          </w:p>
        </w:tc>
      </w:tr>
      <w:tr w14:paraId="0C59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5CA0">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1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电动石灰土无侧限压力仪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5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YYW-1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1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6A14">
            <w:pPr>
              <w:jc w:val="center"/>
              <w:rPr>
                <w:rFonts w:hint="eastAsia" w:ascii="宋体" w:hAnsi="宋体" w:eastAsia="宋体" w:cs="宋体"/>
                <w:i w:val="0"/>
                <w:iCs w:val="0"/>
                <w:color w:val="000000"/>
                <w:sz w:val="18"/>
                <w:szCs w:val="18"/>
                <w:u w:val="none"/>
              </w:rPr>
            </w:pPr>
          </w:p>
        </w:tc>
      </w:tr>
      <w:tr w14:paraId="115B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5791">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D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多功能直读式测钙仪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D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SG-6</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E2F6">
            <w:pPr>
              <w:jc w:val="center"/>
              <w:rPr>
                <w:rFonts w:hint="eastAsia" w:ascii="宋体" w:hAnsi="宋体" w:eastAsia="宋体" w:cs="宋体"/>
                <w:i w:val="0"/>
                <w:iCs w:val="0"/>
                <w:color w:val="000000"/>
                <w:sz w:val="18"/>
                <w:szCs w:val="18"/>
                <w:u w:val="none"/>
              </w:rPr>
            </w:pPr>
          </w:p>
        </w:tc>
      </w:tr>
      <w:tr w14:paraId="1ABF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80FC">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5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电砂浴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0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SXY-1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3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1071">
            <w:pPr>
              <w:jc w:val="center"/>
              <w:rPr>
                <w:rFonts w:hint="eastAsia" w:ascii="宋体" w:hAnsi="宋体" w:eastAsia="宋体" w:cs="宋体"/>
                <w:i w:val="0"/>
                <w:iCs w:val="0"/>
                <w:color w:val="000000"/>
                <w:sz w:val="18"/>
                <w:szCs w:val="18"/>
                <w:u w:val="none"/>
              </w:rPr>
            </w:pPr>
          </w:p>
        </w:tc>
      </w:tr>
      <w:tr w14:paraId="6811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2BC9">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表面振动压实仪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3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BZYS-4214型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5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AB01">
            <w:pPr>
              <w:jc w:val="center"/>
              <w:rPr>
                <w:rFonts w:hint="eastAsia" w:ascii="宋体" w:hAnsi="宋体" w:eastAsia="宋体" w:cs="宋体"/>
                <w:i w:val="0"/>
                <w:iCs w:val="0"/>
                <w:color w:val="000000"/>
                <w:sz w:val="18"/>
                <w:szCs w:val="18"/>
                <w:u w:val="none"/>
              </w:rPr>
            </w:pPr>
          </w:p>
        </w:tc>
      </w:tr>
      <w:tr w14:paraId="3ACE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C550">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D2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无侧限抗压试模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15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各规格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E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4E44">
            <w:pPr>
              <w:jc w:val="center"/>
              <w:rPr>
                <w:rFonts w:hint="eastAsia" w:ascii="宋体" w:hAnsi="宋体" w:eastAsia="宋体" w:cs="宋体"/>
                <w:i w:val="0"/>
                <w:iCs w:val="0"/>
                <w:color w:val="000000"/>
                <w:sz w:val="18"/>
                <w:szCs w:val="18"/>
                <w:u w:val="none"/>
              </w:rPr>
            </w:pPr>
          </w:p>
        </w:tc>
      </w:tr>
      <w:tr w14:paraId="75C1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6BC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06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温度计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ED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各规格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3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628D">
            <w:pPr>
              <w:jc w:val="center"/>
              <w:rPr>
                <w:rFonts w:hint="eastAsia" w:ascii="宋体" w:hAnsi="宋体" w:eastAsia="宋体" w:cs="宋体"/>
                <w:i w:val="0"/>
                <w:iCs w:val="0"/>
                <w:color w:val="000000"/>
                <w:sz w:val="18"/>
                <w:szCs w:val="18"/>
                <w:u w:val="none"/>
              </w:rPr>
            </w:pPr>
          </w:p>
        </w:tc>
      </w:tr>
      <w:tr w14:paraId="1F77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8C1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41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酸度计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41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PHS-25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D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4AE2">
            <w:pPr>
              <w:jc w:val="center"/>
              <w:rPr>
                <w:rFonts w:hint="eastAsia" w:ascii="宋体" w:hAnsi="宋体" w:eastAsia="宋体" w:cs="宋体"/>
                <w:i w:val="0"/>
                <w:iCs w:val="0"/>
                <w:color w:val="000000"/>
                <w:sz w:val="18"/>
                <w:szCs w:val="18"/>
                <w:u w:val="none"/>
              </w:rPr>
            </w:pPr>
          </w:p>
        </w:tc>
      </w:tr>
      <w:tr w14:paraId="78B1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DBD">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C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竹节温度计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2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5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30A0">
            <w:pPr>
              <w:jc w:val="center"/>
              <w:rPr>
                <w:rFonts w:hint="eastAsia" w:ascii="宋体" w:hAnsi="宋体" w:eastAsia="宋体" w:cs="宋体"/>
                <w:i w:val="0"/>
                <w:iCs w:val="0"/>
                <w:color w:val="000000"/>
                <w:sz w:val="18"/>
                <w:szCs w:val="18"/>
                <w:u w:val="none"/>
              </w:rPr>
            </w:pPr>
          </w:p>
        </w:tc>
      </w:tr>
      <w:tr w14:paraId="0AAF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1AD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1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李氏比重瓶</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3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1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0EEF">
            <w:pPr>
              <w:jc w:val="center"/>
              <w:rPr>
                <w:rFonts w:hint="eastAsia" w:ascii="宋体" w:hAnsi="宋体" w:eastAsia="宋体" w:cs="宋体"/>
                <w:i w:val="0"/>
                <w:iCs w:val="0"/>
                <w:color w:val="000000"/>
                <w:sz w:val="18"/>
                <w:szCs w:val="18"/>
                <w:u w:val="none"/>
              </w:rPr>
            </w:pPr>
          </w:p>
        </w:tc>
      </w:tr>
      <w:tr w14:paraId="62AE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560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1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E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4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EE00">
            <w:pPr>
              <w:jc w:val="center"/>
              <w:rPr>
                <w:rFonts w:hint="eastAsia" w:ascii="宋体" w:hAnsi="宋体" w:eastAsia="宋体" w:cs="宋体"/>
                <w:i w:val="0"/>
                <w:iCs w:val="0"/>
                <w:color w:val="000000"/>
                <w:sz w:val="18"/>
                <w:szCs w:val="18"/>
                <w:u w:val="none"/>
              </w:rPr>
            </w:pPr>
          </w:p>
        </w:tc>
      </w:tr>
      <w:tr w14:paraId="27FAC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BAF0">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7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三角瓶磨口带盖</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F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2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7DE1">
            <w:pPr>
              <w:jc w:val="center"/>
              <w:rPr>
                <w:rFonts w:hint="eastAsia" w:ascii="宋体" w:hAnsi="宋体" w:eastAsia="宋体" w:cs="宋体"/>
                <w:i w:val="0"/>
                <w:iCs w:val="0"/>
                <w:color w:val="000000"/>
                <w:sz w:val="18"/>
                <w:szCs w:val="18"/>
                <w:u w:val="none"/>
              </w:rPr>
            </w:pPr>
          </w:p>
        </w:tc>
      </w:tr>
      <w:tr w14:paraId="07AC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67CE">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5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1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3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FFB9">
            <w:pPr>
              <w:jc w:val="center"/>
              <w:rPr>
                <w:rFonts w:hint="eastAsia" w:ascii="宋体" w:hAnsi="宋体" w:eastAsia="宋体" w:cs="宋体"/>
                <w:i w:val="0"/>
                <w:iCs w:val="0"/>
                <w:color w:val="000000"/>
                <w:sz w:val="18"/>
                <w:szCs w:val="18"/>
                <w:u w:val="none"/>
              </w:rPr>
            </w:pPr>
          </w:p>
        </w:tc>
      </w:tr>
      <w:tr w14:paraId="37B0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D55C">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D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9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6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47EB">
            <w:pPr>
              <w:jc w:val="center"/>
              <w:rPr>
                <w:rFonts w:hint="eastAsia" w:ascii="宋体" w:hAnsi="宋体" w:eastAsia="宋体" w:cs="宋体"/>
                <w:i w:val="0"/>
                <w:iCs w:val="0"/>
                <w:color w:val="000000"/>
                <w:sz w:val="18"/>
                <w:szCs w:val="18"/>
                <w:u w:val="none"/>
              </w:rPr>
            </w:pPr>
          </w:p>
        </w:tc>
      </w:tr>
      <w:tr w14:paraId="03C8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3C9F">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D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CB3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各规格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F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E59A">
            <w:pPr>
              <w:jc w:val="center"/>
              <w:rPr>
                <w:rFonts w:hint="eastAsia" w:ascii="宋体" w:hAnsi="宋体" w:eastAsia="宋体" w:cs="宋体"/>
                <w:i w:val="0"/>
                <w:iCs w:val="0"/>
                <w:color w:val="000000"/>
                <w:sz w:val="18"/>
                <w:szCs w:val="18"/>
                <w:u w:val="none"/>
              </w:rPr>
            </w:pPr>
          </w:p>
        </w:tc>
      </w:tr>
      <w:tr w14:paraId="6C31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C09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A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4175">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10ml/50ml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6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DDCF">
            <w:pPr>
              <w:jc w:val="center"/>
              <w:rPr>
                <w:rFonts w:hint="eastAsia" w:ascii="宋体" w:hAnsi="宋体" w:eastAsia="宋体" w:cs="宋体"/>
                <w:i w:val="0"/>
                <w:iCs w:val="0"/>
                <w:color w:val="000000"/>
                <w:sz w:val="18"/>
                <w:szCs w:val="18"/>
                <w:u w:val="none"/>
              </w:rPr>
            </w:pPr>
          </w:p>
        </w:tc>
      </w:tr>
      <w:tr w14:paraId="2BD4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9CA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6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酸式滴定管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E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E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ADD2">
            <w:pPr>
              <w:jc w:val="center"/>
              <w:rPr>
                <w:rFonts w:hint="eastAsia" w:ascii="宋体" w:hAnsi="宋体" w:eastAsia="宋体" w:cs="宋体"/>
                <w:i w:val="0"/>
                <w:iCs w:val="0"/>
                <w:color w:val="000000"/>
                <w:sz w:val="18"/>
                <w:szCs w:val="18"/>
                <w:u w:val="none"/>
              </w:rPr>
            </w:pPr>
          </w:p>
        </w:tc>
      </w:tr>
      <w:tr w14:paraId="12E0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CF48">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F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碱式滴定管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1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9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B8D2">
            <w:pPr>
              <w:jc w:val="center"/>
              <w:rPr>
                <w:rFonts w:hint="eastAsia" w:ascii="宋体" w:hAnsi="宋体" w:eastAsia="宋体" w:cs="宋体"/>
                <w:i w:val="0"/>
                <w:iCs w:val="0"/>
                <w:color w:val="000000"/>
                <w:sz w:val="18"/>
                <w:szCs w:val="18"/>
                <w:u w:val="none"/>
              </w:rPr>
            </w:pPr>
          </w:p>
        </w:tc>
      </w:tr>
      <w:tr w14:paraId="2231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9772">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2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密度筒</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8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A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EB0A">
            <w:pPr>
              <w:jc w:val="center"/>
              <w:rPr>
                <w:rFonts w:hint="eastAsia" w:ascii="宋体" w:hAnsi="宋体" w:eastAsia="宋体" w:cs="宋体"/>
                <w:i w:val="0"/>
                <w:iCs w:val="0"/>
                <w:color w:val="000000"/>
                <w:sz w:val="18"/>
                <w:szCs w:val="18"/>
                <w:u w:val="none"/>
              </w:rPr>
            </w:pPr>
          </w:p>
        </w:tc>
      </w:tr>
      <w:tr w14:paraId="0EEA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E929">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8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震击式标准振筛机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9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ZBSX-92A</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7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5631">
            <w:pPr>
              <w:jc w:val="center"/>
              <w:rPr>
                <w:rFonts w:hint="eastAsia" w:ascii="宋体" w:hAnsi="宋体" w:eastAsia="宋体" w:cs="宋体"/>
                <w:i w:val="0"/>
                <w:iCs w:val="0"/>
                <w:color w:val="000000"/>
                <w:sz w:val="18"/>
                <w:szCs w:val="18"/>
                <w:u w:val="none"/>
              </w:rPr>
            </w:pPr>
          </w:p>
        </w:tc>
      </w:tr>
      <w:tr w14:paraId="20A3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F5BC">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7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箱式电阻炉</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2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5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A011">
            <w:pPr>
              <w:jc w:val="center"/>
              <w:rPr>
                <w:rFonts w:hint="eastAsia" w:ascii="宋体" w:hAnsi="宋体" w:eastAsia="宋体" w:cs="宋体"/>
                <w:i w:val="0"/>
                <w:iCs w:val="0"/>
                <w:color w:val="000000"/>
                <w:sz w:val="18"/>
                <w:szCs w:val="18"/>
                <w:u w:val="none"/>
              </w:rPr>
            </w:pPr>
          </w:p>
        </w:tc>
      </w:tr>
      <w:tr w14:paraId="6622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FCE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7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新标准方孔石子筛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E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0.075mm-53mm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0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4DED">
            <w:pPr>
              <w:jc w:val="center"/>
              <w:rPr>
                <w:rFonts w:hint="eastAsia" w:ascii="宋体" w:hAnsi="宋体" w:eastAsia="宋体" w:cs="宋体"/>
                <w:i w:val="0"/>
                <w:iCs w:val="0"/>
                <w:color w:val="000000"/>
                <w:sz w:val="18"/>
                <w:szCs w:val="18"/>
                <w:u w:val="none"/>
              </w:rPr>
            </w:pPr>
          </w:p>
        </w:tc>
      </w:tr>
      <w:tr w14:paraId="574D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A6E7">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F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针片状规准仪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0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2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6839">
            <w:pPr>
              <w:jc w:val="center"/>
              <w:rPr>
                <w:rFonts w:hint="eastAsia" w:ascii="宋体" w:hAnsi="宋体" w:eastAsia="宋体" w:cs="宋体"/>
                <w:i w:val="0"/>
                <w:iCs w:val="0"/>
                <w:color w:val="000000"/>
                <w:sz w:val="18"/>
                <w:szCs w:val="18"/>
                <w:u w:val="none"/>
              </w:rPr>
            </w:pPr>
          </w:p>
        </w:tc>
      </w:tr>
      <w:tr w14:paraId="225F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9A8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标准恒温水浴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3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CF-B型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C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B0FC">
            <w:pPr>
              <w:jc w:val="center"/>
              <w:rPr>
                <w:rFonts w:hint="eastAsia" w:ascii="宋体" w:hAnsi="宋体" w:eastAsia="宋体" w:cs="宋体"/>
                <w:i w:val="0"/>
                <w:iCs w:val="0"/>
                <w:color w:val="000000"/>
                <w:sz w:val="18"/>
                <w:szCs w:val="18"/>
                <w:u w:val="none"/>
              </w:rPr>
            </w:pPr>
          </w:p>
        </w:tc>
      </w:tr>
      <w:tr w14:paraId="713C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1B6F">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6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粗集料堆积密度漏斗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5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D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E719">
            <w:pPr>
              <w:jc w:val="center"/>
              <w:rPr>
                <w:rFonts w:hint="eastAsia" w:ascii="宋体" w:hAnsi="宋体" w:eastAsia="宋体" w:cs="宋体"/>
                <w:i w:val="0"/>
                <w:iCs w:val="0"/>
                <w:color w:val="000000"/>
                <w:sz w:val="18"/>
                <w:szCs w:val="18"/>
                <w:u w:val="none"/>
              </w:rPr>
            </w:pPr>
          </w:p>
        </w:tc>
      </w:tr>
      <w:tr w14:paraId="0C5C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9C8C">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D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石粉含量测定仪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7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NSF-1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4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4CA8">
            <w:pPr>
              <w:jc w:val="center"/>
              <w:rPr>
                <w:rFonts w:hint="eastAsia" w:ascii="宋体" w:hAnsi="宋体" w:eastAsia="宋体" w:cs="宋体"/>
                <w:i w:val="0"/>
                <w:iCs w:val="0"/>
                <w:color w:val="000000"/>
                <w:sz w:val="18"/>
                <w:szCs w:val="18"/>
                <w:u w:val="none"/>
              </w:rPr>
            </w:pPr>
          </w:p>
        </w:tc>
      </w:tr>
      <w:tr w14:paraId="24CA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EBB3">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7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容积升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1L、3L、5L、10L、15L、20L、30L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6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C74">
            <w:pPr>
              <w:jc w:val="center"/>
              <w:rPr>
                <w:rFonts w:hint="eastAsia" w:ascii="宋体" w:hAnsi="宋体" w:eastAsia="宋体" w:cs="宋体"/>
                <w:i w:val="0"/>
                <w:iCs w:val="0"/>
                <w:color w:val="000000"/>
                <w:sz w:val="18"/>
                <w:szCs w:val="18"/>
                <w:u w:val="none"/>
              </w:rPr>
            </w:pPr>
          </w:p>
        </w:tc>
      </w:tr>
      <w:tr w14:paraId="5BD2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62F">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7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8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C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7FBF">
            <w:pPr>
              <w:jc w:val="center"/>
              <w:rPr>
                <w:rFonts w:hint="eastAsia" w:ascii="宋体" w:hAnsi="宋体" w:eastAsia="宋体" w:cs="宋体"/>
                <w:i w:val="0"/>
                <w:iCs w:val="0"/>
                <w:color w:val="000000"/>
                <w:sz w:val="18"/>
                <w:szCs w:val="18"/>
                <w:u w:val="none"/>
              </w:rPr>
            </w:pPr>
          </w:p>
        </w:tc>
      </w:tr>
      <w:tr w14:paraId="7828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2E8C">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泌水率筒(带盖)</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A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A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BAE7">
            <w:pPr>
              <w:jc w:val="center"/>
              <w:rPr>
                <w:rFonts w:hint="eastAsia" w:ascii="宋体" w:hAnsi="宋体" w:eastAsia="宋体" w:cs="宋体"/>
                <w:i w:val="0"/>
                <w:iCs w:val="0"/>
                <w:color w:val="000000"/>
                <w:sz w:val="18"/>
                <w:szCs w:val="18"/>
                <w:u w:val="none"/>
              </w:rPr>
            </w:pPr>
          </w:p>
        </w:tc>
      </w:tr>
      <w:tr w14:paraId="1FFD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477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9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压碎值测定仪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8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2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1A9B">
            <w:pPr>
              <w:jc w:val="center"/>
              <w:rPr>
                <w:rFonts w:hint="eastAsia" w:ascii="宋体" w:hAnsi="宋体" w:eastAsia="宋体" w:cs="宋体"/>
                <w:i w:val="0"/>
                <w:iCs w:val="0"/>
                <w:color w:val="000000"/>
                <w:sz w:val="18"/>
                <w:szCs w:val="18"/>
                <w:u w:val="none"/>
              </w:rPr>
            </w:pPr>
          </w:p>
        </w:tc>
      </w:tr>
      <w:tr w14:paraId="5EDA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3029">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B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压碎值测定仪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0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1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C3CB">
            <w:pPr>
              <w:jc w:val="center"/>
              <w:rPr>
                <w:rFonts w:hint="eastAsia" w:ascii="宋体" w:hAnsi="宋体" w:eastAsia="宋体" w:cs="宋体"/>
                <w:i w:val="0"/>
                <w:iCs w:val="0"/>
                <w:color w:val="000000"/>
                <w:sz w:val="18"/>
                <w:szCs w:val="18"/>
                <w:u w:val="none"/>
              </w:rPr>
            </w:pPr>
          </w:p>
        </w:tc>
      </w:tr>
      <w:tr w14:paraId="20BB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5DD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2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砂当量试验仪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F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SD-Ⅱ型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2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742D">
            <w:pPr>
              <w:jc w:val="center"/>
              <w:rPr>
                <w:rFonts w:hint="default" w:ascii="宋体" w:hAnsi="宋体" w:eastAsia="宋体" w:cs="宋体"/>
                <w:i w:val="0"/>
                <w:iCs w:val="0"/>
                <w:color w:val="000000"/>
                <w:sz w:val="18"/>
                <w:szCs w:val="18"/>
                <w:u w:val="none"/>
                <w:lang w:val="en-US" w:eastAsia="zh-CN"/>
              </w:rPr>
            </w:pPr>
          </w:p>
        </w:tc>
      </w:tr>
      <w:tr w14:paraId="2045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954B">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C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细集料堆积密度漏斗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5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8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963B">
            <w:pPr>
              <w:jc w:val="center"/>
              <w:rPr>
                <w:rFonts w:hint="eastAsia" w:ascii="宋体" w:hAnsi="宋体" w:eastAsia="宋体" w:cs="宋体"/>
                <w:i w:val="0"/>
                <w:iCs w:val="0"/>
                <w:color w:val="000000"/>
                <w:sz w:val="18"/>
                <w:szCs w:val="18"/>
                <w:u w:val="none"/>
              </w:rPr>
            </w:pPr>
          </w:p>
        </w:tc>
      </w:tr>
      <w:tr w14:paraId="6AE9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B34E">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微机控制电液伺服万能材料试验机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WAW-100B型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8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0964">
            <w:pPr>
              <w:jc w:val="center"/>
              <w:rPr>
                <w:rFonts w:hint="eastAsia" w:ascii="宋体" w:hAnsi="宋体" w:eastAsia="宋体" w:cs="宋体"/>
                <w:i w:val="0"/>
                <w:iCs w:val="0"/>
                <w:color w:val="000000"/>
                <w:sz w:val="18"/>
                <w:szCs w:val="18"/>
                <w:u w:val="none"/>
              </w:rPr>
            </w:pPr>
          </w:p>
        </w:tc>
      </w:tr>
      <w:tr w14:paraId="7FF02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4B9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8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微机控制电液伺服万能材料试验机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3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WES-300B型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6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FB45">
            <w:pPr>
              <w:jc w:val="center"/>
              <w:rPr>
                <w:rFonts w:hint="eastAsia" w:ascii="宋体" w:hAnsi="宋体" w:eastAsia="宋体" w:cs="宋体"/>
                <w:i w:val="0"/>
                <w:iCs w:val="0"/>
                <w:color w:val="000000"/>
                <w:sz w:val="18"/>
                <w:szCs w:val="18"/>
                <w:u w:val="none"/>
              </w:rPr>
            </w:pPr>
          </w:p>
        </w:tc>
      </w:tr>
      <w:tr w14:paraId="65DC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C1CF">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0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微机控制电液伺服万能材料试验机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7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WES-1000B型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4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2855">
            <w:pPr>
              <w:jc w:val="center"/>
              <w:rPr>
                <w:rFonts w:hint="eastAsia" w:ascii="宋体" w:hAnsi="宋体" w:eastAsia="宋体" w:cs="宋体"/>
                <w:i w:val="0"/>
                <w:iCs w:val="0"/>
                <w:color w:val="000000"/>
                <w:sz w:val="18"/>
                <w:szCs w:val="18"/>
                <w:u w:val="none"/>
              </w:rPr>
            </w:pPr>
          </w:p>
        </w:tc>
      </w:tr>
      <w:tr w14:paraId="5FF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582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7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全自动恒应力压力试验机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C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DYE-2000B型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0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120C">
            <w:pPr>
              <w:jc w:val="center"/>
              <w:rPr>
                <w:rFonts w:hint="eastAsia" w:ascii="宋体" w:hAnsi="宋体" w:eastAsia="宋体" w:cs="宋体"/>
                <w:i w:val="0"/>
                <w:iCs w:val="0"/>
                <w:color w:val="000000"/>
                <w:sz w:val="18"/>
                <w:szCs w:val="18"/>
                <w:u w:val="none"/>
              </w:rPr>
            </w:pPr>
          </w:p>
        </w:tc>
      </w:tr>
      <w:tr w14:paraId="3465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BC4A">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1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全自动抗折抗压恒应力试验机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DYE-300B型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6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1778">
            <w:pPr>
              <w:jc w:val="center"/>
              <w:rPr>
                <w:rFonts w:hint="eastAsia" w:ascii="宋体" w:hAnsi="宋体" w:eastAsia="宋体" w:cs="宋体"/>
                <w:i w:val="0"/>
                <w:iCs w:val="0"/>
                <w:color w:val="000000"/>
                <w:sz w:val="18"/>
                <w:szCs w:val="18"/>
                <w:u w:val="none"/>
              </w:rPr>
            </w:pPr>
          </w:p>
        </w:tc>
      </w:tr>
      <w:tr w14:paraId="5827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168A">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3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抗压夹具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8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C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FAAE">
            <w:pPr>
              <w:jc w:val="center"/>
              <w:rPr>
                <w:rFonts w:hint="eastAsia" w:ascii="宋体" w:hAnsi="宋体" w:eastAsia="宋体" w:cs="宋体"/>
                <w:i w:val="0"/>
                <w:iCs w:val="0"/>
                <w:color w:val="000000"/>
                <w:sz w:val="18"/>
                <w:szCs w:val="18"/>
                <w:u w:val="none"/>
              </w:rPr>
            </w:pPr>
          </w:p>
        </w:tc>
      </w:tr>
      <w:tr w14:paraId="3717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6E3E">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E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混凝土弹性模量测定仪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2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TM-Ⅱ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8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536B">
            <w:pPr>
              <w:jc w:val="center"/>
              <w:rPr>
                <w:rFonts w:hint="eastAsia" w:ascii="宋体" w:hAnsi="宋体" w:eastAsia="宋体" w:cs="宋体"/>
                <w:i w:val="0"/>
                <w:iCs w:val="0"/>
                <w:color w:val="000000"/>
                <w:sz w:val="18"/>
                <w:szCs w:val="18"/>
                <w:u w:val="none"/>
              </w:rPr>
            </w:pPr>
          </w:p>
        </w:tc>
      </w:tr>
      <w:tr w14:paraId="5C34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1D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2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钢筋标距仪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1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BJ-Ⅱ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0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090">
            <w:pPr>
              <w:jc w:val="center"/>
              <w:rPr>
                <w:rFonts w:hint="eastAsia" w:ascii="宋体" w:hAnsi="宋体" w:eastAsia="宋体" w:cs="宋体"/>
                <w:i w:val="0"/>
                <w:iCs w:val="0"/>
                <w:color w:val="000000"/>
                <w:sz w:val="18"/>
                <w:szCs w:val="18"/>
                <w:u w:val="none"/>
              </w:rPr>
            </w:pPr>
          </w:p>
        </w:tc>
      </w:tr>
      <w:tr w14:paraId="623E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2740">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2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5.4m路面弯沉仪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0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WC型-5.4m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5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7B53">
            <w:pPr>
              <w:jc w:val="center"/>
              <w:rPr>
                <w:rFonts w:hint="eastAsia" w:ascii="宋体" w:hAnsi="宋体" w:eastAsia="宋体" w:cs="宋体"/>
                <w:i w:val="0"/>
                <w:iCs w:val="0"/>
                <w:color w:val="000000"/>
                <w:sz w:val="18"/>
                <w:szCs w:val="18"/>
                <w:u w:val="none"/>
              </w:rPr>
            </w:pPr>
          </w:p>
        </w:tc>
      </w:tr>
      <w:tr w14:paraId="7711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ECC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D66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混凝土回弹仪（含数显）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7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ZC3-A</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4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941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周期：半年</w:t>
            </w:r>
          </w:p>
        </w:tc>
      </w:tr>
      <w:tr w14:paraId="16AC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BE36">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4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1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GZ16型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6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5C09">
            <w:pPr>
              <w:jc w:val="center"/>
              <w:rPr>
                <w:rFonts w:hint="eastAsia" w:ascii="宋体" w:hAnsi="宋体" w:eastAsia="宋体" w:cs="宋体"/>
                <w:i w:val="0"/>
                <w:iCs w:val="0"/>
                <w:color w:val="000000"/>
                <w:sz w:val="18"/>
                <w:szCs w:val="18"/>
                <w:u w:val="none"/>
              </w:rPr>
            </w:pPr>
          </w:p>
        </w:tc>
      </w:tr>
      <w:tr w14:paraId="77E0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7E0B">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6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混凝土碳化深度测量仪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F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HT-A型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9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B115">
            <w:pPr>
              <w:jc w:val="center"/>
              <w:rPr>
                <w:rFonts w:hint="eastAsia" w:ascii="宋体" w:hAnsi="宋体" w:eastAsia="宋体" w:cs="宋体"/>
                <w:i w:val="0"/>
                <w:iCs w:val="0"/>
                <w:color w:val="000000"/>
                <w:sz w:val="18"/>
                <w:szCs w:val="18"/>
                <w:u w:val="none"/>
              </w:rPr>
            </w:pPr>
          </w:p>
        </w:tc>
      </w:tr>
      <w:tr w14:paraId="138B1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5851">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C8D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8"/>
                <w:szCs w:val="18"/>
                <w:u w:val="none"/>
                <w:lang w:val="en-US" w:eastAsia="zh-CN" w:bidi="ar"/>
              </w:rPr>
              <w:t>混凝土结构钢筋保护层厚度检测环境校准装置</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5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1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BBC0">
            <w:pPr>
              <w:jc w:val="center"/>
              <w:rPr>
                <w:rFonts w:hint="eastAsia" w:ascii="宋体" w:hAnsi="宋体" w:eastAsia="宋体" w:cs="宋体"/>
                <w:i w:val="0"/>
                <w:iCs w:val="0"/>
                <w:color w:val="000000"/>
                <w:sz w:val="18"/>
                <w:szCs w:val="18"/>
                <w:u w:val="none"/>
              </w:rPr>
            </w:pPr>
          </w:p>
        </w:tc>
      </w:tr>
      <w:tr w14:paraId="3A93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EF8E">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0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混凝土钻孔取芯机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4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回HZ-18型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8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8411">
            <w:pPr>
              <w:jc w:val="center"/>
              <w:rPr>
                <w:rFonts w:hint="eastAsia" w:ascii="宋体" w:hAnsi="宋体" w:eastAsia="宋体" w:cs="宋体"/>
                <w:i w:val="0"/>
                <w:iCs w:val="0"/>
                <w:color w:val="000000"/>
                <w:sz w:val="18"/>
                <w:szCs w:val="18"/>
                <w:u w:val="none"/>
              </w:rPr>
            </w:pPr>
          </w:p>
        </w:tc>
      </w:tr>
      <w:tr w14:paraId="0C87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C048">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B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轻型触探仪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0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10kg</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E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67F6">
            <w:pPr>
              <w:jc w:val="center"/>
              <w:rPr>
                <w:rFonts w:hint="eastAsia" w:ascii="宋体" w:hAnsi="宋体" w:eastAsia="宋体" w:cs="宋体"/>
                <w:i w:val="0"/>
                <w:iCs w:val="0"/>
                <w:color w:val="000000"/>
                <w:sz w:val="18"/>
                <w:szCs w:val="18"/>
                <w:u w:val="none"/>
              </w:rPr>
            </w:pPr>
          </w:p>
        </w:tc>
      </w:tr>
      <w:tr w14:paraId="5549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333D">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2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重型触探仪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9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63.5kg</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7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AAC5">
            <w:pPr>
              <w:jc w:val="center"/>
              <w:rPr>
                <w:rFonts w:hint="eastAsia" w:ascii="宋体" w:hAnsi="宋体" w:eastAsia="宋体" w:cs="宋体"/>
                <w:i w:val="0"/>
                <w:iCs w:val="0"/>
                <w:color w:val="000000"/>
                <w:sz w:val="18"/>
                <w:szCs w:val="18"/>
                <w:u w:val="none"/>
              </w:rPr>
            </w:pPr>
          </w:p>
        </w:tc>
      </w:tr>
      <w:tr w14:paraId="0392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A90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8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游标卡尺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F63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0-200/0-300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B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20CB">
            <w:pPr>
              <w:jc w:val="center"/>
              <w:rPr>
                <w:rFonts w:hint="eastAsia" w:ascii="宋体" w:hAnsi="宋体" w:eastAsia="宋体" w:cs="宋体"/>
                <w:i w:val="0"/>
                <w:iCs w:val="0"/>
                <w:color w:val="000000"/>
                <w:sz w:val="18"/>
                <w:szCs w:val="18"/>
                <w:u w:val="none"/>
              </w:rPr>
            </w:pPr>
          </w:p>
        </w:tc>
      </w:tr>
      <w:tr w14:paraId="2386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95D1">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7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千分尺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7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A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D5B8">
            <w:pPr>
              <w:jc w:val="center"/>
              <w:rPr>
                <w:rFonts w:hint="eastAsia" w:ascii="宋体" w:hAnsi="宋体" w:eastAsia="宋体" w:cs="宋体"/>
                <w:i w:val="0"/>
                <w:iCs w:val="0"/>
                <w:color w:val="000000"/>
                <w:sz w:val="18"/>
                <w:szCs w:val="18"/>
                <w:u w:val="none"/>
              </w:rPr>
            </w:pPr>
          </w:p>
        </w:tc>
      </w:tr>
      <w:tr w14:paraId="7684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8036">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A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刀口角尺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0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3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636E">
            <w:pPr>
              <w:jc w:val="center"/>
              <w:rPr>
                <w:rFonts w:hint="eastAsia" w:ascii="宋体" w:hAnsi="宋体" w:eastAsia="宋体" w:cs="宋体"/>
                <w:i w:val="0"/>
                <w:iCs w:val="0"/>
                <w:color w:val="000000"/>
                <w:sz w:val="18"/>
                <w:szCs w:val="18"/>
                <w:u w:val="none"/>
              </w:rPr>
            </w:pPr>
          </w:p>
        </w:tc>
      </w:tr>
      <w:tr w14:paraId="5733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3848">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9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游标万能角度尺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3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LZC-B2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2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E927">
            <w:pPr>
              <w:jc w:val="center"/>
              <w:rPr>
                <w:rFonts w:hint="eastAsia" w:ascii="宋体" w:hAnsi="宋体" w:eastAsia="宋体" w:cs="宋体"/>
                <w:i w:val="0"/>
                <w:iCs w:val="0"/>
                <w:color w:val="000000"/>
                <w:sz w:val="18"/>
                <w:szCs w:val="18"/>
                <w:u w:val="none"/>
              </w:rPr>
            </w:pPr>
          </w:p>
        </w:tc>
      </w:tr>
      <w:tr w14:paraId="5433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2072">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8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DD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各规格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E69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周期：半年</w:t>
            </w:r>
          </w:p>
        </w:tc>
      </w:tr>
      <w:tr w14:paraId="6150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E367">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5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千分表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6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B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0CF3">
            <w:pPr>
              <w:jc w:val="center"/>
              <w:rPr>
                <w:rFonts w:hint="eastAsia" w:ascii="宋体" w:hAnsi="宋体" w:eastAsia="宋体" w:cs="宋体"/>
                <w:i w:val="0"/>
                <w:iCs w:val="0"/>
                <w:color w:val="000000"/>
                <w:sz w:val="18"/>
                <w:szCs w:val="18"/>
                <w:u w:val="none"/>
              </w:rPr>
            </w:pPr>
          </w:p>
        </w:tc>
      </w:tr>
      <w:tr w14:paraId="16F1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6E13">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D0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钢筋保护层厚度测定仪（含扫描仪）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4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RD-P810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F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3774">
            <w:pPr>
              <w:jc w:val="center"/>
              <w:rPr>
                <w:rFonts w:hint="eastAsia" w:ascii="宋体" w:hAnsi="宋体" w:eastAsia="宋体" w:cs="宋体"/>
                <w:i w:val="0"/>
                <w:iCs w:val="0"/>
                <w:color w:val="000000"/>
                <w:sz w:val="18"/>
                <w:szCs w:val="18"/>
                <w:u w:val="none"/>
              </w:rPr>
            </w:pPr>
          </w:p>
        </w:tc>
      </w:tr>
      <w:tr w14:paraId="3989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C1E1">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7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裂缝宽度测定仪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A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GTJ-FKY</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A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5ACF">
            <w:pPr>
              <w:jc w:val="center"/>
              <w:rPr>
                <w:rFonts w:hint="eastAsia" w:ascii="宋体" w:hAnsi="宋体" w:eastAsia="宋体" w:cs="宋体"/>
                <w:i w:val="0"/>
                <w:iCs w:val="0"/>
                <w:color w:val="000000"/>
                <w:sz w:val="18"/>
                <w:szCs w:val="18"/>
                <w:u w:val="none"/>
              </w:rPr>
            </w:pPr>
          </w:p>
        </w:tc>
      </w:tr>
      <w:tr w14:paraId="339F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57DF">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2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泥浆含砂量计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9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E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8031">
            <w:pPr>
              <w:jc w:val="center"/>
              <w:rPr>
                <w:rFonts w:hint="eastAsia" w:ascii="宋体" w:hAnsi="宋体" w:eastAsia="宋体" w:cs="宋体"/>
                <w:i w:val="0"/>
                <w:iCs w:val="0"/>
                <w:color w:val="000000"/>
                <w:sz w:val="18"/>
                <w:szCs w:val="18"/>
                <w:u w:val="none"/>
              </w:rPr>
            </w:pPr>
          </w:p>
        </w:tc>
      </w:tr>
      <w:tr w14:paraId="6355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945B">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0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泥浆比重计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2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E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40FE">
            <w:pPr>
              <w:jc w:val="center"/>
              <w:rPr>
                <w:rFonts w:hint="eastAsia" w:ascii="宋体" w:hAnsi="宋体" w:eastAsia="宋体" w:cs="宋体"/>
                <w:i w:val="0"/>
                <w:iCs w:val="0"/>
                <w:color w:val="000000"/>
                <w:sz w:val="18"/>
                <w:szCs w:val="18"/>
                <w:u w:val="none"/>
              </w:rPr>
            </w:pPr>
          </w:p>
        </w:tc>
      </w:tr>
      <w:tr w14:paraId="3456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FEB2">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9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泥浆粘度计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A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B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BC87">
            <w:pPr>
              <w:jc w:val="center"/>
              <w:rPr>
                <w:rFonts w:hint="eastAsia" w:ascii="宋体" w:hAnsi="宋体" w:eastAsia="宋体" w:cs="宋体"/>
                <w:i w:val="0"/>
                <w:iCs w:val="0"/>
                <w:color w:val="000000"/>
                <w:sz w:val="18"/>
                <w:szCs w:val="18"/>
                <w:u w:val="none"/>
              </w:rPr>
            </w:pPr>
          </w:p>
        </w:tc>
      </w:tr>
      <w:tr w14:paraId="080E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1167">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6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灌砂筒</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84CD">
            <w:pPr>
              <w:keepNext w:val="0"/>
              <w:keepLines w:val="0"/>
              <w:widowControl/>
              <w:suppressLineNumbers w:val="0"/>
              <w:jc w:val="center"/>
              <w:textAlignment w:val="center"/>
              <w:rPr>
                <w:rFonts w:hint="default" w:ascii="Symbol" w:hAnsi="Symbol" w:eastAsia="宋体" w:cs="Symbol"/>
                <w:i w:val="0"/>
                <w:iCs w:val="0"/>
                <w:color w:val="000000"/>
                <w:sz w:val="20"/>
                <w:szCs w:val="20"/>
                <w:u w:val="none"/>
                <w:lang w:val="en-US"/>
              </w:rPr>
            </w:pPr>
            <w:r>
              <w:rPr>
                <w:rFonts w:hint="default" w:ascii="Symbol" w:hAnsi="Symbol" w:eastAsia="宋体" w:cs="Symbol"/>
                <w:i w:val="0"/>
                <w:iCs w:val="0"/>
                <w:color w:val="000000"/>
                <w:kern w:val="0"/>
                <w:sz w:val="20"/>
                <w:szCs w:val="20"/>
                <w:u w:val="none"/>
                <w:lang w:val="en-US" w:eastAsia="zh-CN" w:bidi="ar"/>
              </w:rPr>
              <w:t>F</w:t>
            </w:r>
            <w:r>
              <w:rPr>
                <w:rStyle w:val="61"/>
                <w:lang w:val="en-US" w:eastAsia="zh-CN" w:bidi="ar"/>
              </w:rPr>
              <w:t>200</w:t>
            </w:r>
            <w:r>
              <w:rPr>
                <w:rStyle w:val="61"/>
                <w:rFonts w:hint="eastAsia"/>
                <w:lang w:val="en-US" w:eastAsia="zh-CN" w:bidi="ar"/>
              </w:rPr>
              <w:t>/</w:t>
            </w:r>
            <w:r>
              <w:rPr>
                <w:rFonts w:hint="default" w:ascii="Symbol" w:hAnsi="Symbol" w:eastAsia="宋体" w:cs="Symbol"/>
                <w:i w:val="0"/>
                <w:iCs w:val="0"/>
                <w:color w:val="000000"/>
                <w:kern w:val="0"/>
                <w:sz w:val="20"/>
                <w:szCs w:val="20"/>
                <w:u w:val="none"/>
                <w:lang w:val="en-US" w:eastAsia="zh-CN" w:bidi="ar"/>
              </w:rPr>
              <w:t>F</w:t>
            </w:r>
            <w:r>
              <w:rPr>
                <w:rStyle w:val="61"/>
                <w:lang w:val="en-US" w:eastAsia="zh-CN" w:bidi="ar"/>
              </w:rPr>
              <w:t>150</w:t>
            </w:r>
            <w:r>
              <w:rPr>
                <w:rStyle w:val="61"/>
                <w:rFonts w:hint="eastAsia"/>
                <w:lang w:val="en-US" w:eastAsia="zh-CN" w:bidi="ar"/>
              </w:rPr>
              <w:t>/</w:t>
            </w:r>
            <w:r>
              <w:rPr>
                <w:rFonts w:hint="default" w:ascii="Symbol" w:hAnsi="Symbol" w:eastAsia="宋体" w:cs="Symbol"/>
                <w:i w:val="0"/>
                <w:iCs w:val="0"/>
                <w:color w:val="000000"/>
                <w:kern w:val="0"/>
                <w:sz w:val="20"/>
                <w:szCs w:val="20"/>
                <w:u w:val="none"/>
                <w:lang w:val="en-US" w:eastAsia="zh-CN" w:bidi="ar"/>
              </w:rPr>
              <w:t>F</w:t>
            </w:r>
            <w:r>
              <w:rPr>
                <w:rStyle w:val="61"/>
                <w:lang w:val="en-US" w:eastAsia="zh-CN" w:bidi="ar"/>
              </w:rPr>
              <w:t>1</w:t>
            </w:r>
            <w:r>
              <w:rPr>
                <w:rStyle w:val="61"/>
                <w:rFonts w:hint="eastAsia"/>
                <w:lang w:val="en-US" w:eastAsia="zh-CN" w:bidi="ar"/>
              </w:rPr>
              <w:t>0</w:t>
            </w:r>
            <w:r>
              <w:rPr>
                <w:rStyle w:val="61"/>
                <w:lang w:val="en-US" w:eastAsia="zh-CN" w:bidi="ar"/>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A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CA1D">
            <w:pPr>
              <w:jc w:val="center"/>
              <w:rPr>
                <w:rFonts w:hint="eastAsia" w:ascii="宋体" w:hAnsi="宋体" w:eastAsia="宋体" w:cs="宋体"/>
                <w:i w:val="0"/>
                <w:iCs w:val="0"/>
                <w:color w:val="000000"/>
                <w:sz w:val="18"/>
                <w:szCs w:val="18"/>
                <w:u w:val="none"/>
              </w:rPr>
            </w:pPr>
          </w:p>
        </w:tc>
      </w:tr>
      <w:tr w14:paraId="231F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E639">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塞尺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C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4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8ED7">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周期：半年</w:t>
            </w:r>
          </w:p>
        </w:tc>
      </w:tr>
      <w:tr w14:paraId="3527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9B01">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3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钢直尺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3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8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E480">
            <w:pPr>
              <w:jc w:val="center"/>
              <w:rPr>
                <w:rFonts w:hint="eastAsia" w:ascii="宋体" w:hAnsi="宋体" w:eastAsia="宋体" w:cs="宋体"/>
                <w:i w:val="0"/>
                <w:iCs w:val="0"/>
                <w:color w:val="000000"/>
                <w:sz w:val="18"/>
                <w:szCs w:val="18"/>
                <w:u w:val="none"/>
              </w:rPr>
            </w:pPr>
          </w:p>
        </w:tc>
      </w:tr>
      <w:tr w14:paraId="4D34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58A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9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F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GWP-91A</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2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A50">
            <w:pPr>
              <w:jc w:val="center"/>
              <w:rPr>
                <w:rFonts w:hint="eastAsia" w:ascii="宋体" w:hAnsi="宋体" w:eastAsia="宋体" w:cs="宋体"/>
                <w:i w:val="0"/>
                <w:iCs w:val="0"/>
                <w:color w:val="000000"/>
                <w:sz w:val="18"/>
                <w:szCs w:val="18"/>
                <w:u w:val="none"/>
              </w:rPr>
            </w:pPr>
          </w:p>
        </w:tc>
      </w:tr>
      <w:tr w14:paraId="4FCA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82CE">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2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坡度尺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JZC-B2型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9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DBD1">
            <w:pPr>
              <w:jc w:val="center"/>
              <w:rPr>
                <w:rFonts w:hint="eastAsia" w:ascii="宋体" w:hAnsi="宋体" w:eastAsia="宋体" w:cs="宋体"/>
                <w:i w:val="0"/>
                <w:iCs w:val="0"/>
                <w:color w:val="000000"/>
                <w:sz w:val="18"/>
                <w:szCs w:val="18"/>
                <w:u w:val="none"/>
              </w:rPr>
            </w:pPr>
          </w:p>
        </w:tc>
      </w:tr>
      <w:tr w14:paraId="7C80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5DFE">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9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公路工程质量检测尺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4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B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702C">
            <w:pPr>
              <w:jc w:val="center"/>
              <w:rPr>
                <w:rFonts w:hint="eastAsia" w:ascii="宋体" w:hAnsi="宋体" w:eastAsia="宋体" w:cs="宋体"/>
                <w:i w:val="0"/>
                <w:iCs w:val="0"/>
                <w:color w:val="000000"/>
                <w:sz w:val="18"/>
                <w:szCs w:val="18"/>
                <w:u w:val="none"/>
              </w:rPr>
            </w:pPr>
          </w:p>
        </w:tc>
      </w:tr>
      <w:tr w14:paraId="3A11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0A12">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3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建筑工程检测器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6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9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1F24">
            <w:pPr>
              <w:jc w:val="center"/>
              <w:rPr>
                <w:rFonts w:hint="eastAsia" w:ascii="宋体" w:hAnsi="宋体" w:eastAsia="宋体" w:cs="宋体"/>
                <w:i w:val="0"/>
                <w:iCs w:val="0"/>
                <w:color w:val="000000"/>
                <w:sz w:val="18"/>
                <w:szCs w:val="18"/>
                <w:u w:val="none"/>
              </w:rPr>
            </w:pPr>
          </w:p>
        </w:tc>
      </w:tr>
      <w:tr w14:paraId="1B7E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24F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5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砂浆充盈度仪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B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3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2380">
            <w:pPr>
              <w:jc w:val="center"/>
              <w:rPr>
                <w:rFonts w:hint="eastAsia" w:ascii="宋体" w:hAnsi="宋体" w:eastAsia="宋体" w:cs="宋体"/>
                <w:i w:val="0"/>
                <w:iCs w:val="0"/>
                <w:color w:val="000000"/>
                <w:sz w:val="18"/>
                <w:szCs w:val="18"/>
                <w:u w:val="none"/>
              </w:rPr>
            </w:pPr>
          </w:p>
        </w:tc>
      </w:tr>
      <w:tr w14:paraId="1B50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AB2A">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4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秒表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B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9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96F5">
            <w:pPr>
              <w:jc w:val="center"/>
              <w:rPr>
                <w:rFonts w:hint="eastAsia" w:ascii="宋体" w:hAnsi="宋体" w:eastAsia="宋体" w:cs="宋体"/>
                <w:i w:val="0"/>
                <w:iCs w:val="0"/>
                <w:color w:val="000000"/>
                <w:sz w:val="18"/>
                <w:szCs w:val="18"/>
                <w:u w:val="none"/>
              </w:rPr>
            </w:pPr>
          </w:p>
        </w:tc>
      </w:tr>
      <w:tr w14:paraId="538A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7D0A">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1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F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GJWS-B2型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B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4134">
            <w:pPr>
              <w:jc w:val="center"/>
              <w:rPr>
                <w:rFonts w:hint="eastAsia" w:ascii="宋体" w:hAnsi="宋体" w:eastAsia="宋体" w:cs="宋体"/>
                <w:i w:val="0"/>
                <w:iCs w:val="0"/>
                <w:color w:val="000000"/>
                <w:sz w:val="18"/>
                <w:szCs w:val="18"/>
                <w:u w:val="none"/>
              </w:rPr>
            </w:pPr>
          </w:p>
        </w:tc>
      </w:tr>
      <w:tr w14:paraId="0E15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9BE7">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9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楔形塞尺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2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B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D865">
            <w:pPr>
              <w:jc w:val="center"/>
              <w:rPr>
                <w:rFonts w:hint="eastAsia" w:ascii="宋体" w:hAnsi="宋体" w:eastAsia="宋体" w:cs="宋体"/>
                <w:i w:val="0"/>
                <w:iCs w:val="0"/>
                <w:color w:val="000000"/>
                <w:sz w:val="18"/>
                <w:szCs w:val="18"/>
                <w:u w:val="none"/>
              </w:rPr>
            </w:pPr>
          </w:p>
        </w:tc>
      </w:tr>
      <w:tr w14:paraId="5C93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1573">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E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6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6584">
            <w:pPr>
              <w:jc w:val="center"/>
              <w:rPr>
                <w:rFonts w:hint="eastAsia" w:ascii="宋体" w:hAnsi="宋体" w:eastAsia="宋体" w:cs="宋体"/>
                <w:i w:val="0"/>
                <w:iCs w:val="0"/>
                <w:color w:val="000000"/>
                <w:sz w:val="18"/>
                <w:szCs w:val="18"/>
                <w:u w:val="none"/>
              </w:rPr>
            </w:pPr>
          </w:p>
        </w:tc>
      </w:tr>
      <w:tr w14:paraId="37F9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906B">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C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水泥胶砂强度量水器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A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225mL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0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F101">
            <w:pPr>
              <w:jc w:val="center"/>
              <w:rPr>
                <w:rFonts w:hint="eastAsia" w:ascii="宋体" w:hAnsi="宋体" w:eastAsia="宋体" w:cs="宋体"/>
                <w:i w:val="0"/>
                <w:iCs w:val="0"/>
                <w:color w:val="000000"/>
                <w:sz w:val="18"/>
                <w:szCs w:val="18"/>
                <w:u w:val="none"/>
              </w:rPr>
            </w:pPr>
          </w:p>
        </w:tc>
      </w:tr>
      <w:tr w14:paraId="554F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ADBE">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C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水泥净浆量水器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F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170mL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9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C9F8">
            <w:pPr>
              <w:jc w:val="center"/>
              <w:rPr>
                <w:rFonts w:hint="eastAsia" w:ascii="宋体" w:hAnsi="宋体" w:eastAsia="宋体" w:cs="宋体"/>
                <w:i w:val="0"/>
                <w:iCs w:val="0"/>
                <w:color w:val="000000"/>
                <w:sz w:val="18"/>
                <w:szCs w:val="18"/>
                <w:u w:val="none"/>
              </w:rPr>
            </w:pPr>
          </w:p>
        </w:tc>
      </w:tr>
      <w:tr w14:paraId="1BC6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9C9B">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6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6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FA2004</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C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4425">
            <w:pPr>
              <w:jc w:val="center"/>
              <w:rPr>
                <w:rFonts w:hint="eastAsia" w:ascii="宋体" w:hAnsi="宋体" w:eastAsia="宋体" w:cs="宋体"/>
                <w:i w:val="0"/>
                <w:iCs w:val="0"/>
                <w:color w:val="000000"/>
                <w:sz w:val="18"/>
                <w:szCs w:val="18"/>
                <w:u w:val="none"/>
              </w:rPr>
            </w:pPr>
          </w:p>
        </w:tc>
      </w:tr>
      <w:tr w14:paraId="3D48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35F0">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E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电子台秤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5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TCS-100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4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75F0">
            <w:pPr>
              <w:jc w:val="center"/>
              <w:rPr>
                <w:rFonts w:hint="eastAsia" w:ascii="宋体" w:hAnsi="宋体" w:eastAsia="宋体" w:cs="宋体"/>
                <w:i w:val="0"/>
                <w:iCs w:val="0"/>
                <w:color w:val="000000"/>
                <w:sz w:val="18"/>
                <w:szCs w:val="18"/>
                <w:u w:val="none"/>
              </w:rPr>
            </w:pPr>
          </w:p>
        </w:tc>
      </w:tr>
      <w:tr w14:paraId="371D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251A">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5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5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JA5001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C55B">
            <w:pPr>
              <w:jc w:val="center"/>
              <w:rPr>
                <w:rFonts w:hint="eastAsia" w:ascii="宋体" w:hAnsi="宋体" w:eastAsia="宋体" w:cs="宋体"/>
                <w:i w:val="0"/>
                <w:iCs w:val="0"/>
                <w:color w:val="000000"/>
                <w:sz w:val="18"/>
                <w:szCs w:val="18"/>
                <w:u w:val="none"/>
              </w:rPr>
            </w:pPr>
          </w:p>
        </w:tc>
      </w:tr>
      <w:tr w14:paraId="34E3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5DE5">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1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9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JS30-1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C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B337">
            <w:pPr>
              <w:jc w:val="center"/>
              <w:rPr>
                <w:rFonts w:hint="eastAsia" w:ascii="宋体" w:hAnsi="宋体" w:eastAsia="宋体" w:cs="宋体"/>
                <w:i w:val="0"/>
                <w:iCs w:val="0"/>
                <w:color w:val="000000"/>
                <w:sz w:val="18"/>
                <w:szCs w:val="18"/>
                <w:u w:val="none"/>
              </w:rPr>
            </w:pPr>
          </w:p>
        </w:tc>
      </w:tr>
      <w:tr w14:paraId="1FCF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0051">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C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F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JS15-01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BC43">
            <w:pPr>
              <w:jc w:val="center"/>
              <w:rPr>
                <w:rFonts w:hint="eastAsia" w:ascii="宋体" w:hAnsi="宋体" w:eastAsia="宋体" w:cs="宋体"/>
                <w:i w:val="0"/>
                <w:iCs w:val="0"/>
                <w:color w:val="000000"/>
                <w:sz w:val="18"/>
                <w:szCs w:val="18"/>
                <w:u w:val="none"/>
              </w:rPr>
            </w:pPr>
          </w:p>
        </w:tc>
      </w:tr>
      <w:tr w14:paraId="5DCF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F043">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9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6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JA2003</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7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F007">
            <w:pPr>
              <w:jc w:val="center"/>
              <w:rPr>
                <w:rFonts w:hint="eastAsia" w:ascii="宋体" w:hAnsi="宋体" w:eastAsia="宋体" w:cs="宋体"/>
                <w:i w:val="0"/>
                <w:iCs w:val="0"/>
                <w:color w:val="000000"/>
                <w:sz w:val="18"/>
                <w:szCs w:val="18"/>
                <w:u w:val="none"/>
              </w:rPr>
            </w:pPr>
          </w:p>
        </w:tc>
      </w:tr>
      <w:tr w14:paraId="783A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ACB6">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1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7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JA3001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2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E8ED">
            <w:pPr>
              <w:jc w:val="center"/>
              <w:rPr>
                <w:rFonts w:hint="eastAsia" w:ascii="宋体" w:hAnsi="宋体" w:eastAsia="宋体" w:cs="宋体"/>
                <w:i w:val="0"/>
                <w:iCs w:val="0"/>
                <w:color w:val="000000"/>
                <w:sz w:val="18"/>
                <w:szCs w:val="18"/>
                <w:u w:val="none"/>
              </w:rPr>
            </w:pPr>
          </w:p>
        </w:tc>
      </w:tr>
      <w:tr w14:paraId="59AF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5550">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0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扩展度仪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C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8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259C">
            <w:pPr>
              <w:jc w:val="center"/>
              <w:rPr>
                <w:rFonts w:hint="eastAsia" w:ascii="宋体" w:hAnsi="宋体" w:eastAsia="宋体" w:cs="宋体"/>
                <w:i w:val="0"/>
                <w:iCs w:val="0"/>
                <w:color w:val="000000"/>
                <w:sz w:val="18"/>
                <w:szCs w:val="18"/>
                <w:u w:val="none"/>
              </w:rPr>
            </w:pPr>
          </w:p>
        </w:tc>
      </w:tr>
      <w:tr w14:paraId="7515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C6CA">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3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砝码</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9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0.1-500g</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D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D4F6">
            <w:pPr>
              <w:jc w:val="center"/>
              <w:rPr>
                <w:rFonts w:hint="eastAsia" w:ascii="宋体" w:hAnsi="宋体" w:eastAsia="宋体" w:cs="宋体"/>
                <w:i w:val="0"/>
                <w:iCs w:val="0"/>
                <w:color w:val="000000"/>
                <w:sz w:val="18"/>
                <w:szCs w:val="18"/>
                <w:u w:val="none"/>
              </w:rPr>
            </w:pPr>
          </w:p>
        </w:tc>
      </w:tr>
      <w:tr w14:paraId="43BD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A6E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F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水泥胶砂搅拌机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3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JJ-20H</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5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B0DD">
            <w:pPr>
              <w:jc w:val="center"/>
              <w:rPr>
                <w:rFonts w:hint="eastAsia" w:ascii="宋体" w:hAnsi="宋体" w:eastAsia="宋体" w:cs="宋体"/>
                <w:i w:val="0"/>
                <w:iCs w:val="0"/>
                <w:color w:val="000000"/>
                <w:sz w:val="18"/>
                <w:szCs w:val="18"/>
                <w:u w:val="none"/>
              </w:rPr>
            </w:pPr>
          </w:p>
        </w:tc>
      </w:tr>
      <w:tr w14:paraId="72E9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A200">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B92A">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yellow"/>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水泥胶砂试体成型振实台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91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ZS-21H</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4E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B860">
            <w:pPr>
              <w:jc w:val="center"/>
              <w:rPr>
                <w:rFonts w:hint="eastAsia" w:ascii="宋体" w:hAnsi="宋体" w:eastAsia="宋体" w:cs="宋体"/>
                <w:i w:val="0"/>
                <w:iCs w:val="0"/>
                <w:color w:val="000000"/>
                <w:sz w:val="18"/>
                <w:szCs w:val="18"/>
                <w:u w:val="none"/>
              </w:rPr>
            </w:pPr>
          </w:p>
        </w:tc>
      </w:tr>
      <w:tr w14:paraId="2963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ADDD">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5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数显恒温水浴箱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7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CF-B</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E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197B">
            <w:pPr>
              <w:jc w:val="center"/>
              <w:rPr>
                <w:rFonts w:hint="eastAsia" w:ascii="宋体" w:hAnsi="宋体" w:eastAsia="宋体" w:cs="宋体"/>
                <w:i w:val="0"/>
                <w:iCs w:val="0"/>
                <w:color w:val="000000"/>
                <w:sz w:val="18"/>
                <w:szCs w:val="18"/>
                <w:u w:val="none"/>
              </w:rPr>
            </w:pPr>
          </w:p>
        </w:tc>
      </w:tr>
      <w:tr w14:paraId="1E19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6E68">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0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自由泌水率和膨胀率试验仪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B2B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1000mL</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98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BCB8">
            <w:pPr>
              <w:jc w:val="center"/>
              <w:rPr>
                <w:rFonts w:hint="eastAsia" w:ascii="宋体" w:hAnsi="宋体" w:eastAsia="宋体" w:cs="宋体"/>
                <w:i w:val="0"/>
                <w:iCs w:val="0"/>
                <w:color w:val="000000"/>
                <w:sz w:val="18"/>
                <w:szCs w:val="18"/>
                <w:u w:val="none"/>
              </w:rPr>
            </w:pPr>
          </w:p>
        </w:tc>
      </w:tr>
      <w:tr w14:paraId="44C4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896F">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B8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钢丝间泌水率试验仪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D53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1D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9BC5">
            <w:pPr>
              <w:jc w:val="center"/>
              <w:rPr>
                <w:rFonts w:hint="eastAsia" w:ascii="宋体" w:hAnsi="宋体" w:eastAsia="宋体" w:cs="宋体"/>
                <w:i w:val="0"/>
                <w:iCs w:val="0"/>
                <w:color w:val="000000"/>
                <w:sz w:val="18"/>
                <w:szCs w:val="18"/>
                <w:u w:val="none"/>
              </w:rPr>
            </w:pPr>
          </w:p>
        </w:tc>
      </w:tr>
      <w:tr w14:paraId="504A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2B43">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3A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高速压浆搅拌机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778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DGJ-150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F0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C95E">
            <w:pPr>
              <w:jc w:val="center"/>
              <w:rPr>
                <w:rFonts w:hint="eastAsia" w:ascii="宋体" w:hAnsi="宋体" w:eastAsia="宋体" w:cs="宋体"/>
                <w:i w:val="0"/>
                <w:iCs w:val="0"/>
                <w:color w:val="000000"/>
                <w:sz w:val="18"/>
                <w:szCs w:val="18"/>
                <w:u w:val="none"/>
              </w:rPr>
            </w:pPr>
          </w:p>
        </w:tc>
      </w:tr>
      <w:tr w14:paraId="3111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721F">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2F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混凝土抗折夹具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0B5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CF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17E3">
            <w:pPr>
              <w:jc w:val="center"/>
              <w:rPr>
                <w:rFonts w:hint="eastAsia" w:ascii="宋体" w:hAnsi="宋体" w:eastAsia="宋体" w:cs="宋体"/>
                <w:i w:val="0"/>
                <w:iCs w:val="0"/>
                <w:color w:val="000000"/>
                <w:sz w:val="18"/>
                <w:szCs w:val="18"/>
                <w:u w:val="none"/>
              </w:rPr>
            </w:pPr>
          </w:p>
        </w:tc>
      </w:tr>
      <w:tr w14:paraId="6398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44CC">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B9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砂浆抗压夹具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A6A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70.7mm*70.7mm*70.7mm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D0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9A71">
            <w:pPr>
              <w:jc w:val="center"/>
              <w:rPr>
                <w:rFonts w:hint="eastAsia" w:ascii="宋体" w:hAnsi="宋体" w:eastAsia="宋体" w:cs="宋体"/>
                <w:i w:val="0"/>
                <w:iCs w:val="0"/>
                <w:color w:val="000000"/>
                <w:sz w:val="18"/>
                <w:szCs w:val="18"/>
                <w:u w:val="none"/>
              </w:rPr>
            </w:pPr>
          </w:p>
        </w:tc>
      </w:tr>
      <w:tr w14:paraId="295A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CF89">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lang w:val="en-US" w:eastAsia="zh-CN"/>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A7B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砂浆保水率测定仪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B2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F02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633C">
            <w:pPr>
              <w:jc w:val="center"/>
              <w:rPr>
                <w:rFonts w:hint="eastAsia" w:ascii="宋体" w:hAnsi="宋体" w:eastAsia="宋体" w:cs="宋体"/>
                <w:i w:val="0"/>
                <w:iCs w:val="0"/>
                <w:color w:val="000000"/>
                <w:sz w:val="18"/>
                <w:szCs w:val="18"/>
                <w:u w:val="none"/>
              </w:rPr>
            </w:pPr>
          </w:p>
        </w:tc>
      </w:tr>
      <w:tr w14:paraId="4411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4360">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71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锚杆拉拔仪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631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ML-20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58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3614">
            <w:pPr>
              <w:jc w:val="center"/>
              <w:rPr>
                <w:rFonts w:hint="eastAsia" w:ascii="宋体" w:hAnsi="宋体" w:eastAsia="宋体" w:cs="宋体"/>
                <w:i w:val="0"/>
                <w:iCs w:val="0"/>
                <w:color w:val="000000"/>
                <w:sz w:val="18"/>
                <w:szCs w:val="18"/>
                <w:u w:val="none"/>
              </w:rPr>
            </w:pPr>
          </w:p>
        </w:tc>
      </w:tr>
      <w:tr w14:paraId="7EF4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A528">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7F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正反向弯曲装置</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72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数显</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E9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7DDB">
            <w:pPr>
              <w:jc w:val="center"/>
              <w:rPr>
                <w:rFonts w:hint="eastAsia" w:ascii="宋体" w:hAnsi="宋体" w:eastAsia="宋体" w:cs="宋体"/>
                <w:i w:val="0"/>
                <w:iCs w:val="0"/>
                <w:color w:val="000000"/>
                <w:sz w:val="18"/>
                <w:szCs w:val="18"/>
                <w:u w:val="none"/>
              </w:rPr>
            </w:pPr>
          </w:p>
        </w:tc>
      </w:tr>
      <w:tr w14:paraId="4690A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9D07">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35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马氏锥</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C5A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05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35B6">
            <w:pPr>
              <w:jc w:val="center"/>
              <w:rPr>
                <w:rFonts w:hint="eastAsia" w:ascii="宋体" w:hAnsi="宋体" w:eastAsia="宋体" w:cs="宋体"/>
                <w:i w:val="0"/>
                <w:iCs w:val="0"/>
                <w:color w:val="000000"/>
                <w:sz w:val="18"/>
                <w:szCs w:val="18"/>
                <w:u w:val="none"/>
              </w:rPr>
            </w:pPr>
          </w:p>
        </w:tc>
      </w:tr>
      <w:tr w14:paraId="6C91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8EB1">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B3CD">
            <w:pPr>
              <w:keepNext w:val="0"/>
              <w:keepLines w:val="0"/>
              <w:widowControl/>
              <w:suppressLineNumbers w:val="0"/>
              <w:jc w:val="center"/>
              <w:textAlignment w:val="center"/>
              <w:rPr>
                <w:rFonts w:hint="eastAsia" w:ascii="宋体" w:hAnsi="宋体" w:eastAsia="宋体" w:cs="宋体"/>
                <w:i w:val="0"/>
                <w:iCs w:val="0"/>
                <w:strike/>
                <w:dstrike w:val="0"/>
                <w:color w:val="auto"/>
                <w:kern w:val="0"/>
                <w:sz w:val="18"/>
                <w:szCs w:val="18"/>
                <w:u w:val="none"/>
                <w:lang w:val="en-US" w:eastAsia="zh-CN" w:bidi="ar"/>
              </w:rPr>
            </w:pPr>
            <w:r>
              <w:rPr>
                <w:rFonts w:hint="eastAsia" w:ascii="宋体" w:hAnsi="宋体" w:eastAsia="宋体" w:cs="宋体"/>
                <w:i w:val="0"/>
                <w:iCs w:val="0"/>
                <w:strike w:val="0"/>
                <w:dstrike w:val="0"/>
                <w:color w:val="auto"/>
                <w:kern w:val="0"/>
                <w:sz w:val="18"/>
                <w:szCs w:val="18"/>
                <w:u w:val="none"/>
                <w:lang w:val="en-US" w:eastAsia="zh-CN" w:bidi="ar"/>
              </w:rPr>
              <w:t>超声波成孔质量检测仪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601C">
            <w:pPr>
              <w:keepNext w:val="0"/>
              <w:keepLines w:val="0"/>
              <w:widowControl/>
              <w:suppressLineNumbers w:val="0"/>
              <w:jc w:val="center"/>
              <w:textAlignment w:val="center"/>
              <w:rPr>
                <w:rFonts w:hint="default" w:ascii="宋体" w:hAnsi="宋体" w:eastAsia="宋体" w:cs="宋体"/>
                <w:i w:val="0"/>
                <w:iCs w:val="0"/>
                <w:strike/>
                <w:dstrike w:val="0"/>
                <w:color w:val="auto"/>
                <w:kern w:val="0"/>
                <w:sz w:val="18"/>
                <w:szCs w:val="18"/>
                <w:u w:val="none"/>
                <w:lang w:val="en-US" w:eastAsia="zh-CN" w:bidi="ar"/>
              </w:rPr>
            </w:pPr>
            <w:r>
              <w:rPr>
                <w:rFonts w:hint="default" w:ascii="宋体" w:hAnsi="宋体" w:eastAsia="宋体" w:cs="宋体"/>
                <w:i w:val="0"/>
                <w:iCs w:val="0"/>
                <w:strike w:val="0"/>
                <w:dstrike w:val="0"/>
                <w:color w:val="auto"/>
                <w:kern w:val="0"/>
                <w:sz w:val="18"/>
                <w:szCs w:val="18"/>
                <w:u w:val="none"/>
                <w:lang w:val="en-US" w:eastAsia="zh-CN" w:bidi="ar"/>
              </w:rPr>
              <w:t>RSM-HGT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CA4A">
            <w:pPr>
              <w:keepNext w:val="0"/>
              <w:keepLines w:val="0"/>
              <w:widowControl/>
              <w:suppressLineNumbers w:val="0"/>
              <w:jc w:val="center"/>
              <w:textAlignment w:val="center"/>
              <w:rPr>
                <w:rFonts w:hint="eastAsia" w:ascii="宋体" w:hAnsi="宋体" w:eastAsia="宋体" w:cs="宋体"/>
                <w:i w:val="0"/>
                <w:iCs w:val="0"/>
                <w:strike/>
                <w:dstrike w:val="0"/>
                <w:color w:val="000000"/>
                <w:kern w:val="0"/>
                <w:sz w:val="18"/>
                <w:szCs w:val="18"/>
                <w:u w:val="none"/>
                <w:lang w:val="en-US" w:eastAsia="zh-CN" w:bidi="ar"/>
              </w:rPr>
            </w:pPr>
            <w:r>
              <w:rPr>
                <w:rFonts w:hint="eastAsia" w:ascii="宋体" w:hAnsi="宋体" w:eastAsia="宋体" w:cs="宋体"/>
                <w:i w:val="0"/>
                <w:iCs w:val="0"/>
                <w:strike w:val="0"/>
                <w:dstrike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09AC">
            <w:pPr>
              <w:jc w:val="center"/>
              <w:rPr>
                <w:rFonts w:hint="eastAsia" w:ascii="宋体" w:hAnsi="宋体" w:eastAsia="宋体" w:cs="宋体"/>
                <w:i w:val="0"/>
                <w:iCs w:val="0"/>
                <w:color w:val="000000"/>
                <w:sz w:val="18"/>
                <w:szCs w:val="18"/>
                <w:u w:val="none"/>
              </w:rPr>
            </w:pPr>
          </w:p>
        </w:tc>
      </w:tr>
      <w:tr w14:paraId="46EC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5A70">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A9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基桩动测仪/低应变仪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9EE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RS-(W</w:t>
            </w:r>
            <w:r>
              <w:rPr>
                <w:rFonts w:hint="eastAsia" w:ascii="宋体" w:hAnsi="宋体" w:eastAsia="宋体" w:cs="宋体"/>
                <w:i w:val="0"/>
                <w:iCs w:val="0"/>
                <w:color w:val="000000"/>
                <w:kern w:val="0"/>
                <w:sz w:val="18"/>
                <w:szCs w:val="18"/>
                <w:u w:val="none"/>
                <w:lang w:val="en-US" w:eastAsia="zh-CN" w:bidi="ar"/>
              </w:rPr>
              <w:t>）P</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83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324D">
            <w:pPr>
              <w:jc w:val="center"/>
              <w:rPr>
                <w:rFonts w:hint="eastAsia" w:ascii="宋体" w:hAnsi="宋体" w:eastAsia="宋体" w:cs="宋体"/>
                <w:i w:val="0"/>
                <w:iCs w:val="0"/>
                <w:color w:val="000000"/>
                <w:sz w:val="18"/>
                <w:szCs w:val="18"/>
                <w:u w:val="none"/>
              </w:rPr>
            </w:pPr>
          </w:p>
        </w:tc>
      </w:tr>
      <w:tr w14:paraId="6001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61D4">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A0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金属超声探伤仪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73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23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5110">
            <w:pPr>
              <w:jc w:val="center"/>
              <w:rPr>
                <w:rFonts w:hint="eastAsia" w:ascii="宋体" w:hAnsi="宋体" w:eastAsia="宋体" w:cs="宋体"/>
                <w:i w:val="0"/>
                <w:iCs w:val="0"/>
                <w:color w:val="000000"/>
                <w:sz w:val="18"/>
                <w:szCs w:val="18"/>
                <w:u w:val="none"/>
              </w:rPr>
            </w:pPr>
          </w:p>
        </w:tc>
      </w:tr>
      <w:tr w14:paraId="5DAE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704A">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92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便携式磁粉探伤仪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2DA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E0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2B92">
            <w:pPr>
              <w:jc w:val="center"/>
              <w:rPr>
                <w:rFonts w:hint="eastAsia" w:ascii="宋体" w:hAnsi="宋体" w:eastAsia="宋体" w:cs="宋体"/>
                <w:i w:val="0"/>
                <w:iCs w:val="0"/>
                <w:color w:val="000000"/>
                <w:sz w:val="18"/>
                <w:szCs w:val="18"/>
                <w:u w:val="none"/>
              </w:rPr>
            </w:pPr>
          </w:p>
        </w:tc>
      </w:tr>
      <w:tr w14:paraId="77B5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4ECE">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FE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扭力扳手</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DA9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68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7CFB">
            <w:pPr>
              <w:jc w:val="center"/>
              <w:rPr>
                <w:rFonts w:hint="eastAsia" w:ascii="宋体" w:hAnsi="宋体" w:eastAsia="宋体" w:cs="宋体"/>
                <w:i w:val="0"/>
                <w:iCs w:val="0"/>
                <w:color w:val="000000"/>
                <w:sz w:val="18"/>
                <w:szCs w:val="18"/>
                <w:u w:val="none"/>
              </w:rPr>
            </w:pPr>
          </w:p>
        </w:tc>
      </w:tr>
      <w:tr w14:paraId="0E8C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090B">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91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涂层测厚仪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3A4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TT220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E9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F1C7">
            <w:pPr>
              <w:jc w:val="center"/>
              <w:rPr>
                <w:rFonts w:hint="eastAsia" w:ascii="宋体" w:hAnsi="宋体" w:eastAsia="宋体" w:cs="宋体"/>
                <w:i w:val="0"/>
                <w:iCs w:val="0"/>
                <w:color w:val="000000"/>
                <w:sz w:val="18"/>
                <w:szCs w:val="18"/>
                <w:u w:val="none"/>
              </w:rPr>
            </w:pPr>
          </w:p>
        </w:tc>
      </w:tr>
      <w:tr w14:paraId="5A75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17FA">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B3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附着力检测仪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30B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液压型)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86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172E">
            <w:pPr>
              <w:jc w:val="center"/>
              <w:rPr>
                <w:rFonts w:hint="eastAsia" w:ascii="宋体" w:hAnsi="宋体" w:eastAsia="宋体" w:cs="宋体"/>
                <w:i w:val="0"/>
                <w:iCs w:val="0"/>
                <w:color w:val="000000"/>
                <w:sz w:val="18"/>
                <w:szCs w:val="18"/>
                <w:u w:val="none"/>
              </w:rPr>
            </w:pPr>
          </w:p>
        </w:tc>
      </w:tr>
      <w:tr w14:paraId="729C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782F">
            <w:pPr>
              <w:keepNext w:val="0"/>
              <w:keepLines w:val="0"/>
              <w:widowControl/>
              <w:numPr>
                <w:ilvl w:val="0"/>
                <w:numId w:val="9"/>
              </w:numPr>
              <w:suppressLineNumbers w:val="0"/>
              <w:ind w:left="454" w:leftChars="0" w:hanging="454" w:firstLineChars="0"/>
              <w:jc w:val="center"/>
              <w:textAlignment w:val="center"/>
              <w:rPr>
                <w:rFonts w:hint="default" w:ascii="宋体" w:hAnsi="宋体" w:eastAsia="宋体" w:cs="宋体"/>
                <w:i w:val="0"/>
                <w:iCs w:val="0"/>
                <w:color w:val="000000"/>
                <w:sz w:val="18"/>
                <w:szCs w:val="18"/>
                <w:u w:val="none"/>
                <w:lang w:val="en-US" w:eastAsia="zh-CN"/>
              </w:rPr>
            </w:pPr>
          </w:p>
        </w:tc>
        <w:tc>
          <w:tcPr>
            <w:tcW w:w="6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461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b/>
                <w:bCs/>
                <w:i w:val="0"/>
                <w:iCs w:val="0"/>
                <w:color w:val="000000"/>
                <w:kern w:val="0"/>
                <w:sz w:val="20"/>
                <w:szCs w:val="20"/>
                <w:u w:val="none"/>
                <w:lang w:val="en-US" w:eastAsia="zh-CN" w:bidi="ar"/>
              </w:rPr>
              <w:t>省内路基设备限价（元/年）</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B8589">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25000.00</w:t>
            </w:r>
          </w:p>
        </w:tc>
      </w:tr>
      <w:tr w14:paraId="0588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B319">
            <w:pPr>
              <w:keepNext w:val="0"/>
              <w:keepLines w:val="0"/>
              <w:widowControl/>
              <w:numPr>
                <w:ilvl w:val="0"/>
                <w:numId w:val="9"/>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lang w:val="en-US" w:eastAsia="zh-CN"/>
              </w:rPr>
            </w:pPr>
          </w:p>
        </w:tc>
        <w:tc>
          <w:tcPr>
            <w:tcW w:w="6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B5EE8">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0"/>
                <w:szCs w:val="20"/>
                <w:u w:val="none"/>
                <w:lang w:val="en-US" w:eastAsia="zh-CN" w:bidi="ar"/>
              </w:rPr>
            </w:pPr>
            <w:r>
              <w:rPr>
                <w:rFonts w:hint="eastAsia" w:ascii="Times New Roman" w:hAnsi="Times New Roman" w:eastAsia="宋体" w:cs="Times New Roman"/>
                <w:b/>
                <w:bCs/>
                <w:i w:val="0"/>
                <w:iCs w:val="0"/>
                <w:color w:val="000000"/>
                <w:kern w:val="0"/>
                <w:sz w:val="20"/>
                <w:szCs w:val="20"/>
                <w:u w:val="none"/>
                <w:lang w:val="en-US" w:eastAsia="zh-CN" w:bidi="ar"/>
              </w:rPr>
              <w:t>省外路基设备限价（元/年）</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6D050">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28000.00</w:t>
            </w:r>
          </w:p>
        </w:tc>
      </w:tr>
    </w:tbl>
    <w:p w14:paraId="64D9E320">
      <w:pPr>
        <w:pStyle w:val="2"/>
        <w:rPr>
          <w:rFonts w:hint="eastAsia"/>
          <w:lang w:val="en-US" w:eastAsia="zh-CN"/>
        </w:rPr>
      </w:pPr>
    </w:p>
    <w:p w14:paraId="453BD909">
      <w:pPr>
        <w:jc w:val="center"/>
        <w:rPr>
          <w:rFonts w:hint="default" w:cs="Times New Roman" w:asciiTheme="minorEastAsia" w:hAnsiTheme="minorEastAsia"/>
          <w:sz w:val="24"/>
          <w:szCs w:val="24"/>
          <w:lang w:val="en-US"/>
        </w:rPr>
      </w:pPr>
      <w:r>
        <w:rPr>
          <w:rFonts w:hint="eastAsia" w:ascii="宋体" w:hAnsi="宋体" w:eastAsia="宋体" w:cs="宋体"/>
          <w:b/>
          <w:bCs/>
          <w:i w:val="0"/>
          <w:iCs w:val="0"/>
          <w:color w:val="000000"/>
          <w:kern w:val="0"/>
          <w:sz w:val="24"/>
          <w:szCs w:val="24"/>
          <w:u w:val="none"/>
          <w:lang w:val="en-US" w:eastAsia="zh-CN" w:bidi="ar"/>
        </w:rPr>
        <w:t>附件2：工地试验室试验路面仪器设备检定/校准清单及限价</w:t>
      </w:r>
    </w:p>
    <w:tbl>
      <w:tblPr>
        <w:tblStyle w:val="20"/>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4040"/>
        <w:gridCol w:w="2000"/>
        <w:gridCol w:w="1517"/>
        <w:gridCol w:w="1633"/>
      </w:tblGrid>
      <w:tr w14:paraId="7677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blHead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597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4E2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8D34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规格型号</w:t>
            </w:r>
          </w:p>
          <w:p w14:paraId="3763436D">
            <w:pPr>
              <w:pStyle w:val="2"/>
              <w:jc w:val="center"/>
              <w:rPr>
                <w:rFonts w:hint="default"/>
                <w:lang w:val="en-US"/>
              </w:rPr>
            </w:pPr>
            <w:r>
              <w:rPr>
                <w:rFonts w:hint="eastAsia" w:ascii="宋体" w:hAnsi="宋体" w:eastAsia="宋体" w:cs="宋体"/>
                <w:b/>
                <w:bCs/>
                <w:i w:val="0"/>
                <w:iCs w:val="0"/>
                <w:color w:val="000000"/>
                <w:kern w:val="0"/>
                <w:sz w:val="18"/>
                <w:szCs w:val="18"/>
                <w:u w:val="none"/>
                <w:lang w:val="en-US" w:eastAsia="zh-CN" w:bidi="ar"/>
              </w:rPr>
              <w:t>（仅供参考）</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D81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溯源方式</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220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4C3F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679E7">
            <w:pPr>
              <w:jc w:val="center"/>
              <w:rPr>
                <w:rFonts w:hint="eastAsia" w:ascii="宋体" w:hAnsi="宋体" w:eastAsia="宋体" w:cs="宋体"/>
                <w:i w:val="0"/>
                <w:iCs w:val="0"/>
                <w:color w:val="000000"/>
                <w:sz w:val="18"/>
                <w:szCs w:val="18"/>
                <w:u w:val="none"/>
              </w:rPr>
            </w:pPr>
          </w:p>
        </w:tc>
        <w:tc>
          <w:tcPr>
            <w:tcW w:w="4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BDD71">
            <w:pPr>
              <w:jc w:val="center"/>
              <w:rPr>
                <w:rFonts w:hint="eastAsia" w:ascii="宋体" w:hAnsi="宋体" w:eastAsia="宋体" w:cs="宋体"/>
                <w:i w:val="0"/>
                <w:iCs w:val="0"/>
                <w:color w:val="000000"/>
                <w:sz w:val="18"/>
                <w:szCs w:val="18"/>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D1F7">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47657">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93A0A">
            <w:pPr>
              <w:jc w:val="center"/>
              <w:rPr>
                <w:rFonts w:hint="eastAsia" w:ascii="宋体" w:hAnsi="宋体" w:eastAsia="宋体" w:cs="宋体"/>
                <w:i w:val="0"/>
                <w:iCs w:val="0"/>
                <w:color w:val="000000"/>
                <w:sz w:val="18"/>
                <w:szCs w:val="18"/>
                <w:u w:val="none"/>
              </w:rPr>
            </w:pPr>
          </w:p>
        </w:tc>
      </w:tr>
      <w:tr w14:paraId="77D5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DF72">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80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洛杉矶磨耗机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0F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MH-Ⅱ型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5F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CD9A">
            <w:pPr>
              <w:jc w:val="center"/>
              <w:rPr>
                <w:rFonts w:hint="eastAsia" w:ascii="宋体" w:hAnsi="宋体" w:eastAsia="宋体" w:cs="宋体"/>
                <w:i w:val="0"/>
                <w:iCs w:val="0"/>
                <w:color w:val="000000"/>
                <w:sz w:val="18"/>
                <w:szCs w:val="18"/>
                <w:highlight w:val="none"/>
                <w:u w:val="none"/>
              </w:rPr>
            </w:pPr>
          </w:p>
        </w:tc>
      </w:tr>
      <w:tr w14:paraId="661A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FA1F">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E3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细集料流动时间测定仪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6E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WX-2000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7F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C45B">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周期：半年</w:t>
            </w:r>
          </w:p>
        </w:tc>
      </w:tr>
      <w:tr w14:paraId="1135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5A32">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E7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饱和面干试模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35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2A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FAAA">
            <w:pPr>
              <w:jc w:val="center"/>
              <w:rPr>
                <w:rFonts w:hint="eastAsia" w:ascii="宋体" w:hAnsi="宋体" w:eastAsia="宋体" w:cs="宋体"/>
                <w:i w:val="0"/>
                <w:iCs w:val="0"/>
                <w:color w:val="000000"/>
                <w:sz w:val="18"/>
                <w:szCs w:val="18"/>
                <w:highlight w:val="none"/>
                <w:u w:val="none"/>
              </w:rPr>
            </w:pPr>
          </w:p>
        </w:tc>
      </w:tr>
      <w:tr w14:paraId="0538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C30C">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9B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沥青含量测定仪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C9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HNRS-6</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42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217">
            <w:pPr>
              <w:jc w:val="center"/>
              <w:rPr>
                <w:rFonts w:hint="eastAsia" w:ascii="宋体" w:hAnsi="宋体" w:eastAsia="宋体" w:cs="宋体"/>
                <w:i w:val="0"/>
                <w:iCs w:val="0"/>
                <w:color w:val="000000"/>
                <w:sz w:val="18"/>
                <w:szCs w:val="18"/>
                <w:highlight w:val="none"/>
                <w:u w:val="none"/>
              </w:rPr>
            </w:pPr>
          </w:p>
        </w:tc>
      </w:tr>
      <w:tr w14:paraId="4748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170C">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F2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全自动沥青混合料拌和机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6A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LHBH-10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C1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78D0">
            <w:pPr>
              <w:jc w:val="center"/>
              <w:rPr>
                <w:rFonts w:hint="eastAsia" w:ascii="宋体" w:hAnsi="宋体" w:eastAsia="宋体" w:cs="宋体"/>
                <w:i w:val="0"/>
                <w:iCs w:val="0"/>
                <w:color w:val="000000"/>
                <w:sz w:val="18"/>
                <w:szCs w:val="18"/>
                <w:highlight w:val="none"/>
                <w:u w:val="none"/>
              </w:rPr>
            </w:pPr>
          </w:p>
        </w:tc>
      </w:tr>
      <w:tr w14:paraId="25E4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6C28">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0D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全自动沥青混合料拌和机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9F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LHBH-20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06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DF64">
            <w:pPr>
              <w:jc w:val="center"/>
              <w:rPr>
                <w:rFonts w:hint="eastAsia" w:ascii="宋体" w:hAnsi="宋体" w:eastAsia="宋体" w:cs="宋体"/>
                <w:i w:val="0"/>
                <w:iCs w:val="0"/>
                <w:color w:val="000000"/>
                <w:sz w:val="18"/>
                <w:szCs w:val="18"/>
                <w:highlight w:val="none"/>
                <w:u w:val="none"/>
              </w:rPr>
            </w:pPr>
          </w:p>
        </w:tc>
      </w:tr>
      <w:tr w14:paraId="29C1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DE8C">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78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自动马歇尔试件击实仪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27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LHMJ-II</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22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A4B4">
            <w:pPr>
              <w:jc w:val="center"/>
              <w:rPr>
                <w:rFonts w:hint="eastAsia" w:ascii="宋体" w:hAnsi="宋体" w:eastAsia="宋体" w:cs="宋体"/>
                <w:i w:val="0"/>
                <w:iCs w:val="0"/>
                <w:color w:val="000000"/>
                <w:sz w:val="18"/>
                <w:szCs w:val="18"/>
                <w:highlight w:val="none"/>
                <w:u w:val="none"/>
              </w:rPr>
            </w:pPr>
          </w:p>
        </w:tc>
      </w:tr>
      <w:tr w14:paraId="4357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CA25">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C0DE">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摆式摩擦系数测定仪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A721">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BM-III</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717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A16B">
            <w:pPr>
              <w:jc w:val="center"/>
              <w:rPr>
                <w:rFonts w:hint="eastAsia" w:ascii="宋体" w:hAnsi="宋体" w:eastAsia="宋体" w:cs="宋体"/>
                <w:i w:val="0"/>
                <w:iCs w:val="0"/>
                <w:color w:val="000000"/>
                <w:sz w:val="18"/>
                <w:szCs w:val="18"/>
                <w:highlight w:val="none"/>
                <w:u w:val="none"/>
              </w:rPr>
            </w:pPr>
          </w:p>
        </w:tc>
      </w:tr>
      <w:tr w14:paraId="7F88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9120">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9DF5">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路面构造深度仪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9225">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PS-1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AE1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D8DD">
            <w:pPr>
              <w:jc w:val="center"/>
              <w:rPr>
                <w:rFonts w:hint="eastAsia" w:ascii="宋体" w:hAnsi="宋体" w:eastAsia="宋体" w:cs="宋体"/>
                <w:i w:val="0"/>
                <w:iCs w:val="0"/>
                <w:color w:val="000000"/>
                <w:sz w:val="18"/>
                <w:szCs w:val="18"/>
                <w:highlight w:val="none"/>
                <w:u w:val="none"/>
              </w:rPr>
            </w:pPr>
          </w:p>
        </w:tc>
      </w:tr>
      <w:tr w14:paraId="22EE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390D">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5EBE">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沥青混合料渗水系数测定仪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6E96">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HHDS-Ⅱ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6E5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7B6B">
            <w:pPr>
              <w:jc w:val="center"/>
              <w:rPr>
                <w:rFonts w:hint="eastAsia" w:ascii="宋体" w:hAnsi="宋体" w:eastAsia="宋体" w:cs="宋体"/>
                <w:i w:val="0"/>
                <w:iCs w:val="0"/>
                <w:color w:val="000000"/>
                <w:sz w:val="18"/>
                <w:szCs w:val="18"/>
                <w:highlight w:val="none"/>
                <w:u w:val="none"/>
              </w:rPr>
            </w:pPr>
          </w:p>
        </w:tc>
      </w:tr>
      <w:tr w14:paraId="0FD6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D870">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D38F">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连续式平整度测定仪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0EE5">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LXBP-5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A91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970B">
            <w:pPr>
              <w:jc w:val="center"/>
              <w:rPr>
                <w:rFonts w:hint="eastAsia" w:ascii="宋体" w:hAnsi="宋体" w:eastAsia="宋体" w:cs="宋体"/>
                <w:i w:val="0"/>
                <w:iCs w:val="0"/>
                <w:color w:val="000000"/>
                <w:sz w:val="18"/>
                <w:szCs w:val="18"/>
                <w:highlight w:val="none"/>
                <w:u w:val="none"/>
              </w:rPr>
            </w:pPr>
          </w:p>
        </w:tc>
      </w:tr>
      <w:tr w14:paraId="674E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E5C6">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909A">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标准全自动马歇尔稳定度仪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76B9">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LWD-3A</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379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A7C0">
            <w:pPr>
              <w:jc w:val="center"/>
              <w:rPr>
                <w:rFonts w:hint="eastAsia" w:ascii="宋体" w:hAnsi="宋体" w:eastAsia="宋体" w:cs="宋体"/>
                <w:i w:val="0"/>
                <w:iCs w:val="0"/>
                <w:color w:val="000000"/>
                <w:sz w:val="18"/>
                <w:szCs w:val="18"/>
                <w:highlight w:val="none"/>
                <w:u w:val="none"/>
              </w:rPr>
            </w:pPr>
          </w:p>
        </w:tc>
      </w:tr>
      <w:tr w14:paraId="7D3F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48F8">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15E4">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沥青混合料理论最大相对密度仪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3D46">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LHMD-5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DB5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4A2B">
            <w:pPr>
              <w:jc w:val="center"/>
              <w:rPr>
                <w:rFonts w:hint="eastAsia" w:ascii="宋体" w:hAnsi="宋体" w:eastAsia="宋体" w:cs="宋体"/>
                <w:i w:val="0"/>
                <w:iCs w:val="0"/>
                <w:color w:val="000000"/>
                <w:sz w:val="18"/>
                <w:szCs w:val="18"/>
                <w:highlight w:val="none"/>
                <w:u w:val="none"/>
              </w:rPr>
            </w:pPr>
          </w:p>
        </w:tc>
      </w:tr>
      <w:tr w14:paraId="52647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DF56">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54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沥青混合料车辙试样成型机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26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LHWD-3</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9E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534B">
            <w:pPr>
              <w:jc w:val="center"/>
              <w:rPr>
                <w:rFonts w:hint="eastAsia" w:ascii="宋体" w:hAnsi="宋体" w:eastAsia="宋体" w:cs="宋体"/>
                <w:i w:val="0"/>
                <w:iCs w:val="0"/>
                <w:color w:val="000000"/>
                <w:sz w:val="18"/>
                <w:szCs w:val="18"/>
                <w:highlight w:val="none"/>
                <w:u w:val="none"/>
              </w:rPr>
            </w:pPr>
          </w:p>
        </w:tc>
      </w:tr>
      <w:tr w14:paraId="269E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844F">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E3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沥青混合料车辙试验仪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2E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LR-T0719D</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60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CDCF">
            <w:pPr>
              <w:jc w:val="center"/>
              <w:rPr>
                <w:rFonts w:hint="eastAsia" w:ascii="宋体" w:hAnsi="宋体" w:eastAsia="宋体" w:cs="宋体"/>
                <w:i w:val="0"/>
                <w:iCs w:val="0"/>
                <w:color w:val="000000"/>
                <w:sz w:val="18"/>
                <w:szCs w:val="18"/>
                <w:highlight w:val="none"/>
                <w:u w:val="none"/>
              </w:rPr>
            </w:pPr>
          </w:p>
        </w:tc>
      </w:tr>
      <w:tr w14:paraId="6AF1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6ACF">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221A">
            <w:pPr>
              <w:keepNext w:val="0"/>
              <w:keepLines w:val="0"/>
              <w:widowControl/>
              <w:suppressLineNumbers w:val="0"/>
              <w:jc w:val="center"/>
              <w:textAlignment w:val="center"/>
              <w:rPr>
                <w:rFonts w:hint="eastAsia" w:ascii="宋体" w:hAnsi="宋体" w:eastAsia="宋体" w:cs="宋体"/>
                <w:i w:val="0"/>
                <w:iCs w:val="0"/>
                <w:strike w:val="0"/>
                <w:dstrike w:val="0"/>
                <w:color w:val="000000"/>
                <w:sz w:val="18"/>
                <w:szCs w:val="18"/>
                <w:highlight w:val="none"/>
                <w:u w:val="none"/>
              </w:rPr>
            </w:pPr>
            <w:r>
              <w:rPr>
                <w:rFonts w:hint="eastAsia" w:ascii="宋体" w:hAnsi="宋体" w:eastAsia="宋体" w:cs="宋体"/>
                <w:i w:val="0"/>
                <w:iCs w:val="0"/>
                <w:strike w:val="0"/>
                <w:dstrike w:val="0"/>
                <w:color w:val="000000"/>
                <w:kern w:val="0"/>
                <w:sz w:val="18"/>
                <w:szCs w:val="18"/>
                <w:highlight w:val="none"/>
                <w:u w:val="none"/>
                <w:lang w:val="en-US" w:eastAsia="zh-CN" w:bidi="ar"/>
              </w:rPr>
              <w:t>电热鼓风恒温干燥器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229C">
            <w:pPr>
              <w:keepNext w:val="0"/>
              <w:keepLines w:val="0"/>
              <w:widowControl/>
              <w:suppressLineNumbers w:val="0"/>
              <w:jc w:val="center"/>
              <w:textAlignment w:val="center"/>
              <w:rPr>
                <w:rFonts w:hint="eastAsia" w:ascii="宋体" w:hAnsi="宋体" w:eastAsia="宋体" w:cs="宋体"/>
                <w:i w:val="0"/>
                <w:iCs w:val="0"/>
                <w:strike w:val="0"/>
                <w:dstrike w:val="0"/>
                <w:color w:val="000000"/>
                <w:sz w:val="18"/>
                <w:szCs w:val="18"/>
                <w:highlight w:val="none"/>
                <w:u w:val="none"/>
              </w:rPr>
            </w:pPr>
            <w:r>
              <w:rPr>
                <w:rFonts w:hint="eastAsia" w:ascii="宋体" w:hAnsi="宋体" w:eastAsia="宋体" w:cs="宋体"/>
                <w:i w:val="0"/>
                <w:iCs w:val="0"/>
                <w:strike w:val="0"/>
                <w:dstrike w:val="0"/>
                <w:color w:val="000000"/>
                <w:kern w:val="0"/>
                <w:sz w:val="18"/>
                <w:szCs w:val="18"/>
                <w:highlight w:val="none"/>
                <w:u w:val="none"/>
                <w:lang w:val="en-US" w:eastAsia="zh-CN" w:bidi="ar"/>
              </w:rPr>
              <w:t>101-4A</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4462">
            <w:pPr>
              <w:keepNext w:val="0"/>
              <w:keepLines w:val="0"/>
              <w:widowControl/>
              <w:suppressLineNumbers w:val="0"/>
              <w:jc w:val="center"/>
              <w:textAlignment w:val="center"/>
              <w:rPr>
                <w:rFonts w:hint="eastAsia" w:ascii="宋体" w:hAnsi="宋体" w:eastAsia="宋体" w:cs="宋体"/>
                <w:i w:val="0"/>
                <w:iCs w:val="0"/>
                <w:strike w:val="0"/>
                <w:dstrike w:val="0"/>
                <w:color w:val="000000"/>
                <w:sz w:val="20"/>
                <w:szCs w:val="20"/>
                <w:highlight w:val="none"/>
                <w:u w:val="none"/>
              </w:rPr>
            </w:pPr>
            <w:r>
              <w:rPr>
                <w:rFonts w:hint="eastAsia" w:ascii="宋体" w:hAnsi="宋体" w:eastAsia="宋体" w:cs="宋体"/>
                <w:i w:val="0"/>
                <w:iCs w:val="0"/>
                <w:strike w:val="0"/>
                <w:dstrike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D6E5">
            <w:pPr>
              <w:jc w:val="center"/>
              <w:rPr>
                <w:rFonts w:hint="eastAsia" w:ascii="宋体" w:hAnsi="宋体" w:eastAsia="宋体" w:cs="宋体"/>
                <w:i w:val="0"/>
                <w:iCs w:val="0"/>
                <w:color w:val="000000"/>
                <w:sz w:val="18"/>
                <w:szCs w:val="18"/>
                <w:highlight w:val="none"/>
                <w:u w:val="none"/>
              </w:rPr>
            </w:pPr>
          </w:p>
        </w:tc>
      </w:tr>
      <w:tr w14:paraId="59BE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951D">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82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车辙试模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10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300×300×50mm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36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297C">
            <w:pPr>
              <w:jc w:val="center"/>
              <w:rPr>
                <w:rFonts w:hint="eastAsia" w:ascii="宋体" w:hAnsi="宋体" w:eastAsia="宋体" w:cs="宋体"/>
                <w:i w:val="0"/>
                <w:iCs w:val="0"/>
                <w:color w:val="000000"/>
                <w:sz w:val="18"/>
                <w:szCs w:val="18"/>
                <w:highlight w:val="none"/>
                <w:u w:val="none"/>
              </w:rPr>
            </w:pPr>
          </w:p>
        </w:tc>
      </w:tr>
      <w:tr w14:paraId="75A3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5208">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96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车辙试模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1A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300×300×80mm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0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2CFC">
            <w:pPr>
              <w:jc w:val="center"/>
              <w:rPr>
                <w:rFonts w:hint="eastAsia" w:ascii="宋体" w:hAnsi="宋体" w:eastAsia="宋体" w:cs="宋体"/>
                <w:i w:val="0"/>
                <w:iCs w:val="0"/>
                <w:color w:val="000000"/>
                <w:sz w:val="18"/>
                <w:szCs w:val="18"/>
                <w:highlight w:val="none"/>
                <w:u w:val="none"/>
              </w:rPr>
            </w:pPr>
          </w:p>
        </w:tc>
      </w:tr>
      <w:tr w14:paraId="53E7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1CB1">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0C14">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车辙试模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9D28">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300×300×60mm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38B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9D03">
            <w:pPr>
              <w:jc w:val="center"/>
              <w:rPr>
                <w:rFonts w:hint="eastAsia" w:ascii="宋体" w:hAnsi="宋体" w:eastAsia="宋体" w:cs="宋体"/>
                <w:i w:val="0"/>
                <w:iCs w:val="0"/>
                <w:color w:val="000000"/>
                <w:sz w:val="18"/>
                <w:szCs w:val="18"/>
                <w:highlight w:val="none"/>
                <w:u w:val="none"/>
              </w:rPr>
            </w:pPr>
          </w:p>
        </w:tc>
      </w:tr>
      <w:tr w14:paraId="38E1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8B70">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D7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马歇尔试模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8D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101.6mm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07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5AB5">
            <w:pPr>
              <w:jc w:val="center"/>
              <w:rPr>
                <w:rFonts w:hint="eastAsia" w:ascii="宋体" w:hAnsi="宋体" w:eastAsia="宋体" w:cs="宋体"/>
                <w:i w:val="0"/>
                <w:iCs w:val="0"/>
                <w:color w:val="000000"/>
                <w:sz w:val="18"/>
                <w:szCs w:val="18"/>
                <w:highlight w:val="none"/>
                <w:u w:val="none"/>
              </w:rPr>
            </w:pPr>
          </w:p>
        </w:tc>
      </w:tr>
      <w:tr w14:paraId="470A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FD9C">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67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沥青动力粘度测定仪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B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SYD-0620A</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73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3683">
            <w:pPr>
              <w:jc w:val="center"/>
              <w:rPr>
                <w:rFonts w:hint="eastAsia" w:ascii="宋体" w:hAnsi="宋体" w:eastAsia="宋体" w:cs="宋体"/>
                <w:i w:val="0"/>
                <w:iCs w:val="0"/>
                <w:color w:val="000000"/>
                <w:sz w:val="18"/>
                <w:szCs w:val="18"/>
                <w:highlight w:val="none"/>
                <w:u w:val="none"/>
              </w:rPr>
            </w:pPr>
          </w:p>
        </w:tc>
      </w:tr>
      <w:tr w14:paraId="5586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57E0">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C3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乳化沥青微粒离子电荷试验仪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8B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DH-Ⅱ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56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0FCE">
            <w:pPr>
              <w:jc w:val="center"/>
              <w:rPr>
                <w:rFonts w:hint="eastAsia" w:ascii="宋体" w:hAnsi="宋体" w:eastAsia="宋体" w:cs="宋体"/>
                <w:i w:val="0"/>
                <w:iCs w:val="0"/>
                <w:color w:val="000000"/>
                <w:sz w:val="18"/>
                <w:szCs w:val="18"/>
                <w:highlight w:val="none"/>
                <w:u w:val="none"/>
              </w:rPr>
            </w:pPr>
          </w:p>
        </w:tc>
      </w:tr>
      <w:tr w14:paraId="7B7D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8745">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49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布式旋转粘度计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89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NDJ-1C</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CD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6893">
            <w:pPr>
              <w:jc w:val="center"/>
              <w:rPr>
                <w:rFonts w:hint="eastAsia" w:ascii="宋体" w:hAnsi="宋体" w:eastAsia="宋体" w:cs="宋体"/>
                <w:i w:val="0"/>
                <w:iCs w:val="0"/>
                <w:color w:val="000000"/>
                <w:sz w:val="18"/>
                <w:szCs w:val="18"/>
                <w:highlight w:val="none"/>
                <w:u w:val="none"/>
              </w:rPr>
            </w:pPr>
          </w:p>
        </w:tc>
      </w:tr>
      <w:tr w14:paraId="5489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7FD2">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16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沥青标准粘度试验仪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35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SYD-0621A</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D6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1B0A">
            <w:pPr>
              <w:jc w:val="center"/>
              <w:rPr>
                <w:rFonts w:hint="eastAsia" w:ascii="宋体" w:hAnsi="宋体" w:eastAsia="宋体" w:cs="宋体"/>
                <w:i w:val="0"/>
                <w:iCs w:val="0"/>
                <w:color w:val="000000"/>
                <w:sz w:val="18"/>
                <w:szCs w:val="18"/>
                <w:highlight w:val="none"/>
                <w:u w:val="none"/>
              </w:rPr>
            </w:pPr>
          </w:p>
        </w:tc>
      </w:tr>
      <w:tr w14:paraId="14564D3B">
        <w:tblPrEx>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07D8">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F6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沥青软化点试验器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F0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SYD-2806F</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16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E7F5">
            <w:pPr>
              <w:jc w:val="center"/>
              <w:rPr>
                <w:rFonts w:hint="eastAsia" w:ascii="宋体" w:hAnsi="宋体" w:eastAsia="宋体" w:cs="宋体"/>
                <w:i w:val="0"/>
                <w:iCs w:val="0"/>
                <w:color w:val="000000"/>
                <w:sz w:val="18"/>
                <w:szCs w:val="18"/>
                <w:highlight w:val="none"/>
                <w:u w:val="none"/>
              </w:rPr>
            </w:pPr>
          </w:p>
        </w:tc>
      </w:tr>
      <w:tr w14:paraId="1F92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505B">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3B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沥青针入度试验器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6F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SYD-2806E</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59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检定</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6BDA">
            <w:pPr>
              <w:jc w:val="center"/>
              <w:rPr>
                <w:rFonts w:hint="eastAsia" w:ascii="宋体" w:hAnsi="宋体" w:eastAsia="宋体" w:cs="宋体"/>
                <w:i w:val="0"/>
                <w:iCs w:val="0"/>
                <w:color w:val="000000"/>
                <w:sz w:val="18"/>
                <w:szCs w:val="18"/>
                <w:highlight w:val="none"/>
                <w:u w:val="none"/>
              </w:rPr>
            </w:pPr>
          </w:p>
        </w:tc>
      </w:tr>
      <w:tr w14:paraId="5864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56E6">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49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多功能循环恒温水浴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40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THD-0506</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70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5B38">
            <w:pPr>
              <w:jc w:val="center"/>
              <w:rPr>
                <w:rFonts w:hint="eastAsia" w:ascii="宋体" w:hAnsi="宋体" w:eastAsia="宋体" w:cs="宋体"/>
                <w:i w:val="0"/>
                <w:iCs w:val="0"/>
                <w:color w:val="000000"/>
                <w:sz w:val="18"/>
                <w:szCs w:val="18"/>
                <w:highlight w:val="none"/>
                <w:u w:val="none"/>
              </w:rPr>
            </w:pPr>
          </w:p>
        </w:tc>
      </w:tr>
      <w:tr w14:paraId="4047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27CD">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97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沥青延伸度测定仪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86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LHSY-1.5B</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22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23E0">
            <w:pPr>
              <w:jc w:val="center"/>
              <w:rPr>
                <w:rFonts w:hint="eastAsia" w:ascii="宋体" w:hAnsi="宋体" w:eastAsia="宋体" w:cs="宋体"/>
                <w:i w:val="0"/>
                <w:iCs w:val="0"/>
                <w:color w:val="000000"/>
                <w:sz w:val="18"/>
                <w:szCs w:val="18"/>
                <w:highlight w:val="none"/>
                <w:u w:val="none"/>
              </w:rPr>
            </w:pPr>
          </w:p>
        </w:tc>
      </w:tr>
      <w:tr w14:paraId="25F2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9FF5">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02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低温试验箱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A6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DW-40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4A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9D31">
            <w:pPr>
              <w:jc w:val="center"/>
              <w:rPr>
                <w:rFonts w:hint="eastAsia" w:ascii="宋体" w:hAnsi="宋体" w:eastAsia="宋体" w:cs="宋体"/>
                <w:i w:val="0"/>
                <w:iCs w:val="0"/>
                <w:color w:val="000000"/>
                <w:sz w:val="18"/>
                <w:szCs w:val="18"/>
                <w:highlight w:val="none"/>
                <w:u w:val="none"/>
              </w:rPr>
            </w:pPr>
          </w:p>
        </w:tc>
      </w:tr>
      <w:tr w14:paraId="5443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0907">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37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沥青旋转薄膜烘箱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92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SMBM-85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4D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0F8E">
            <w:pPr>
              <w:jc w:val="center"/>
              <w:rPr>
                <w:rFonts w:hint="eastAsia" w:ascii="宋体" w:hAnsi="宋体" w:eastAsia="宋体" w:cs="宋体"/>
                <w:i w:val="0"/>
                <w:iCs w:val="0"/>
                <w:color w:val="000000"/>
                <w:sz w:val="18"/>
                <w:szCs w:val="18"/>
                <w:highlight w:val="none"/>
                <w:u w:val="none"/>
              </w:rPr>
            </w:pPr>
          </w:p>
        </w:tc>
      </w:tr>
      <w:tr w14:paraId="6368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C39E">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5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沥青储存稳定性仪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4D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LHWD-Ⅱ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8C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1A7E">
            <w:pPr>
              <w:jc w:val="center"/>
              <w:rPr>
                <w:rFonts w:hint="eastAsia" w:ascii="宋体" w:hAnsi="宋体" w:eastAsia="宋体" w:cs="宋体"/>
                <w:i w:val="0"/>
                <w:iCs w:val="0"/>
                <w:color w:val="000000"/>
                <w:sz w:val="18"/>
                <w:szCs w:val="18"/>
                <w:highlight w:val="none"/>
                <w:u w:val="none"/>
              </w:rPr>
            </w:pPr>
          </w:p>
        </w:tc>
      </w:tr>
      <w:tr w14:paraId="706B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0E33">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BA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沥青恩格拉粘度计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EA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WNE-1C</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B6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A78D">
            <w:pPr>
              <w:jc w:val="center"/>
              <w:rPr>
                <w:rFonts w:hint="eastAsia" w:ascii="宋体" w:hAnsi="宋体" w:eastAsia="宋体" w:cs="宋体"/>
                <w:i w:val="0"/>
                <w:iCs w:val="0"/>
                <w:color w:val="000000"/>
                <w:sz w:val="18"/>
                <w:szCs w:val="18"/>
                <w:highlight w:val="none"/>
                <w:u w:val="none"/>
              </w:rPr>
            </w:pPr>
          </w:p>
        </w:tc>
      </w:tr>
      <w:tr w14:paraId="7BA2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0BB9">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D7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低温溢流水箱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2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LHYL-III型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2A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00B0">
            <w:pPr>
              <w:jc w:val="center"/>
              <w:rPr>
                <w:rFonts w:hint="eastAsia" w:ascii="宋体" w:hAnsi="宋体" w:eastAsia="宋体" w:cs="宋体"/>
                <w:i w:val="0"/>
                <w:iCs w:val="0"/>
                <w:color w:val="000000"/>
                <w:sz w:val="18"/>
                <w:szCs w:val="18"/>
                <w:highlight w:val="none"/>
                <w:u w:val="none"/>
              </w:rPr>
            </w:pPr>
          </w:p>
        </w:tc>
      </w:tr>
      <w:tr w14:paraId="0BC2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ADEC">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92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冻融劈裂夹具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C9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C2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7609">
            <w:pPr>
              <w:jc w:val="center"/>
              <w:rPr>
                <w:rFonts w:hint="eastAsia" w:ascii="宋体" w:hAnsi="宋体" w:eastAsia="宋体" w:cs="宋体"/>
                <w:i w:val="0"/>
                <w:iCs w:val="0"/>
                <w:color w:val="000000"/>
                <w:sz w:val="18"/>
                <w:szCs w:val="18"/>
                <w:highlight w:val="none"/>
                <w:u w:val="none"/>
              </w:rPr>
            </w:pPr>
          </w:p>
        </w:tc>
      </w:tr>
      <w:tr w14:paraId="1001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7564">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D4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沥青比重瓶</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32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A1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BDD2">
            <w:pPr>
              <w:jc w:val="center"/>
              <w:rPr>
                <w:rFonts w:hint="eastAsia" w:ascii="宋体" w:hAnsi="宋体" w:eastAsia="宋体" w:cs="宋体"/>
                <w:i w:val="0"/>
                <w:iCs w:val="0"/>
                <w:color w:val="000000"/>
                <w:sz w:val="18"/>
                <w:szCs w:val="18"/>
                <w:highlight w:val="none"/>
                <w:u w:val="none"/>
              </w:rPr>
            </w:pPr>
          </w:p>
        </w:tc>
      </w:tr>
      <w:tr w14:paraId="45F4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5346">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EB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针入度标准针</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34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38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ADAB">
            <w:pPr>
              <w:jc w:val="center"/>
              <w:rPr>
                <w:rFonts w:hint="eastAsia" w:ascii="宋体" w:hAnsi="宋体" w:eastAsia="宋体" w:cs="宋体"/>
                <w:i w:val="0"/>
                <w:iCs w:val="0"/>
                <w:color w:val="000000"/>
                <w:sz w:val="18"/>
                <w:szCs w:val="18"/>
                <w:highlight w:val="none"/>
                <w:u w:val="none"/>
              </w:rPr>
            </w:pPr>
          </w:p>
        </w:tc>
      </w:tr>
      <w:tr w14:paraId="56B3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7BB4">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D8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沥青延度试模（八字模）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26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E0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564B">
            <w:pPr>
              <w:jc w:val="center"/>
              <w:rPr>
                <w:rFonts w:hint="eastAsia" w:ascii="宋体" w:hAnsi="宋体" w:eastAsia="宋体" w:cs="宋体"/>
                <w:i w:val="0"/>
                <w:iCs w:val="0"/>
                <w:color w:val="000000"/>
                <w:sz w:val="18"/>
                <w:szCs w:val="18"/>
                <w:highlight w:val="none"/>
                <w:u w:val="none"/>
              </w:rPr>
            </w:pPr>
          </w:p>
        </w:tc>
      </w:tr>
      <w:tr w14:paraId="2878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19BD">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01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弹性恢复试模（一字模）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45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C4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6324">
            <w:pPr>
              <w:jc w:val="center"/>
              <w:rPr>
                <w:rFonts w:hint="eastAsia" w:ascii="宋体" w:hAnsi="宋体" w:eastAsia="宋体" w:cs="宋体"/>
                <w:i w:val="0"/>
                <w:iCs w:val="0"/>
                <w:color w:val="000000"/>
                <w:sz w:val="18"/>
                <w:szCs w:val="18"/>
                <w:highlight w:val="none"/>
                <w:u w:val="none"/>
              </w:rPr>
            </w:pPr>
          </w:p>
        </w:tc>
      </w:tr>
      <w:tr w14:paraId="304C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1182">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49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红外测温仪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4E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AR320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B4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A421">
            <w:pPr>
              <w:jc w:val="center"/>
              <w:rPr>
                <w:rFonts w:hint="eastAsia" w:ascii="宋体" w:hAnsi="宋体" w:eastAsia="宋体" w:cs="宋体"/>
                <w:i w:val="0"/>
                <w:iCs w:val="0"/>
                <w:color w:val="000000"/>
                <w:sz w:val="18"/>
                <w:szCs w:val="18"/>
                <w:highlight w:val="none"/>
                <w:u w:val="none"/>
              </w:rPr>
            </w:pPr>
          </w:p>
        </w:tc>
      </w:tr>
      <w:tr w14:paraId="551B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9FB6">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CA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真空减压毛细管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5E6B">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400R/100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BB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B499">
            <w:pPr>
              <w:jc w:val="center"/>
              <w:rPr>
                <w:rFonts w:hint="eastAsia" w:ascii="宋体" w:hAnsi="宋体" w:eastAsia="宋体" w:cs="宋体"/>
                <w:i w:val="0"/>
                <w:iCs w:val="0"/>
                <w:color w:val="000000"/>
                <w:sz w:val="18"/>
                <w:szCs w:val="18"/>
                <w:highlight w:val="none"/>
                <w:u w:val="none"/>
              </w:rPr>
            </w:pPr>
          </w:p>
        </w:tc>
      </w:tr>
      <w:tr w14:paraId="0472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89EA">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9A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标准筛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04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0.6mm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41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2FF6">
            <w:pPr>
              <w:jc w:val="center"/>
              <w:rPr>
                <w:rFonts w:hint="eastAsia" w:ascii="宋体" w:hAnsi="宋体" w:eastAsia="宋体" w:cs="宋体"/>
                <w:i w:val="0"/>
                <w:iCs w:val="0"/>
                <w:color w:val="000000"/>
                <w:sz w:val="18"/>
                <w:szCs w:val="18"/>
                <w:highlight w:val="none"/>
                <w:u w:val="none"/>
              </w:rPr>
            </w:pPr>
          </w:p>
        </w:tc>
      </w:tr>
      <w:tr w14:paraId="6F09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A214">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CC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标准筛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9D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1.18mmm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2C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4112">
            <w:pPr>
              <w:jc w:val="center"/>
              <w:rPr>
                <w:rFonts w:hint="eastAsia" w:ascii="宋体" w:hAnsi="宋体" w:eastAsia="宋体" w:cs="宋体"/>
                <w:i w:val="0"/>
                <w:iCs w:val="0"/>
                <w:color w:val="000000"/>
                <w:sz w:val="18"/>
                <w:szCs w:val="18"/>
                <w:highlight w:val="none"/>
                <w:u w:val="none"/>
              </w:rPr>
            </w:pPr>
          </w:p>
        </w:tc>
      </w:tr>
      <w:tr w14:paraId="7170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3586">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1AAE">
            <w:pPr>
              <w:keepNext w:val="0"/>
              <w:keepLines w:val="0"/>
              <w:widowControl/>
              <w:suppressLineNumbers w:val="0"/>
              <w:jc w:val="center"/>
              <w:textAlignment w:val="center"/>
              <w:rPr>
                <w:rFonts w:hint="eastAsia" w:ascii="宋体" w:hAnsi="宋体" w:eastAsia="宋体" w:cs="宋体"/>
                <w:i w:val="0"/>
                <w:iCs w:val="0"/>
                <w:strike w:val="0"/>
                <w:dstrike w:val="0"/>
                <w:color w:val="000000"/>
                <w:sz w:val="18"/>
                <w:szCs w:val="18"/>
                <w:highlight w:val="none"/>
                <w:u w:val="none"/>
              </w:rPr>
            </w:pPr>
            <w:r>
              <w:rPr>
                <w:rFonts w:hint="eastAsia" w:ascii="宋体" w:hAnsi="宋体" w:eastAsia="宋体" w:cs="宋体"/>
                <w:i w:val="0"/>
                <w:iCs w:val="0"/>
                <w:strike w:val="0"/>
                <w:dstrike w:val="0"/>
                <w:color w:val="000000"/>
                <w:kern w:val="0"/>
                <w:sz w:val="18"/>
                <w:szCs w:val="18"/>
                <w:highlight w:val="none"/>
                <w:u w:val="none"/>
                <w:lang w:val="en-US" w:eastAsia="zh-CN" w:bidi="ar"/>
              </w:rPr>
              <w:t>标准筛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4505">
            <w:pPr>
              <w:keepNext w:val="0"/>
              <w:keepLines w:val="0"/>
              <w:widowControl/>
              <w:suppressLineNumbers w:val="0"/>
              <w:jc w:val="center"/>
              <w:textAlignment w:val="center"/>
              <w:rPr>
                <w:rFonts w:hint="eastAsia" w:ascii="宋体" w:hAnsi="宋体" w:eastAsia="宋体" w:cs="宋体"/>
                <w:i w:val="0"/>
                <w:iCs w:val="0"/>
                <w:strike w:val="0"/>
                <w:dstrike w:val="0"/>
                <w:color w:val="000000"/>
                <w:sz w:val="18"/>
                <w:szCs w:val="18"/>
                <w:highlight w:val="none"/>
                <w:u w:val="none"/>
              </w:rPr>
            </w:pPr>
            <w:r>
              <w:rPr>
                <w:rFonts w:hint="eastAsia" w:ascii="宋体" w:hAnsi="宋体" w:eastAsia="宋体" w:cs="宋体"/>
                <w:i w:val="0"/>
                <w:iCs w:val="0"/>
                <w:strike w:val="0"/>
                <w:dstrike w:val="0"/>
                <w:color w:val="000000"/>
                <w:kern w:val="0"/>
                <w:sz w:val="18"/>
                <w:szCs w:val="18"/>
                <w:highlight w:val="none"/>
                <w:u w:val="none"/>
                <w:lang w:val="en-US" w:eastAsia="zh-CN" w:bidi="ar"/>
              </w:rPr>
              <w:t>1.7mm</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372E">
            <w:pPr>
              <w:keepNext w:val="0"/>
              <w:keepLines w:val="0"/>
              <w:widowControl/>
              <w:suppressLineNumbers w:val="0"/>
              <w:jc w:val="center"/>
              <w:textAlignment w:val="center"/>
              <w:rPr>
                <w:rFonts w:hint="eastAsia" w:ascii="宋体" w:hAnsi="宋体" w:eastAsia="宋体" w:cs="宋体"/>
                <w:i w:val="0"/>
                <w:iCs w:val="0"/>
                <w:strike/>
                <w:dstrike w:val="0"/>
                <w:color w:val="000000"/>
                <w:sz w:val="20"/>
                <w:szCs w:val="20"/>
                <w:highlight w:val="none"/>
                <w:u w:val="none"/>
              </w:rPr>
            </w:pPr>
            <w:r>
              <w:rPr>
                <w:rFonts w:hint="eastAsia" w:ascii="宋体" w:hAnsi="宋体" w:eastAsia="宋体" w:cs="宋体"/>
                <w:i w:val="0"/>
                <w:iCs w:val="0"/>
                <w:strike/>
                <w:dstrike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6299">
            <w:pPr>
              <w:jc w:val="center"/>
              <w:rPr>
                <w:rFonts w:hint="eastAsia" w:ascii="宋体" w:hAnsi="宋体" w:eastAsia="宋体" w:cs="宋体"/>
                <w:i w:val="0"/>
                <w:iCs w:val="0"/>
                <w:color w:val="000000"/>
                <w:sz w:val="18"/>
                <w:szCs w:val="18"/>
                <w:highlight w:val="none"/>
                <w:u w:val="none"/>
              </w:rPr>
            </w:pPr>
          </w:p>
        </w:tc>
      </w:tr>
      <w:tr w14:paraId="448B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AB3C">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B1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插入式数显测温计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72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TM-902C</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AD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9A20">
            <w:pPr>
              <w:jc w:val="center"/>
              <w:rPr>
                <w:rFonts w:hint="eastAsia" w:ascii="宋体" w:hAnsi="宋体" w:eastAsia="宋体" w:cs="宋体"/>
                <w:i w:val="0"/>
                <w:iCs w:val="0"/>
                <w:color w:val="000000"/>
                <w:sz w:val="18"/>
                <w:szCs w:val="18"/>
                <w:highlight w:val="none"/>
                <w:u w:val="none"/>
              </w:rPr>
            </w:pPr>
          </w:p>
        </w:tc>
      </w:tr>
      <w:tr w14:paraId="4E2A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2FB7">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B7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针入度仪试模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5CD6">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DA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7E8A">
            <w:pPr>
              <w:jc w:val="center"/>
              <w:rPr>
                <w:rFonts w:hint="eastAsia" w:ascii="宋体" w:hAnsi="宋体" w:eastAsia="宋体" w:cs="宋体"/>
                <w:i w:val="0"/>
                <w:iCs w:val="0"/>
                <w:color w:val="000000"/>
                <w:sz w:val="18"/>
                <w:szCs w:val="18"/>
                <w:highlight w:val="none"/>
                <w:u w:val="none"/>
              </w:rPr>
            </w:pPr>
          </w:p>
        </w:tc>
      </w:tr>
      <w:tr w14:paraId="13E4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77E6">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7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盛样瓶</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0C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82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D6FA">
            <w:pPr>
              <w:jc w:val="center"/>
              <w:rPr>
                <w:rFonts w:hint="eastAsia" w:ascii="宋体" w:hAnsi="宋体" w:eastAsia="宋体" w:cs="宋体"/>
                <w:i w:val="0"/>
                <w:iCs w:val="0"/>
                <w:color w:val="000000"/>
                <w:sz w:val="18"/>
                <w:szCs w:val="18"/>
                <w:highlight w:val="none"/>
                <w:u w:val="none"/>
              </w:rPr>
            </w:pPr>
          </w:p>
        </w:tc>
      </w:tr>
      <w:tr w14:paraId="77FE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3622">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C3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沥青抽提仪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9B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DLC-3</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A5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47F0">
            <w:pPr>
              <w:jc w:val="center"/>
              <w:rPr>
                <w:rFonts w:hint="eastAsia" w:ascii="宋体" w:hAnsi="宋体" w:eastAsia="宋体" w:cs="宋体"/>
                <w:i w:val="0"/>
                <w:iCs w:val="0"/>
                <w:color w:val="000000"/>
                <w:sz w:val="18"/>
                <w:szCs w:val="18"/>
                <w:highlight w:val="none"/>
                <w:u w:val="none"/>
              </w:rPr>
            </w:pPr>
          </w:p>
        </w:tc>
      </w:tr>
      <w:tr w14:paraId="4221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DCE2">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9D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逆反射标线测量仪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43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FB-94</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CD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AC02">
            <w:pPr>
              <w:jc w:val="center"/>
              <w:rPr>
                <w:rFonts w:hint="eastAsia" w:ascii="宋体" w:hAnsi="宋体" w:eastAsia="宋体" w:cs="宋体"/>
                <w:i w:val="0"/>
                <w:iCs w:val="0"/>
                <w:color w:val="000000"/>
                <w:sz w:val="18"/>
                <w:szCs w:val="18"/>
                <w:highlight w:val="none"/>
                <w:u w:val="none"/>
              </w:rPr>
            </w:pPr>
          </w:p>
        </w:tc>
      </w:tr>
      <w:tr w14:paraId="2F49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D2BF">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lang w:val="en-US" w:eastAsia="zh-CN"/>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1B9B">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逆反射标志测量仪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9B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LA-101C</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B6D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DA92">
            <w:pPr>
              <w:jc w:val="center"/>
              <w:rPr>
                <w:rFonts w:hint="eastAsia" w:ascii="宋体" w:hAnsi="宋体" w:eastAsia="宋体" w:cs="宋体"/>
                <w:i w:val="0"/>
                <w:iCs w:val="0"/>
                <w:color w:val="000000"/>
                <w:sz w:val="18"/>
                <w:szCs w:val="18"/>
                <w:highlight w:val="none"/>
                <w:u w:val="none"/>
              </w:rPr>
            </w:pPr>
          </w:p>
        </w:tc>
      </w:tr>
      <w:tr w14:paraId="31DA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CCC7">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rPr>
            </w:pP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36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标线测厚仪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59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ZMM5000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60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校准</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87A7">
            <w:pPr>
              <w:jc w:val="center"/>
              <w:rPr>
                <w:rFonts w:hint="eastAsia" w:ascii="宋体" w:hAnsi="宋体" w:eastAsia="宋体" w:cs="宋体"/>
                <w:i w:val="0"/>
                <w:iCs w:val="0"/>
                <w:color w:val="000000"/>
                <w:sz w:val="18"/>
                <w:szCs w:val="18"/>
                <w:highlight w:val="none"/>
                <w:u w:val="none"/>
              </w:rPr>
            </w:pPr>
          </w:p>
        </w:tc>
      </w:tr>
      <w:tr w14:paraId="51D3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6368">
            <w:pPr>
              <w:keepNext w:val="0"/>
              <w:keepLines w:val="0"/>
              <w:widowControl/>
              <w:numPr>
                <w:ilvl w:val="0"/>
                <w:numId w:val="10"/>
              </w:numPr>
              <w:suppressLineNumbers w:val="0"/>
              <w:ind w:left="454" w:leftChars="0" w:hanging="454" w:firstLineChars="0"/>
              <w:jc w:val="center"/>
              <w:textAlignment w:val="center"/>
              <w:rPr>
                <w:rFonts w:hint="default" w:ascii="宋体" w:hAnsi="宋体" w:eastAsia="宋体" w:cs="宋体"/>
                <w:i w:val="0"/>
                <w:iCs w:val="0"/>
                <w:color w:val="000000"/>
                <w:sz w:val="18"/>
                <w:szCs w:val="18"/>
                <w:u w:val="none"/>
                <w:lang w:val="en-US" w:eastAsia="zh-CN"/>
              </w:rPr>
            </w:pPr>
          </w:p>
        </w:tc>
        <w:tc>
          <w:tcPr>
            <w:tcW w:w="6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10A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b/>
                <w:bCs/>
                <w:i w:val="0"/>
                <w:iCs w:val="0"/>
                <w:color w:val="000000"/>
                <w:kern w:val="0"/>
                <w:sz w:val="20"/>
                <w:szCs w:val="20"/>
                <w:u w:val="none"/>
                <w:lang w:val="en-US" w:eastAsia="zh-CN" w:bidi="ar"/>
              </w:rPr>
              <w:t>省内路面设备限价（元/年）</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B2078">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6000.00</w:t>
            </w:r>
          </w:p>
        </w:tc>
      </w:tr>
      <w:tr w14:paraId="6702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4E43">
            <w:pPr>
              <w:keepNext w:val="0"/>
              <w:keepLines w:val="0"/>
              <w:widowControl/>
              <w:numPr>
                <w:ilvl w:val="0"/>
                <w:numId w:val="10"/>
              </w:numPr>
              <w:suppressLineNumbers w:val="0"/>
              <w:ind w:left="454" w:leftChars="0" w:hanging="454" w:firstLineChars="0"/>
              <w:jc w:val="center"/>
              <w:textAlignment w:val="center"/>
              <w:rPr>
                <w:rFonts w:hint="eastAsia" w:ascii="宋体" w:hAnsi="宋体" w:eastAsia="宋体" w:cs="宋体"/>
                <w:i w:val="0"/>
                <w:iCs w:val="0"/>
                <w:color w:val="000000"/>
                <w:sz w:val="18"/>
                <w:szCs w:val="18"/>
                <w:u w:val="none"/>
                <w:lang w:val="en-US" w:eastAsia="zh-CN"/>
              </w:rPr>
            </w:pPr>
          </w:p>
        </w:tc>
        <w:tc>
          <w:tcPr>
            <w:tcW w:w="6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68D5E">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0"/>
                <w:szCs w:val="20"/>
                <w:u w:val="none"/>
                <w:lang w:val="en-US" w:eastAsia="zh-CN" w:bidi="ar"/>
              </w:rPr>
            </w:pPr>
            <w:r>
              <w:rPr>
                <w:rFonts w:hint="eastAsia" w:ascii="Times New Roman" w:hAnsi="Times New Roman" w:eastAsia="宋体" w:cs="Times New Roman"/>
                <w:b/>
                <w:bCs/>
                <w:i w:val="0"/>
                <w:iCs w:val="0"/>
                <w:color w:val="000000"/>
                <w:kern w:val="0"/>
                <w:sz w:val="20"/>
                <w:szCs w:val="20"/>
                <w:u w:val="none"/>
                <w:lang w:val="en-US" w:eastAsia="zh-CN" w:bidi="ar"/>
              </w:rPr>
              <w:t>省外路面设备限价（元/年）</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72BC2">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8000.00</w:t>
            </w:r>
          </w:p>
        </w:tc>
      </w:tr>
    </w:tbl>
    <w:p w14:paraId="62CCD3B3">
      <w:pPr>
        <w:ind w:firstLine="432"/>
        <w:jc w:val="left"/>
        <w:rPr>
          <w:rFonts w:hint="default" w:ascii="Times New Roman" w:hAnsi="Times New Roman" w:eastAsia="宋体"/>
          <w:sz w:val="24"/>
          <w:szCs w:val="24"/>
          <w:lang w:val="en-US" w:eastAsia="zh-CN"/>
        </w:rPr>
      </w:pPr>
    </w:p>
    <w:p w14:paraId="4EF53B5F">
      <w:pPr>
        <w:pStyle w:val="19"/>
        <w:ind w:firstLine="420"/>
        <w:rPr>
          <w:color w:val="auto"/>
        </w:rPr>
      </w:pPr>
    </w:p>
    <w:p w14:paraId="45C6137B">
      <w:pPr>
        <w:pStyle w:val="19"/>
        <w:ind w:left="0" w:leftChars="0" w:firstLine="0" w:firstLineChars="0"/>
        <w:jc w:val="left"/>
        <w:rPr>
          <w:color w:val="auto"/>
        </w:rPr>
        <w:sectPr>
          <w:footerReference r:id="rId4" w:type="default"/>
          <w:footnotePr>
            <w:numFmt w:val="decimalEnclosedCircleChinese"/>
          </w:footnotePr>
          <w:pgSz w:w="11905" w:h="16838"/>
          <w:pgMar w:top="1440" w:right="1417" w:bottom="1440" w:left="1417" w:header="850" w:footer="992" w:gutter="0"/>
          <w:cols w:space="0" w:num="1"/>
          <w:docGrid w:type="lines" w:linePitch="317" w:charSpace="0"/>
        </w:sectPr>
      </w:pPr>
    </w:p>
    <w:bookmarkEnd w:id="121"/>
    <w:bookmarkEnd w:id="122"/>
    <w:p w14:paraId="164AAFD8">
      <w:pPr>
        <w:pStyle w:val="4"/>
        <w:numPr>
          <w:ilvl w:val="0"/>
          <w:numId w:val="0"/>
        </w:numPr>
        <w:spacing w:before="317" w:after="317"/>
        <w:rPr>
          <w:rFonts w:ascii="Times New Roman" w:hAnsi="Times New Roman" w:eastAsia="宋体" w:cs="Times New Roman"/>
          <w:color w:val="auto"/>
        </w:rPr>
      </w:pPr>
      <w:bookmarkStart w:id="123" w:name="_Toc267"/>
    </w:p>
    <w:p w14:paraId="0E2C0444">
      <w:pPr>
        <w:pStyle w:val="4"/>
        <w:numPr>
          <w:ilvl w:val="0"/>
          <w:numId w:val="0"/>
        </w:numPr>
        <w:spacing w:before="317" w:after="317"/>
        <w:rPr>
          <w:rFonts w:ascii="Times New Roman" w:hAnsi="Times New Roman" w:eastAsia="宋体" w:cs="Times New Roman"/>
          <w:color w:val="auto"/>
        </w:rPr>
      </w:pPr>
    </w:p>
    <w:p w14:paraId="598FCAFD">
      <w:pPr>
        <w:pStyle w:val="4"/>
        <w:numPr>
          <w:ilvl w:val="0"/>
          <w:numId w:val="0"/>
        </w:numPr>
        <w:spacing w:before="317" w:after="317"/>
        <w:rPr>
          <w:rFonts w:ascii="Times New Roman" w:hAnsi="Times New Roman" w:eastAsia="宋体" w:cs="Times New Roman"/>
          <w:color w:val="auto"/>
        </w:rPr>
      </w:pPr>
    </w:p>
    <w:p w14:paraId="19124A35">
      <w:pPr>
        <w:pStyle w:val="4"/>
        <w:numPr>
          <w:ilvl w:val="0"/>
          <w:numId w:val="0"/>
        </w:numPr>
        <w:spacing w:before="317" w:after="317"/>
        <w:rPr>
          <w:rFonts w:ascii="Times New Roman" w:hAnsi="Times New Roman" w:eastAsia="宋体" w:cs="Times New Roman"/>
          <w:color w:val="auto"/>
        </w:rPr>
      </w:pPr>
    </w:p>
    <w:p w14:paraId="047D0E0E">
      <w:pPr>
        <w:pStyle w:val="4"/>
        <w:numPr>
          <w:ilvl w:val="0"/>
          <w:numId w:val="0"/>
        </w:numPr>
        <w:spacing w:before="317" w:after="317"/>
        <w:rPr>
          <w:rFonts w:ascii="Times New Roman" w:hAnsi="Times New Roman" w:eastAsia="宋体" w:cs="Times New Roman"/>
          <w:color w:val="auto"/>
        </w:rPr>
      </w:pPr>
      <w:r>
        <w:rPr>
          <w:rFonts w:hint="eastAsia" w:ascii="Times New Roman" w:hAnsi="Times New Roman" w:eastAsia="宋体" w:cs="Times New Roman"/>
          <w:color w:val="auto"/>
        </w:rPr>
        <w:t xml:space="preserve">第六章 </w:t>
      </w:r>
      <w:r>
        <w:rPr>
          <w:rFonts w:ascii="Times New Roman" w:hAnsi="Times New Roman" w:eastAsia="宋体" w:cs="Times New Roman"/>
          <w:color w:val="auto"/>
        </w:rPr>
        <w:t>响应文件格式</w:t>
      </w:r>
      <w:bookmarkEnd w:id="123"/>
    </w:p>
    <w:p w14:paraId="4A9993DF">
      <w:pPr>
        <w:spacing w:line="440" w:lineRule="exact"/>
        <w:ind w:firstLine="10080" w:firstLineChars="2800"/>
        <w:jc w:val="right"/>
        <w:rPr>
          <w:rFonts w:ascii="Times New Roman" w:hAnsi="Times New Roman" w:eastAsia="黑体" w:cs="Times New Roman"/>
          <w:color w:val="auto"/>
          <w:sz w:val="36"/>
          <w:szCs w:val="36"/>
        </w:rPr>
      </w:pPr>
      <w:bookmarkStart w:id="124" w:name="_Toc22351_WPSOffice_Level2"/>
      <w:bookmarkStart w:id="125" w:name="_Toc21974_WPSOffice_Level2"/>
    </w:p>
    <w:p w14:paraId="100E5242">
      <w:pPr>
        <w:spacing w:line="440" w:lineRule="exact"/>
        <w:jc w:val="center"/>
        <w:rPr>
          <w:rFonts w:ascii="Times New Roman" w:hAnsi="Times New Roman" w:eastAsia="黑体" w:cs="Times New Roman"/>
          <w:color w:val="auto"/>
          <w:sz w:val="36"/>
          <w:szCs w:val="36"/>
        </w:rPr>
      </w:pPr>
    </w:p>
    <w:p w14:paraId="52791940">
      <w:pPr>
        <w:pStyle w:val="2"/>
        <w:rPr>
          <w:color w:val="auto"/>
        </w:rPr>
      </w:pPr>
    </w:p>
    <w:p w14:paraId="7DF5D666">
      <w:pPr>
        <w:rPr>
          <w:rFonts w:ascii="黑体" w:hAnsi="黑体" w:eastAsia="黑体" w:cs="黑体"/>
          <w:color w:val="auto"/>
          <w:sz w:val="44"/>
          <w:szCs w:val="44"/>
        </w:rPr>
      </w:pPr>
      <w:r>
        <w:rPr>
          <w:rFonts w:hint="eastAsia" w:ascii="黑体" w:hAnsi="黑体" w:eastAsia="黑体" w:cs="黑体"/>
          <w:color w:val="auto"/>
          <w:sz w:val="44"/>
          <w:szCs w:val="44"/>
        </w:rPr>
        <w:br w:type="page"/>
      </w:r>
    </w:p>
    <w:p w14:paraId="2B345E12">
      <w:pPr>
        <w:spacing w:line="480" w:lineRule="auto"/>
        <w:jc w:val="center"/>
        <w:rPr>
          <w:rFonts w:ascii="黑体" w:hAnsi="黑体" w:eastAsia="黑体" w:cs="黑体"/>
          <w:color w:val="auto"/>
          <w:sz w:val="44"/>
          <w:szCs w:val="44"/>
        </w:rPr>
      </w:pPr>
    </w:p>
    <w:p w14:paraId="17DBDB9B">
      <w:pPr>
        <w:spacing w:line="480" w:lineRule="auto"/>
        <w:jc w:val="center"/>
        <w:rPr>
          <w:rFonts w:ascii="黑体" w:hAnsi="黑体" w:eastAsia="黑体" w:cs="黑体"/>
          <w:color w:val="auto"/>
          <w:sz w:val="44"/>
          <w:szCs w:val="44"/>
        </w:rPr>
      </w:pPr>
      <w:r>
        <w:rPr>
          <w:rFonts w:hint="eastAsia" w:ascii="黑体" w:hAnsi="黑体" w:eastAsia="黑体" w:cs="黑体"/>
          <w:color w:val="auto"/>
          <w:sz w:val="44"/>
          <w:szCs w:val="44"/>
        </w:rPr>
        <w:t>2025~2027年度工地试验室试验仪器设备检定/校准服务量值溯源机构定点库采购</w:t>
      </w:r>
    </w:p>
    <w:p w14:paraId="719DA16F">
      <w:pPr>
        <w:jc w:val="center"/>
        <w:rPr>
          <w:rFonts w:ascii="Times New Roman" w:hAnsi="Times New Roman" w:eastAsia="黑体" w:cs="Times New Roman"/>
          <w:color w:val="auto"/>
          <w:sz w:val="50"/>
          <w:szCs w:val="50"/>
        </w:rPr>
      </w:pPr>
    </w:p>
    <w:p w14:paraId="2F63E5D2">
      <w:pPr>
        <w:spacing w:line="440" w:lineRule="exact"/>
        <w:jc w:val="right"/>
        <w:rPr>
          <w:rFonts w:ascii="Times New Roman" w:hAnsi="Times New Roman" w:eastAsia="黑体" w:cs="Times New Roman"/>
          <w:color w:val="auto"/>
          <w:sz w:val="36"/>
          <w:szCs w:val="36"/>
        </w:rPr>
      </w:pPr>
    </w:p>
    <w:p w14:paraId="4FF1EDC2">
      <w:pPr>
        <w:spacing w:line="440" w:lineRule="exact"/>
        <w:rPr>
          <w:rFonts w:ascii="Times New Roman" w:hAnsi="Times New Roman" w:eastAsia="黑体" w:cs="Times New Roman"/>
          <w:color w:val="auto"/>
          <w:sz w:val="40"/>
          <w:szCs w:val="40"/>
        </w:rPr>
      </w:pPr>
    </w:p>
    <w:p w14:paraId="17FC2CC5">
      <w:pPr>
        <w:jc w:val="center"/>
        <w:outlineLvl w:val="0"/>
        <w:rPr>
          <w:rFonts w:ascii="Times New Roman" w:hAnsi="Times New Roman" w:eastAsia="黑体" w:cs="Times New Roman"/>
          <w:color w:val="auto"/>
          <w:sz w:val="50"/>
          <w:szCs w:val="50"/>
        </w:rPr>
      </w:pPr>
      <w:bookmarkStart w:id="126" w:name="_Toc13958"/>
      <w:r>
        <w:rPr>
          <w:rFonts w:hint="eastAsia" w:ascii="Times New Roman" w:hAnsi="Times New Roman" w:eastAsia="黑体" w:cs="Times New Roman"/>
          <w:color w:val="auto"/>
          <w:sz w:val="50"/>
          <w:szCs w:val="50"/>
        </w:rPr>
        <w:t>响应文件</w:t>
      </w:r>
      <w:bookmarkEnd w:id="126"/>
    </w:p>
    <w:p w14:paraId="74229D42">
      <w:pPr>
        <w:spacing w:line="440" w:lineRule="exact"/>
        <w:jc w:val="center"/>
        <w:rPr>
          <w:rFonts w:ascii="Times New Roman" w:hAnsi="Times New Roman" w:eastAsia="黑体" w:cs="Times New Roman"/>
          <w:color w:val="auto"/>
          <w:sz w:val="40"/>
          <w:szCs w:val="40"/>
        </w:rPr>
      </w:pPr>
    </w:p>
    <w:p w14:paraId="6364A921">
      <w:pPr>
        <w:spacing w:line="440" w:lineRule="exact"/>
        <w:jc w:val="center"/>
        <w:rPr>
          <w:rFonts w:ascii="Times New Roman" w:hAnsi="Times New Roman" w:eastAsia="黑体" w:cs="Times New Roman"/>
          <w:color w:val="auto"/>
          <w:sz w:val="40"/>
          <w:szCs w:val="40"/>
        </w:rPr>
      </w:pPr>
    </w:p>
    <w:p w14:paraId="1D628183">
      <w:pPr>
        <w:pStyle w:val="3"/>
        <w:outlineLvl w:val="9"/>
        <w:rPr>
          <w:color w:val="auto"/>
        </w:rPr>
      </w:pPr>
    </w:p>
    <w:p w14:paraId="5EAEDBC7">
      <w:pPr>
        <w:rPr>
          <w:color w:val="auto"/>
        </w:rPr>
      </w:pPr>
    </w:p>
    <w:p w14:paraId="679C0FB4">
      <w:pPr>
        <w:pStyle w:val="2"/>
        <w:rPr>
          <w:color w:val="auto"/>
        </w:rPr>
      </w:pPr>
    </w:p>
    <w:p w14:paraId="4EB7A2E3">
      <w:pPr>
        <w:pStyle w:val="3"/>
        <w:outlineLvl w:val="9"/>
        <w:rPr>
          <w:color w:val="auto"/>
        </w:rPr>
      </w:pPr>
    </w:p>
    <w:p w14:paraId="5B72AAF2">
      <w:pPr>
        <w:rPr>
          <w:color w:val="auto"/>
        </w:rPr>
      </w:pPr>
    </w:p>
    <w:p w14:paraId="7998F306">
      <w:pPr>
        <w:pStyle w:val="2"/>
        <w:rPr>
          <w:color w:val="auto"/>
        </w:rPr>
      </w:pPr>
    </w:p>
    <w:p w14:paraId="61781B47">
      <w:pPr>
        <w:spacing w:line="440" w:lineRule="exact"/>
        <w:jc w:val="center"/>
        <w:rPr>
          <w:rFonts w:ascii="Times New Roman" w:hAnsi="Times New Roman" w:eastAsia="黑体" w:cs="Times New Roman"/>
          <w:color w:val="auto"/>
          <w:sz w:val="40"/>
          <w:szCs w:val="40"/>
        </w:rPr>
      </w:pPr>
    </w:p>
    <w:p w14:paraId="3E4B0F69">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p>
    <w:p w14:paraId="232EDBD1">
      <w:pPr>
        <w:spacing w:line="440" w:lineRule="exact"/>
        <w:ind w:firstLine="2158" w:firstLineChars="771"/>
        <w:jc w:val="center"/>
        <w:rPr>
          <w:rFonts w:ascii="Times New Roman" w:hAnsi="Times New Roman" w:eastAsia="黑体" w:cs="Times New Roman"/>
          <w:color w:val="auto"/>
          <w:sz w:val="28"/>
          <w:szCs w:val="28"/>
        </w:rPr>
      </w:pPr>
    </w:p>
    <w:p w14:paraId="6CED13F0">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年</w:t>
      </w:r>
      <w:r>
        <w:rPr>
          <w:rFonts w:hint="eastAsia" w:ascii="Times New Roman" w:hAnsi="Times New Roman" w:eastAsia="黑体" w:cs="Times New Roman"/>
          <w:color w:val="auto"/>
          <w:sz w:val="28"/>
          <w:szCs w:val="28"/>
        </w:rPr>
        <w:t xml:space="preserve">  </w:t>
      </w:r>
      <w:r>
        <w:rPr>
          <w:rFonts w:ascii="Times New Roman" w:hAnsi="Times New Roman" w:eastAsia="黑体" w:cs="Times New Roman"/>
          <w:color w:val="auto"/>
          <w:sz w:val="28"/>
          <w:szCs w:val="28"/>
        </w:rPr>
        <w:t>月</w:t>
      </w:r>
      <w:r>
        <w:rPr>
          <w:rFonts w:hint="eastAsia" w:ascii="Times New Roman" w:hAnsi="Times New Roman" w:eastAsia="黑体" w:cs="Times New Roman"/>
          <w:color w:val="auto"/>
          <w:sz w:val="28"/>
          <w:szCs w:val="28"/>
        </w:rPr>
        <w:t xml:space="preserve">   </w:t>
      </w:r>
      <w:r>
        <w:rPr>
          <w:rFonts w:ascii="Times New Roman" w:hAnsi="Times New Roman" w:eastAsia="黑体" w:cs="Times New Roman"/>
          <w:color w:val="auto"/>
          <w:sz w:val="28"/>
          <w:szCs w:val="28"/>
        </w:rPr>
        <w:t>日</w:t>
      </w:r>
    </w:p>
    <w:p w14:paraId="380275DD">
      <w:pPr>
        <w:spacing w:line="440" w:lineRule="exact"/>
        <w:rPr>
          <w:rFonts w:ascii="Times New Roman" w:hAnsi="Times New Roman" w:eastAsia="黑体" w:cs="Times New Roman"/>
          <w:color w:val="auto"/>
          <w:sz w:val="20"/>
          <w:szCs w:val="20"/>
        </w:rPr>
      </w:pPr>
    </w:p>
    <w:p w14:paraId="13C89701">
      <w:pPr>
        <w:pStyle w:val="19"/>
        <w:ind w:firstLine="400"/>
        <w:rPr>
          <w:rFonts w:ascii="Times New Roman" w:hAnsi="Times New Roman" w:eastAsia="黑体" w:cs="Times New Roman"/>
          <w:color w:val="auto"/>
          <w:sz w:val="20"/>
          <w:szCs w:val="20"/>
        </w:rPr>
      </w:pPr>
    </w:p>
    <w:p w14:paraId="505DEB2E">
      <w:pPr>
        <w:rPr>
          <w:color w:val="auto"/>
        </w:rPr>
      </w:pPr>
    </w:p>
    <w:p w14:paraId="19108A80">
      <w:pPr>
        <w:spacing w:line="440" w:lineRule="exact"/>
        <w:rPr>
          <w:rFonts w:ascii="Times New Roman" w:hAnsi="Times New Roman" w:eastAsia="黑体" w:cs="Times New Roman"/>
          <w:color w:val="auto"/>
          <w:sz w:val="20"/>
          <w:szCs w:val="20"/>
        </w:rPr>
      </w:pPr>
    </w:p>
    <w:bookmarkEnd w:id="124"/>
    <w:bookmarkEnd w:id="125"/>
    <w:p w14:paraId="1B814FEE">
      <w:pPr>
        <w:rPr>
          <w:b/>
          <w:bCs/>
          <w:color w:val="auto"/>
          <w:sz w:val="44"/>
          <w:szCs w:val="44"/>
        </w:rPr>
      </w:pPr>
      <w:bookmarkStart w:id="127" w:name="_Toc28880"/>
      <w:bookmarkStart w:id="128" w:name="_Toc19649"/>
      <w:r>
        <w:rPr>
          <w:b/>
          <w:bCs/>
          <w:color w:val="auto"/>
          <w:sz w:val="44"/>
          <w:szCs w:val="44"/>
        </w:rPr>
        <w:br w:type="page"/>
      </w:r>
    </w:p>
    <w:p w14:paraId="73B35155">
      <w:pPr>
        <w:adjustRightInd w:val="0"/>
        <w:snapToGrid w:val="0"/>
        <w:jc w:val="center"/>
        <w:outlineLvl w:val="2"/>
        <w:rPr>
          <w:b/>
          <w:bCs/>
          <w:color w:val="auto"/>
          <w:sz w:val="44"/>
          <w:szCs w:val="44"/>
        </w:rPr>
      </w:pPr>
      <w:r>
        <w:rPr>
          <w:b/>
          <w:bCs/>
          <w:color w:val="auto"/>
          <w:sz w:val="44"/>
          <w:szCs w:val="44"/>
        </w:rPr>
        <w:t>目  录</w:t>
      </w:r>
    </w:p>
    <w:p w14:paraId="7BE30C32">
      <w:pPr>
        <w:adjustRightInd w:val="0"/>
        <w:snapToGrid w:val="0"/>
        <w:jc w:val="center"/>
        <w:rPr>
          <w:color w:val="auto"/>
          <w:sz w:val="44"/>
          <w:szCs w:val="44"/>
        </w:rPr>
      </w:pPr>
      <w:r>
        <w:rPr>
          <w:color w:val="auto"/>
          <w:sz w:val="32"/>
          <w:szCs w:val="32"/>
        </w:rPr>
        <w:t>（请注明页码）</w:t>
      </w:r>
    </w:p>
    <w:p w14:paraId="415AB886">
      <w:pPr>
        <w:adjustRightInd w:val="0"/>
        <w:snapToGrid w:val="0"/>
        <w:rPr>
          <w:color w:val="auto"/>
          <w:szCs w:val="21"/>
        </w:rPr>
      </w:pPr>
    </w:p>
    <w:p w14:paraId="39A844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cs="Times New Roman"/>
          <w:color w:val="auto"/>
          <w:sz w:val="28"/>
          <w:szCs w:val="28"/>
        </w:rPr>
      </w:pPr>
      <w:bookmarkStart w:id="129" w:name="_Toc153421232"/>
      <w:r>
        <w:rPr>
          <w:rFonts w:hint="eastAsia" w:ascii="Times New Roman" w:hAnsi="Times New Roman" w:cs="Times New Roman"/>
          <w:color w:val="auto"/>
          <w:sz w:val="28"/>
          <w:szCs w:val="28"/>
          <w:lang w:val="en-US" w:eastAsia="zh-CN"/>
        </w:rPr>
        <w:t>一、</w:t>
      </w:r>
      <w:r>
        <w:rPr>
          <w:rFonts w:hint="eastAsia" w:ascii="Times New Roman" w:hAnsi="Times New Roman" w:cs="Times New Roman"/>
          <w:color w:val="auto"/>
          <w:sz w:val="28"/>
          <w:szCs w:val="28"/>
        </w:rPr>
        <w:t>响应</w:t>
      </w:r>
      <w:r>
        <w:rPr>
          <w:rFonts w:ascii="Times New Roman" w:hAnsi="Times New Roman" w:cs="Times New Roman"/>
          <w:color w:val="auto"/>
          <w:sz w:val="28"/>
          <w:szCs w:val="28"/>
        </w:rPr>
        <w:t>函</w:t>
      </w:r>
      <w:r>
        <w:rPr>
          <w:rFonts w:hint="eastAsia" w:ascii="Times New Roman" w:hAnsi="Times New Roman" w:cs="Times New Roman"/>
          <w:color w:val="auto"/>
          <w:sz w:val="28"/>
          <w:szCs w:val="28"/>
        </w:rPr>
        <w:t>；</w:t>
      </w:r>
    </w:p>
    <w:p w14:paraId="7D5447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二、</w:t>
      </w:r>
      <w:r>
        <w:rPr>
          <w:rFonts w:ascii="Times New Roman" w:hAnsi="Times New Roman" w:cs="Times New Roman"/>
          <w:color w:val="auto"/>
          <w:sz w:val="28"/>
          <w:szCs w:val="28"/>
        </w:rPr>
        <w:t>法定代表人身份证明</w:t>
      </w:r>
      <w:r>
        <w:rPr>
          <w:rFonts w:hint="eastAsia" w:ascii="Times New Roman" w:hAnsi="Times New Roman" w:cs="Times New Roman"/>
          <w:color w:val="auto"/>
          <w:sz w:val="28"/>
          <w:szCs w:val="28"/>
        </w:rPr>
        <w:t>；</w:t>
      </w:r>
    </w:p>
    <w:p w14:paraId="6467E2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color w:val="auto"/>
          <w:sz w:val="28"/>
          <w:szCs w:val="28"/>
          <w:lang w:eastAsia="zh-CN"/>
        </w:rPr>
      </w:pPr>
      <w:r>
        <w:rPr>
          <w:rFonts w:hint="eastAsia" w:ascii="Times New Roman" w:hAnsi="Times New Roman" w:cs="Times New Roman"/>
          <w:color w:val="auto"/>
          <w:sz w:val="28"/>
          <w:szCs w:val="28"/>
          <w:lang w:val="en-US" w:eastAsia="zh-CN"/>
        </w:rPr>
        <w:t>三、</w:t>
      </w:r>
      <w:r>
        <w:rPr>
          <w:rFonts w:ascii="Times New Roman" w:hAnsi="Times New Roman" w:cs="Times New Roman"/>
          <w:color w:val="auto"/>
          <w:sz w:val="28"/>
          <w:szCs w:val="28"/>
        </w:rPr>
        <w:t>授权委托书</w:t>
      </w:r>
      <w:r>
        <w:rPr>
          <w:rFonts w:hint="eastAsia" w:ascii="Times New Roman" w:hAnsi="Times New Roman" w:cs="Times New Roman"/>
          <w:color w:val="auto"/>
          <w:sz w:val="28"/>
          <w:szCs w:val="28"/>
          <w:lang w:eastAsia="zh-CN"/>
        </w:rPr>
        <w:t>；</w:t>
      </w:r>
    </w:p>
    <w:p w14:paraId="7EE5F1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四、</w:t>
      </w:r>
      <w:r>
        <w:rPr>
          <w:rFonts w:ascii="Times New Roman" w:hAnsi="Times New Roman" w:cs="Times New Roman"/>
          <w:color w:val="auto"/>
          <w:sz w:val="28"/>
          <w:szCs w:val="28"/>
        </w:rPr>
        <w:t>资格证明材料</w:t>
      </w:r>
      <w:r>
        <w:rPr>
          <w:rFonts w:hint="eastAsia" w:ascii="Times New Roman" w:hAnsi="Times New Roman" w:cs="Times New Roman"/>
          <w:color w:val="auto"/>
          <w:sz w:val="28"/>
          <w:szCs w:val="28"/>
        </w:rPr>
        <w:t>；</w:t>
      </w:r>
    </w:p>
    <w:p w14:paraId="6E0B6A0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五、</w:t>
      </w:r>
      <w:r>
        <w:rPr>
          <w:rFonts w:hint="eastAsia" w:ascii="Times New Roman" w:hAnsi="Times New Roman" w:cs="Times New Roman"/>
          <w:color w:val="auto"/>
          <w:sz w:val="28"/>
          <w:szCs w:val="28"/>
        </w:rPr>
        <w:t>服务方案；</w:t>
      </w:r>
    </w:p>
    <w:p w14:paraId="2C9419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六、</w:t>
      </w:r>
      <w:r>
        <w:rPr>
          <w:rFonts w:hint="eastAsia" w:ascii="Times New Roman" w:hAnsi="Times New Roman" w:cs="Times New Roman"/>
          <w:color w:val="auto"/>
          <w:sz w:val="28"/>
          <w:szCs w:val="28"/>
        </w:rPr>
        <w:t>其他材料。</w:t>
      </w:r>
    </w:p>
    <w:p w14:paraId="3B093F4C">
      <w:pPr>
        <w:pStyle w:val="6"/>
        <w:tabs>
          <w:tab w:val="left" w:pos="0"/>
          <w:tab w:val="left" w:pos="720"/>
        </w:tabs>
        <w:adjustRightInd w:val="0"/>
        <w:snapToGrid w:val="0"/>
        <w:spacing w:before="0" w:after="0" w:line="240" w:lineRule="auto"/>
        <w:ind w:hanging="720"/>
        <w:jc w:val="center"/>
        <w:rPr>
          <w:rFonts w:ascii="Times New Roman"/>
          <w:color w:val="auto"/>
        </w:rPr>
      </w:pPr>
    </w:p>
    <w:p w14:paraId="2BC93407">
      <w:pPr>
        <w:adjustRightInd w:val="0"/>
        <w:snapToGrid w:val="0"/>
        <w:jc w:val="center"/>
        <w:outlineLvl w:val="1"/>
        <w:rPr>
          <w:b/>
          <w:color w:val="auto"/>
        </w:rPr>
      </w:pPr>
      <w:bookmarkStart w:id="130" w:name="_Toc272486054"/>
      <w:bookmarkStart w:id="131" w:name="_Toc162490444"/>
      <w:r>
        <w:rPr>
          <w:color w:val="auto"/>
        </w:rPr>
        <w:br w:type="page"/>
      </w:r>
      <w:bookmarkEnd w:id="129"/>
      <w:bookmarkEnd w:id="130"/>
      <w:bookmarkEnd w:id="131"/>
      <w:r>
        <w:rPr>
          <w:b/>
          <w:color w:val="auto"/>
          <w:sz w:val="24"/>
        </w:rPr>
        <w:t>一、</w:t>
      </w:r>
      <w:r>
        <w:rPr>
          <w:rFonts w:hint="eastAsia"/>
          <w:b/>
          <w:color w:val="auto"/>
          <w:sz w:val="24"/>
        </w:rPr>
        <w:t>响应</w:t>
      </w:r>
      <w:r>
        <w:rPr>
          <w:b/>
          <w:color w:val="auto"/>
          <w:sz w:val="24"/>
        </w:rPr>
        <w:t>函</w:t>
      </w:r>
    </w:p>
    <w:p w14:paraId="34919567">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rPr>
      </w:pPr>
      <w:r>
        <w:rPr>
          <w:color w:val="auto"/>
          <w:sz w:val="24"/>
        </w:rPr>
        <w:t>（</w:t>
      </w:r>
      <w:r>
        <w:rPr>
          <w:rFonts w:hint="eastAsia"/>
          <w:color w:val="auto"/>
          <w:sz w:val="24"/>
          <w:lang w:val="en-US" w:eastAsia="zh-CN"/>
        </w:rPr>
        <w:t>采购</w:t>
      </w:r>
      <w:r>
        <w:rPr>
          <w:color w:val="auto"/>
          <w:sz w:val="24"/>
        </w:rPr>
        <w:t>人名称）</w:t>
      </w:r>
      <w:r>
        <w:rPr>
          <w:rFonts w:hint="eastAsia"/>
          <w:color w:val="auto"/>
          <w:sz w:val="24"/>
          <w:u w:val="single"/>
          <w:lang w:val="en-US" w:eastAsia="zh-CN"/>
        </w:rPr>
        <w:t xml:space="preserve">          </w:t>
      </w:r>
      <w:r>
        <w:rPr>
          <w:color w:val="auto"/>
          <w:sz w:val="24"/>
        </w:rPr>
        <w:t>：</w:t>
      </w:r>
    </w:p>
    <w:p w14:paraId="1B90BB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u w:val="single"/>
        </w:rPr>
      </w:pPr>
      <w:r>
        <w:rPr>
          <w:color w:val="auto"/>
          <w:sz w:val="24"/>
        </w:rPr>
        <w:t>1、我方已仔细研究了</w:t>
      </w:r>
      <w:r>
        <w:rPr>
          <w:rFonts w:hint="eastAsia"/>
          <w:color w:val="auto"/>
          <w:sz w:val="24"/>
          <w:u w:val="single"/>
          <w:lang w:val="en-US" w:eastAsia="zh-CN"/>
        </w:rPr>
        <w:t xml:space="preserve">     </w:t>
      </w:r>
      <w:r>
        <w:rPr>
          <w:color w:val="auto"/>
          <w:sz w:val="24"/>
        </w:rPr>
        <w:t>（项目名称）</w:t>
      </w:r>
      <w:r>
        <w:rPr>
          <w:rFonts w:hint="eastAsia"/>
          <w:color w:val="auto"/>
          <w:sz w:val="24"/>
        </w:rPr>
        <w:t>询比</w:t>
      </w:r>
      <w:r>
        <w:rPr>
          <w:color w:val="auto"/>
          <w:sz w:val="24"/>
        </w:rPr>
        <w:t>文件的全部内容（含澄清、答疑、补遗书等）和对交货现场的踏勘及充分了解，</w:t>
      </w:r>
      <w:r>
        <w:rPr>
          <w:rFonts w:hint="eastAsia"/>
          <w:color w:val="auto"/>
          <w:sz w:val="24"/>
        </w:rPr>
        <w:t>愿意以询比文件第五章-采购需求及清单中的</w:t>
      </w:r>
      <w:r>
        <w:rPr>
          <w:rFonts w:hint="eastAsia"/>
          <w:color w:val="auto"/>
          <w:sz w:val="24"/>
          <w:lang w:val="en-US" w:eastAsia="zh-CN"/>
        </w:rPr>
        <w:t>分</w:t>
      </w:r>
      <w:r>
        <w:rPr>
          <w:rFonts w:hint="eastAsia"/>
          <w:color w:val="auto"/>
          <w:sz w:val="24"/>
        </w:rPr>
        <w:t>项</w:t>
      </w:r>
      <w:r>
        <w:rPr>
          <w:rFonts w:hint="eastAsia"/>
          <w:color w:val="auto"/>
          <w:sz w:val="24"/>
          <w:lang w:val="en-US" w:eastAsia="zh-CN"/>
        </w:rPr>
        <w:t>限价</w:t>
      </w:r>
      <w:r>
        <w:rPr>
          <w:rFonts w:hint="eastAsia"/>
          <w:color w:val="auto"/>
          <w:sz w:val="24"/>
        </w:rPr>
        <w:t>*</w:t>
      </w:r>
      <w:r>
        <w:rPr>
          <w:rFonts w:hint="eastAsia"/>
          <w:color w:val="auto"/>
          <w:sz w:val="24"/>
          <w:lang w:val="en-US" w:eastAsia="zh-CN"/>
        </w:rPr>
        <w:t>统一</w:t>
      </w:r>
      <w:r>
        <w:rPr>
          <w:rFonts w:hint="eastAsia"/>
          <w:color w:val="auto"/>
          <w:sz w:val="24"/>
        </w:rPr>
        <w:t>费率</w:t>
      </w:r>
      <w:r>
        <w:rPr>
          <w:rFonts w:hint="eastAsia"/>
          <w:color w:val="auto"/>
          <w:sz w:val="24"/>
          <w:u w:val="single"/>
        </w:rPr>
        <w:t xml:space="preserve">    </w:t>
      </w:r>
      <w:r>
        <w:rPr>
          <w:rFonts w:hint="eastAsia"/>
          <w:color w:val="auto"/>
          <w:sz w:val="24"/>
        </w:rPr>
        <w:t>%（保留小数点后一位）</w:t>
      </w:r>
      <w:r>
        <w:rPr>
          <w:color w:val="auto"/>
          <w:sz w:val="24"/>
        </w:rPr>
        <w:t>，按合同约定提供</w:t>
      </w:r>
      <w:r>
        <w:rPr>
          <w:rFonts w:hint="eastAsia"/>
          <w:color w:val="auto"/>
          <w:sz w:val="24"/>
          <w:u w:val="single"/>
        </w:rPr>
        <w:t>2025~2027年度工地试验室试验仪器设备检定/校准服务量值溯源机构定点库采购项目</w:t>
      </w:r>
      <w:r>
        <w:rPr>
          <w:color w:val="auto"/>
          <w:sz w:val="24"/>
        </w:rPr>
        <w:t>所需的一切相关服务</w:t>
      </w:r>
      <w:r>
        <w:rPr>
          <w:rFonts w:hint="eastAsia"/>
          <w:color w:val="auto"/>
          <w:sz w:val="24"/>
        </w:rPr>
        <w:t>，并满足采购人的进度要求</w:t>
      </w:r>
      <w:r>
        <w:rPr>
          <w:color w:val="auto"/>
          <w:sz w:val="24"/>
        </w:rPr>
        <w:t>。</w:t>
      </w:r>
    </w:p>
    <w:p w14:paraId="2AA146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color w:val="auto"/>
          <w:sz w:val="24"/>
        </w:rPr>
      </w:pPr>
      <w:r>
        <w:rPr>
          <w:color w:val="auto"/>
          <w:sz w:val="24"/>
        </w:rPr>
        <w:t>2、我方承诺在</w:t>
      </w:r>
      <w:r>
        <w:rPr>
          <w:rFonts w:hint="eastAsia" w:ascii="Times New Roman" w:hAnsi="Times New Roman"/>
          <w:color w:val="auto"/>
          <w:sz w:val="24"/>
        </w:rPr>
        <w:t>响应</w:t>
      </w:r>
      <w:r>
        <w:rPr>
          <w:color w:val="auto"/>
          <w:sz w:val="24"/>
        </w:rPr>
        <w:t>有效期内不修改、撤销</w:t>
      </w:r>
      <w:r>
        <w:rPr>
          <w:rFonts w:hint="eastAsia" w:ascii="Times New Roman" w:hAnsi="Times New Roman"/>
          <w:color w:val="auto"/>
          <w:sz w:val="24"/>
        </w:rPr>
        <w:t>响应</w:t>
      </w:r>
      <w:r>
        <w:rPr>
          <w:color w:val="auto"/>
          <w:sz w:val="24"/>
        </w:rPr>
        <w:t>文件。</w:t>
      </w:r>
    </w:p>
    <w:p w14:paraId="64C7AC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color w:val="auto"/>
          <w:sz w:val="24"/>
        </w:rPr>
      </w:pPr>
      <w:r>
        <w:rPr>
          <w:rFonts w:hint="eastAsia"/>
          <w:color w:val="auto"/>
          <w:sz w:val="24"/>
          <w:lang w:val="en-US" w:eastAsia="zh-CN"/>
        </w:rPr>
        <w:t>3</w:t>
      </w:r>
      <w:r>
        <w:rPr>
          <w:color w:val="auto"/>
          <w:sz w:val="24"/>
        </w:rPr>
        <w:t>、如我方</w:t>
      </w:r>
      <w:r>
        <w:rPr>
          <w:rFonts w:hint="eastAsia"/>
          <w:color w:val="auto"/>
          <w:sz w:val="24"/>
        </w:rPr>
        <w:t>成交</w:t>
      </w:r>
      <w:r>
        <w:rPr>
          <w:color w:val="auto"/>
          <w:sz w:val="24"/>
        </w:rPr>
        <w:t>：</w:t>
      </w:r>
    </w:p>
    <w:p w14:paraId="1B2162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（1）我方承诺在收到</w:t>
      </w:r>
      <w:r>
        <w:rPr>
          <w:rFonts w:hint="eastAsia"/>
          <w:color w:val="auto"/>
          <w:sz w:val="24"/>
        </w:rPr>
        <w:t>成交</w:t>
      </w:r>
      <w:r>
        <w:rPr>
          <w:color w:val="auto"/>
          <w:sz w:val="24"/>
        </w:rPr>
        <w:t>通知书后，在</w:t>
      </w:r>
      <w:r>
        <w:rPr>
          <w:rFonts w:hint="eastAsia"/>
          <w:color w:val="auto"/>
          <w:sz w:val="24"/>
        </w:rPr>
        <w:t>成交</w:t>
      </w:r>
      <w:r>
        <w:rPr>
          <w:color w:val="auto"/>
          <w:sz w:val="24"/>
        </w:rPr>
        <w:t>通知书规定的期限内与你方签订合同。</w:t>
      </w:r>
    </w:p>
    <w:p w14:paraId="47548D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（2）我方承诺按照</w:t>
      </w:r>
      <w:r>
        <w:rPr>
          <w:rFonts w:hint="eastAsia" w:ascii="Times New Roman" w:hAnsi="Times New Roman"/>
          <w:color w:val="auto"/>
          <w:sz w:val="24"/>
        </w:rPr>
        <w:t>响应</w:t>
      </w:r>
      <w:r>
        <w:rPr>
          <w:color w:val="auto"/>
          <w:sz w:val="24"/>
        </w:rPr>
        <w:t>文件规定向你方递交履约担保。</w:t>
      </w:r>
    </w:p>
    <w:p w14:paraId="1BA2E0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（3）我方承诺在履行合同期间，按照</w:t>
      </w:r>
      <w:r>
        <w:rPr>
          <w:rFonts w:hint="eastAsia" w:ascii="Times New Roman" w:hAnsi="Times New Roman"/>
          <w:color w:val="auto"/>
          <w:sz w:val="24"/>
        </w:rPr>
        <w:t>响应</w:t>
      </w:r>
      <w:r>
        <w:rPr>
          <w:color w:val="auto"/>
          <w:sz w:val="24"/>
        </w:rPr>
        <w:t>文件的相关条款和你方下达的要求，及时、保质、保量供货。</w:t>
      </w:r>
    </w:p>
    <w:p w14:paraId="6F883D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rFonts w:hint="eastAsia"/>
          <w:color w:val="auto"/>
          <w:sz w:val="24"/>
          <w:lang w:val="en-US" w:eastAsia="zh-CN"/>
        </w:rPr>
        <w:t>4</w:t>
      </w:r>
      <w:r>
        <w:rPr>
          <w:color w:val="auto"/>
          <w:sz w:val="24"/>
        </w:rPr>
        <w:t>、我方在此声明，所递交的</w:t>
      </w:r>
      <w:r>
        <w:rPr>
          <w:rFonts w:hint="eastAsia" w:ascii="Times New Roman" w:hAnsi="Times New Roman"/>
          <w:color w:val="auto"/>
          <w:sz w:val="24"/>
        </w:rPr>
        <w:t>响应</w:t>
      </w:r>
      <w:r>
        <w:rPr>
          <w:color w:val="auto"/>
          <w:sz w:val="24"/>
        </w:rPr>
        <w:t>文件及有关资料内容完整、真实和准确，</w:t>
      </w:r>
      <w:r>
        <w:rPr>
          <w:rFonts w:ascii="Times New Roman" w:hAnsi="Times New Roman"/>
          <w:color w:val="auto"/>
          <w:sz w:val="24"/>
        </w:rPr>
        <w:t>且不存在第二章“</w:t>
      </w:r>
      <w:r>
        <w:rPr>
          <w:rFonts w:hint="eastAsia" w:ascii="Times New Roman" w:hAnsi="Times New Roman"/>
          <w:color w:val="auto"/>
          <w:sz w:val="24"/>
        </w:rPr>
        <w:t>响应</w:t>
      </w:r>
      <w:r>
        <w:rPr>
          <w:rFonts w:ascii="Times New Roman" w:hAnsi="Times New Roman"/>
          <w:color w:val="auto"/>
          <w:sz w:val="24"/>
        </w:rPr>
        <w:t>人须知”规定的任何一种情形。</w:t>
      </w:r>
    </w:p>
    <w:p w14:paraId="43120B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rFonts w:hint="eastAsia"/>
          <w:color w:val="auto"/>
          <w:sz w:val="24"/>
          <w:lang w:val="en-US" w:eastAsia="zh-CN"/>
        </w:rPr>
        <w:t>5</w:t>
      </w:r>
      <w:r>
        <w:rPr>
          <w:color w:val="auto"/>
          <w:sz w:val="24"/>
        </w:rPr>
        <w:t>、在合同协议书正式签署生效之前，本</w:t>
      </w:r>
      <w:r>
        <w:rPr>
          <w:rFonts w:hint="eastAsia" w:ascii="Times New Roman" w:hAnsi="Times New Roman"/>
          <w:color w:val="auto"/>
          <w:sz w:val="24"/>
        </w:rPr>
        <w:t>响应</w:t>
      </w:r>
      <w:r>
        <w:rPr>
          <w:color w:val="auto"/>
          <w:sz w:val="24"/>
        </w:rPr>
        <w:t>函连同你方的</w:t>
      </w:r>
      <w:r>
        <w:rPr>
          <w:rFonts w:hint="eastAsia"/>
          <w:color w:val="auto"/>
          <w:sz w:val="24"/>
        </w:rPr>
        <w:t>成交</w:t>
      </w:r>
      <w:r>
        <w:rPr>
          <w:color w:val="auto"/>
          <w:sz w:val="24"/>
        </w:rPr>
        <w:t>通知书将构成我们双方之间共同遵守的文件，对双方具有约束力。</w:t>
      </w:r>
    </w:p>
    <w:p w14:paraId="1FC7138F">
      <w:pPr>
        <w:keepNext w:val="0"/>
        <w:keepLines w:val="0"/>
        <w:pageBreakBefore w:val="0"/>
        <w:widowControl w:val="0"/>
        <w:kinsoku/>
        <w:wordWrap/>
        <w:overflowPunct/>
        <w:topLinePunct w:val="0"/>
        <w:autoSpaceDE/>
        <w:autoSpaceDN/>
        <w:bidi w:val="0"/>
        <w:adjustRightInd w:val="0"/>
        <w:snapToGrid w:val="0"/>
        <w:spacing w:line="360" w:lineRule="auto"/>
        <w:ind w:firstLine="4305"/>
        <w:textAlignment w:val="auto"/>
        <w:rPr>
          <w:color w:val="auto"/>
          <w:sz w:val="24"/>
        </w:rPr>
      </w:pPr>
    </w:p>
    <w:p w14:paraId="305EDE75">
      <w:pPr>
        <w:keepNext w:val="0"/>
        <w:keepLines w:val="0"/>
        <w:pageBreakBefore w:val="0"/>
        <w:widowControl w:val="0"/>
        <w:kinsoku/>
        <w:wordWrap/>
        <w:overflowPunct/>
        <w:topLinePunct w:val="0"/>
        <w:autoSpaceDE/>
        <w:autoSpaceDN/>
        <w:bidi w:val="0"/>
        <w:adjustRightInd w:val="0"/>
        <w:snapToGrid w:val="0"/>
        <w:spacing w:line="360" w:lineRule="auto"/>
        <w:ind w:firstLine="4305"/>
        <w:textAlignment w:val="auto"/>
        <w:rPr>
          <w:color w:val="auto"/>
          <w:sz w:val="24"/>
        </w:rPr>
      </w:pPr>
    </w:p>
    <w:p w14:paraId="1E958B82">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rPr>
      </w:pPr>
      <w:r>
        <w:rPr>
          <w:rFonts w:hint="eastAsia"/>
          <w:color w:val="auto"/>
          <w:sz w:val="24"/>
        </w:rPr>
        <w:t>供应商</w:t>
      </w:r>
      <w:r>
        <w:rPr>
          <w:color w:val="auto"/>
          <w:sz w:val="24"/>
        </w:rPr>
        <w:t>：（盖单位公章）</w:t>
      </w:r>
    </w:p>
    <w:p w14:paraId="5A5599B0">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rPr>
      </w:pPr>
      <w:r>
        <w:rPr>
          <w:color w:val="auto"/>
          <w:sz w:val="24"/>
        </w:rPr>
        <w:t>法定代表人或其委托代理人：（签字或盖章）</w:t>
      </w:r>
    </w:p>
    <w:p w14:paraId="2F18C1F5">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u w:val="single"/>
        </w:rPr>
      </w:pPr>
      <w:r>
        <w:rPr>
          <w:color w:val="auto"/>
          <w:sz w:val="24"/>
        </w:rPr>
        <w:t>地址：</w:t>
      </w:r>
    </w:p>
    <w:p w14:paraId="7FC30400">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u w:val="single"/>
        </w:rPr>
      </w:pPr>
      <w:r>
        <w:rPr>
          <w:color w:val="auto"/>
          <w:sz w:val="24"/>
        </w:rPr>
        <w:t>网址：</w:t>
      </w:r>
    </w:p>
    <w:p w14:paraId="721CEF69">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u w:val="single"/>
        </w:rPr>
      </w:pPr>
      <w:r>
        <w:rPr>
          <w:color w:val="auto"/>
          <w:sz w:val="24"/>
        </w:rPr>
        <w:t>电话：</w:t>
      </w:r>
    </w:p>
    <w:p w14:paraId="044CB19B">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u w:val="single"/>
        </w:rPr>
      </w:pPr>
      <w:r>
        <w:rPr>
          <w:color w:val="auto"/>
          <w:sz w:val="24"/>
        </w:rPr>
        <w:t>传真：</w:t>
      </w:r>
    </w:p>
    <w:p w14:paraId="792BCE37">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u w:val="single"/>
        </w:rPr>
      </w:pPr>
      <w:r>
        <w:rPr>
          <w:color w:val="auto"/>
          <w:sz w:val="24"/>
        </w:rPr>
        <w:t>邮政编码：</w:t>
      </w:r>
    </w:p>
    <w:p w14:paraId="23462A9D">
      <w:pPr>
        <w:keepNext w:val="0"/>
        <w:keepLines w:val="0"/>
        <w:pageBreakBefore w:val="0"/>
        <w:widowControl w:val="0"/>
        <w:kinsoku/>
        <w:wordWrap/>
        <w:overflowPunct/>
        <w:topLinePunct w:val="0"/>
        <w:autoSpaceDE/>
        <w:autoSpaceDN/>
        <w:bidi w:val="0"/>
        <w:adjustRightInd w:val="0"/>
        <w:snapToGrid w:val="0"/>
        <w:spacing w:line="360" w:lineRule="auto"/>
        <w:ind w:firstLine="4305"/>
        <w:textAlignment w:val="auto"/>
        <w:rPr>
          <w:color w:val="auto"/>
          <w:sz w:val="24"/>
          <w:u w:val="single"/>
        </w:rPr>
      </w:pPr>
    </w:p>
    <w:p w14:paraId="6E3D2539">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color w:val="auto"/>
          <w:sz w:val="24"/>
        </w:rPr>
      </w:pPr>
      <w:r>
        <w:rPr>
          <w:color w:val="auto"/>
          <w:sz w:val="24"/>
        </w:rPr>
        <w:t>年</w:t>
      </w:r>
      <w:r>
        <w:rPr>
          <w:rFonts w:hint="eastAsia"/>
          <w:color w:val="auto"/>
          <w:sz w:val="24"/>
          <w:lang w:val="en-US" w:eastAsia="zh-CN"/>
        </w:rPr>
        <w:t xml:space="preserve">   </w:t>
      </w:r>
      <w:r>
        <w:rPr>
          <w:color w:val="auto"/>
          <w:sz w:val="24"/>
        </w:rPr>
        <w:t>月</w:t>
      </w:r>
      <w:r>
        <w:rPr>
          <w:rFonts w:hint="eastAsia"/>
          <w:color w:val="auto"/>
          <w:sz w:val="24"/>
          <w:lang w:val="en-US" w:eastAsia="zh-CN"/>
        </w:rPr>
        <w:t xml:space="preserve">    </w:t>
      </w:r>
      <w:r>
        <w:rPr>
          <w:color w:val="auto"/>
          <w:sz w:val="24"/>
        </w:rPr>
        <w:t>日</w:t>
      </w:r>
    </w:p>
    <w:p w14:paraId="1F5E17C0">
      <w:pPr>
        <w:adjustRightInd w:val="0"/>
        <w:snapToGrid w:val="0"/>
        <w:rPr>
          <w:color w:val="auto"/>
          <w:sz w:val="24"/>
        </w:rPr>
      </w:pPr>
    </w:p>
    <w:p w14:paraId="48B7AD2B">
      <w:pPr>
        <w:spacing w:line="400" w:lineRule="atLeast"/>
        <w:jc w:val="center"/>
        <w:outlineLvl w:val="1"/>
        <w:rPr>
          <w:rFonts w:ascii="Times New Roman" w:hAnsi="Times New Roman" w:eastAsia="黑体" w:cs="Times New Roman"/>
          <w:color w:val="auto"/>
          <w:sz w:val="28"/>
          <w:szCs w:val="28"/>
        </w:rPr>
        <w:sectPr>
          <w:footerReference r:id="rId5" w:type="default"/>
          <w:footnotePr>
            <w:pos w:val="beneathText"/>
          </w:footnotePr>
          <w:pgSz w:w="11905" w:h="16838"/>
          <w:pgMar w:top="1440" w:right="1417" w:bottom="1440" w:left="1417" w:header="850" w:footer="992" w:gutter="0"/>
          <w:cols w:space="0" w:num="1"/>
          <w:docGrid w:type="lines" w:linePitch="317" w:charSpace="0"/>
        </w:sectPr>
      </w:pPr>
    </w:p>
    <w:p w14:paraId="7561E187">
      <w:pPr>
        <w:adjustRightInd w:val="0"/>
        <w:snapToGrid w:val="0"/>
        <w:jc w:val="center"/>
        <w:outlineLvl w:val="1"/>
        <w:rPr>
          <w:b/>
          <w:color w:val="auto"/>
          <w:sz w:val="24"/>
        </w:rPr>
      </w:pPr>
      <w:r>
        <w:rPr>
          <w:b/>
          <w:color w:val="auto"/>
          <w:sz w:val="24"/>
        </w:rPr>
        <w:t>二、法定代表人身份证明</w:t>
      </w:r>
    </w:p>
    <w:p w14:paraId="49B80AE3">
      <w:pPr>
        <w:adjustRightInd w:val="0"/>
        <w:snapToGrid w:val="0"/>
        <w:ind w:firstLine="420"/>
        <w:rPr>
          <w:color w:val="auto"/>
          <w:szCs w:val="21"/>
        </w:rPr>
      </w:pPr>
    </w:p>
    <w:p w14:paraId="0339303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r>
        <w:rPr>
          <w:rFonts w:hint="eastAsia"/>
          <w:color w:val="auto"/>
          <w:sz w:val="24"/>
        </w:rPr>
        <w:t>供应商</w:t>
      </w:r>
      <w:r>
        <w:rPr>
          <w:color w:val="auto"/>
          <w:sz w:val="24"/>
        </w:rPr>
        <w:t>名称：</w:t>
      </w:r>
    </w:p>
    <w:p w14:paraId="0B32234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r>
        <w:rPr>
          <w:color w:val="auto"/>
          <w:sz w:val="24"/>
        </w:rPr>
        <w:t>单位性质：</w:t>
      </w:r>
    </w:p>
    <w:p w14:paraId="273CE74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r>
        <w:rPr>
          <w:color w:val="auto"/>
          <w:sz w:val="24"/>
        </w:rPr>
        <w:t>地址：</w:t>
      </w:r>
    </w:p>
    <w:p w14:paraId="038ACEE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r>
        <w:rPr>
          <w:color w:val="auto"/>
          <w:sz w:val="24"/>
        </w:rPr>
        <w:t>成立时间：</w:t>
      </w:r>
      <w:r>
        <w:rPr>
          <w:rFonts w:hint="eastAsia"/>
          <w:color w:val="auto"/>
          <w:sz w:val="24"/>
          <w:lang w:val="en-US" w:eastAsia="zh-CN"/>
        </w:rPr>
        <w:t xml:space="preserve">   </w:t>
      </w:r>
      <w:r>
        <w:rPr>
          <w:color w:val="auto"/>
          <w:sz w:val="24"/>
        </w:rPr>
        <w:t>年</w:t>
      </w:r>
      <w:r>
        <w:rPr>
          <w:rFonts w:hint="eastAsia"/>
          <w:color w:val="auto"/>
          <w:sz w:val="24"/>
          <w:lang w:val="en-US" w:eastAsia="zh-CN"/>
        </w:rPr>
        <w:t xml:space="preserve">  </w:t>
      </w:r>
      <w:r>
        <w:rPr>
          <w:color w:val="auto"/>
          <w:sz w:val="24"/>
        </w:rPr>
        <w:t>月</w:t>
      </w:r>
      <w:r>
        <w:rPr>
          <w:rFonts w:hint="eastAsia"/>
          <w:color w:val="auto"/>
          <w:sz w:val="24"/>
          <w:lang w:val="en-US" w:eastAsia="zh-CN"/>
        </w:rPr>
        <w:t xml:space="preserve">  </w:t>
      </w:r>
      <w:r>
        <w:rPr>
          <w:color w:val="auto"/>
          <w:sz w:val="24"/>
        </w:rPr>
        <w:t>日</w:t>
      </w:r>
    </w:p>
    <w:p w14:paraId="261A396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r>
        <w:rPr>
          <w:color w:val="auto"/>
          <w:sz w:val="24"/>
        </w:rPr>
        <w:t>经营期限：</w:t>
      </w:r>
    </w:p>
    <w:p w14:paraId="15A7C6E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r>
        <w:rPr>
          <w:color w:val="auto"/>
          <w:sz w:val="24"/>
        </w:rPr>
        <w:t>姓名： 性别： 年龄： 职务：_ 系（</w:t>
      </w:r>
      <w:r>
        <w:rPr>
          <w:rFonts w:hint="eastAsia"/>
          <w:color w:val="auto"/>
          <w:sz w:val="24"/>
        </w:rPr>
        <w:t>供应商</w:t>
      </w:r>
      <w:r>
        <w:rPr>
          <w:color w:val="auto"/>
          <w:sz w:val="24"/>
        </w:rPr>
        <w:t>名称）的法定代表人。</w:t>
      </w:r>
    </w:p>
    <w:p w14:paraId="6946CC6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r>
        <w:rPr>
          <w:color w:val="auto"/>
          <w:sz w:val="24"/>
        </w:rPr>
        <w:t>特此证明。</w:t>
      </w:r>
    </w:p>
    <w:p w14:paraId="0AA63EA0">
      <w:pPr>
        <w:adjustRightInd w:val="0"/>
        <w:snapToGrid w:val="0"/>
        <w:ind w:firstLine="420"/>
        <w:rPr>
          <w:color w:val="auto"/>
          <w:sz w:val="24"/>
        </w:rPr>
      </w:pPr>
    </w:p>
    <w:p w14:paraId="4BD603D8">
      <w:pPr>
        <w:adjustRightInd w:val="0"/>
        <w:snapToGrid w:val="0"/>
        <w:ind w:firstLine="420"/>
        <w:rPr>
          <w:b/>
          <w:bCs/>
          <w:color w:val="auto"/>
          <w:sz w:val="24"/>
        </w:rPr>
      </w:pPr>
      <w:r>
        <w:rPr>
          <w:b/>
          <w:bCs/>
          <w:color w:val="auto"/>
          <w:sz w:val="24"/>
        </w:rPr>
        <w:t>附：法定代表人身份证</w:t>
      </w:r>
      <w:r>
        <w:rPr>
          <w:rFonts w:hint="eastAsia"/>
          <w:b/>
          <w:bCs/>
          <w:color w:val="auto"/>
          <w:sz w:val="24"/>
        </w:rPr>
        <w:t>扫描件</w:t>
      </w:r>
    </w:p>
    <w:p w14:paraId="7BDFC9F1">
      <w:pPr>
        <w:adjustRightInd w:val="0"/>
        <w:snapToGrid w:val="0"/>
        <w:ind w:firstLine="420"/>
        <w:rPr>
          <w:color w:val="auto"/>
          <w:sz w:val="24"/>
        </w:rPr>
      </w:pPr>
    </w:p>
    <w:p w14:paraId="59714459">
      <w:pPr>
        <w:adjustRightInd w:val="0"/>
        <w:snapToGrid w:val="0"/>
        <w:ind w:firstLine="420"/>
        <w:rPr>
          <w:color w:val="auto"/>
          <w:sz w:val="24"/>
        </w:rPr>
      </w:pPr>
    </w:p>
    <w:p w14:paraId="7085F133">
      <w:pPr>
        <w:adjustRightInd w:val="0"/>
        <w:snapToGrid w:val="0"/>
        <w:jc w:val="right"/>
        <w:rPr>
          <w:color w:val="auto"/>
          <w:sz w:val="24"/>
        </w:rPr>
      </w:pPr>
      <w:r>
        <w:rPr>
          <w:rFonts w:hint="eastAsia"/>
          <w:color w:val="auto"/>
          <w:sz w:val="24"/>
        </w:rPr>
        <w:t>供应商</w:t>
      </w:r>
      <w:r>
        <w:rPr>
          <w:color w:val="auto"/>
          <w:sz w:val="24"/>
        </w:rPr>
        <w:t>：（盖单位公章）</w:t>
      </w:r>
    </w:p>
    <w:p w14:paraId="5CF6A4B0">
      <w:pPr>
        <w:adjustRightInd w:val="0"/>
        <w:snapToGrid w:val="0"/>
        <w:ind w:firstLine="4515"/>
        <w:rPr>
          <w:color w:val="auto"/>
          <w:sz w:val="24"/>
          <w:u w:val="single"/>
        </w:rPr>
      </w:pPr>
    </w:p>
    <w:p w14:paraId="0E6967F0">
      <w:pPr>
        <w:adjustRightInd w:val="0"/>
        <w:snapToGrid w:val="0"/>
        <w:jc w:val="right"/>
        <w:rPr>
          <w:color w:val="auto"/>
          <w:sz w:val="24"/>
        </w:rPr>
      </w:pPr>
      <w:r>
        <w:rPr>
          <w:color w:val="auto"/>
          <w:sz w:val="24"/>
        </w:rPr>
        <w:t>年</w:t>
      </w:r>
      <w:r>
        <w:rPr>
          <w:rFonts w:hint="eastAsia"/>
          <w:color w:val="auto"/>
          <w:sz w:val="24"/>
          <w:lang w:val="en-US" w:eastAsia="zh-CN"/>
        </w:rPr>
        <w:t xml:space="preserve">  </w:t>
      </w:r>
      <w:r>
        <w:rPr>
          <w:rFonts w:hint="eastAsia"/>
          <w:color w:val="auto"/>
          <w:sz w:val="24"/>
        </w:rPr>
        <w:t xml:space="preserve"> </w:t>
      </w:r>
      <w:r>
        <w:rPr>
          <w:color w:val="auto"/>
          <w:sz w:val="24"/>
        </w:rPr>
        <w:t>月</w:t>
      </w:r>
      <w:r>
        <w:rPr>
          <w:rFonts w:hint="eastAsia"/>
          <w:color w:val="auto"/>
          <w:sz w:val="24"/>
          <w:lang w:val="en-US" w:eastAsia="zh-CN"/>
        </w:rPr>
        <w:t xml:space="preserve">  </w:t>
      </w:r>
      <w:r>
        <w:rPr>
          <w:rFonts w:hint="eastAsia"/>
          <w:color w:val="auto"/>
          <w:sz w:val="24"/>
        </w:rPr>
        <w:t xml:space="preserve"> </w:t>
      </w:r>
      <w:r>
        <w:rPr>
          <w:color w:val="auto"/>
          <w:sz w:val="24"/>
        </w:rPr>
        <w:t>日</w:t>
      </w:r>
    </w:p>
    <w:p w14:paraId="5DAA3765">
      <w:pPr>
        <w:adjustRightInd w:val="0"/>
        <w:snapToGrid w:val="0"/>
        <w:rPr>
          <w:color w:val="auto"/>
          <w:sz w:val="24"/>
        </w:rPr>
      </w:pPr>
    </w:p>
    <w:p w14:paraId="63C90521">
      <w:pPr>
        <w:adjustRightInd w:val="0"/>
        <w:snapToGrid w:val="0"/>
        <w:ind w:firstLine="4515"/>
        <w:rPr>
          <w:color w:val="auto"/>
          <w:sz w:val="24"/>
        </w:rPr>
      </w:pPr>
    </w:p>
    <w:p w14:paraId="17AEB23A">
      <w:pPr>
        <w:adjustRightInd w:val="0"/>
        <w:snapToGrid w:val="0"/>
        <w:ind w:firstLine="420"/>
        <w:rPr>
          <w:color w:val="auto"/>
          <w:sz w:val="24"/>
        </w:rPr>
      </w:pPr>
    </w:p>
    <w:p w14:paraId="440A4E33">
      <w:pPr>
        <w:adjustRightInd w:val="0"/>
        <w:snapToGrid w:val="0"/>
        <w:ind w:firstLine="4515"/>
        <w:rPr>
          <w:color w:val="auto"/>
          <w:sz w:val="24"/>
        </w:rPr>
        <w:sectPr>
          <w:footerReference r:id="rId6" w:type="default"/>
          <w:footnotePr>
            <w:pos w:val="beneathText"/>
          </w:footnotePr>
          <w:pgSz w:w="11905" w:h="16838"/>
          <w:pgMar w:top="1440" w:right="1417" w:bottom="1440" w:left="1417" w:header="850" w:footer="992" w:gutter="0"/>
          <w:cols w:space="0" w:num="1"/>
          <w:docGrid w:type="lines" w:linePitch="317" w:charSpace="0"/>
        </w:sectPr>
      </w:pPr>
    </w:p>
    <w:p w14:paraId="4097F7F9">
      <w:pPr>
        <w:adjustRightInd w:val="0"/>
        <w:snapToGrid w:val="0"/>
        <w:jc w:val="center"/>
        <w:outlineLvl w:val="1"/>
        <w:rPr>
          <w:b/>
          <w:color w:val="auto"/>
          <w:sz w:val="24"/>
        </w:rPr>
      </w:pPr>
      <w:r>
        <w:rPr>
          <w:rFonts w:hint="eastAsia"/>
          <w:b/>
          <w:color w:val="auto"/>
          <w:sz w:val="24"/>
        </w:rPr>
        <w:t>三、</w:t>
      </w:r>
      <w:r>
        <w:rPr>
          <w:b/>
          <w:color w:val="auto"/>
          <w:sz w:val="24"/>
        </w:rPr>
        <w:t>授权委托书</w:t>
      </w:r>
    </w:p>
    <w:p w14:paraId="282D9E60">
      <w:pPr>
        <w:adjustRightInd w:val="0"/>
        <w:snapToGrid w:val="0"/>
        <w:ind w:firstLine="420"/>
        <w:rPr>
          <w:color w:val="auto"/>
          <w:szCs w:val="21"/>
        </w:rPr>
      </w:pPr>
    </w:p>
    <w:p w14:paraId="176CD6D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r>
        <w:rPr>
          <w:color w:val="auto"/>
          <w:sz w:val="24"/>
        </w:rPr>
        <w:t>本人</w:t>
      </w:r>
      <w:r>
        <w:rPr>
          <w:rFonts w:hint="eastAsia"/>
          <w:color w:val="auto"/>
          <w:sz w:val="24"/>
          <w:u w:val="single"/>
          <w:lang w:val="en-US" w:eastAsia="zh-CN"/>
        </w:rPr>
        <w:t xml:space="preserve">    </w:t>
      </w:r>
      <w:r>
        <w:rPr>
          <w:color w:val="auto"/>
          <w:sz w:val="24"/>
        </w:rPr>
        <w:t>（姓名）系</w:t>
      </w:r>
      <w:r>
        <w:rPr>
          <w:rFonts w:hint="eastAsia"/>
          <w:color w:val="auto"/>
          <w:sz w:val="24"/>
          <w:u w:val="single"/>
          <w:lang w:val="en-US" w:eastAsia="zh-CN"/>
        </w:rPr>
        <w:t xml:space="preserve">    </w:t>
      </w:r>
      <w:r>
        <w:rPr>
          <w:color w:val="auto"/>
          <w:sz w:val="24"/>
        </w:rPr>
        <w:t>（</w:t>
      </w:r>
      <w:r>
        <w:rPr>
          <w:rFonts w:hint="eastAsia" w:ascii="Times New Roman" w:hAnsi="Times New Roman"/>
          <w:color w:val="auto"/>
          <w:sz w:val="24"/>
        </w:rPr>
        <w:t>响应</w:t>
      </w:r>
      <w:r>
        <w:rPr>
          <w:color w:val="auto"/>
          <w:sz w:val="24"/>
        </w:rPr>
        <w:t>人名称）的法定代表人，现委托</w:t>
      </w:r>
      <w:r>
        <w:rPr>
          <w:rFonts w:hint="eastAsia"/>
          <w:color w:val="auto"/>
          <w:sz w:val="24"/>
          <w:u w:val="single"/>
          <w:lang w:val="en-US" w:eastAsia="zh-CN"/>
        </w:rPr>
        <w:t xml:space="preserve">    </w:t>
      </w:r>
      <w:r>
        <w:rPr>
          <w:color w:val="auto"/>
          <w:sz w:val="24"/>
        </w:rPr>
        <w:t>（姓名）</w:t>
      </w:r>
      <w:r>
        <w:rPr>
          <w:color w:val="auto"/>
          <w:kern w:val="21"/>
          <w:sz w:val="24"/>
        </w:rPr>
        <w:t>为我方代理人。代理人根据授权，以我方名义签署、澄清、说明、补正、递交、撤回、修改</w:t>
      </w:r>
      <w:r>
        <w:rPr>
          <w:rFonts w:hint="eastAsia"/>
          <w:b w:val="0"/>
          <w:bCs w:val="0"/>
          <w:color w:val="auto"/>
          <w:sz w:val="24"/>
          <w:u w:val="none"/>
        </w:rPr>
        <w:t>2025~2027年度工地试验室试验仪器设备检定/校准服务量值溯源机构定点库采购</w:t>
      </w:r>
      <w:r>
        <w:rPr>
          <w:rFonts w:hint="default" w:asciiTheme="minorAscii" w:hAnsiTheme="minorAscii"/>
          <w:b w:val="0"/>
          <w:bCs w:val="0"/>
          <w:strike w:val="0"/>
          <w:color w:val="auto"/>
          <w:sz w:val="24"/>
          <w:u w:val="none"/>
        </w:rPr>
        <w:t>项目</w:t>
      </w:r>
      <w:r>
        <w:rPr>
          <w:rFonts w:hint="eastAsia" w:ascii="Times New Roman" w:hAnsi="Times New Roman"/>
          <w:color w:val="auto"/>
          <w:sz w:val="24"/>
        </w:rPr>
        <w:t>响应</w:t>
      </w:r>
      <w:r>
        <w:rPr>
          <w:color w:val="auto"/>
          <w:sz w:val="24"/>
        </w:rPr>
        <w:t>文件、签订合同和处理有关事宜，其法律后果由我方承担。</w:t>
      </w:r>
    </w:p>
    <w:p w14:paraId="5BC175F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u w:val="single"/>
        </w:rPr>
      </w:pPr>
      <w:r>
        <w:rPr>
          <w:color w:val="auto"/>
          <w:sz w:val="24"/>
        </w:rPr>
        <w:t>委托期限：</w:t>
      </w:r>
    </w:p>
    <w:p w14:paraId="5B14CC9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r>
        <w:rPr>
          <w:color w:val="auto"/>
          <w:sz w:val="24"/>
        </w:rPr>
        <w:t>代理人无转委托权。</w:t>
      </w:r>
    </w:p>
    <w:p w14:paraId="2E38E8F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p>
    <w:p w14:paraId="3DD8625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b/>
          <w:bCs/>
          <w:color w:val="auto"/>
          <w:sz w:val="24"/>
        </w:rPr>
      </w:pPr>
      <w:r>
        <w:rPr>
          <w:b/>
          <w:bCs/>
          <w:color w:val="auto"/>
          <w:sz w:val="24"/>
        </w:rPr>
        <w:t>附：</w:t>
      </w:r>
      <w:r>
        <w:rPr>
          <w:rFonts w:hint="eastAsia"/>
          <w:b/>
          <w:bCs/>
          <w:color w:val="auto"/>
          <w:sz w:val="24"/>
        </w:rPr>
        <w:t>法定代表人身份证扫描件及委托代理人的身份证扫描件</w:t>
      </w:r>
    </w:p>
    <w:p w14:paraId="7347169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p>
    <w:p w14:paraId="3557FC26">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rPr>
      </w:pPr>
    </w:p>
    <w:p w14:paraId="4A3EE491">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rPr>
      </w:pPr>
      <w:r>
        <w:rPr>
          <w:rFonts w:hint="eastAsia"/>
          <w:color w:val="auto"/>
          <w:sz w:val="24"/>
        </w:rPr>
        <w:t>供应商</w:t>
      </w:r>
      <w:r>
        <w:rPr>
          <w:color w:val="auto"/>
          <w:sz w:val="24"/>
        </w:rPr>
        <w:t>：（盖单位公章）</w:t>
      </w:r>
    </w:p>
    <w:p w14:paraId="151C2CD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p>
    <w:p w14:paraId="46DDE6E4">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rPr>
      </w:pPr>
      <w:r>
        <w:rPr>
          <w:color w:val="auto"/>
          <w:sz w:val="24"/>
        </w:rPr>
        <w:t>法定代表人：（签字或盖章）</w:t>
      </w:r>
    </w:p>
    <w:p w14:paraId="25F1E9E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p>
    <w:p w14:paraId="2DC8339A">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u w:val="single"/>
        </w:rPr>
      </w:pPr>
      <w:r>
        <w:rPr>
          <w:color w:val="auto"/>
          <w:sz w:val="24"/>
        </w:rPr>
        <w:t xml:space="preserve">身份证号码： </w:t>
      </w:r>
    </w:p>
    <w:p w14:paraId="088145B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p>
    <w:p w14:paraId="18004652">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rPr>
      </w:pPr>
      <w:r>
        <w:rPr>
          <w:color w:val="auto"/>
          <w:sz w:val="24"/>
        </w:rPr>
        <w:t>委托代理人：（签字或盖章）</w:t>
      </w:r>
    </w:p>
    <w:p w14:paraId="7FE8448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sz w:val="24"/>
        </w:rPr>
      </w:pPr>
    </w:p>
    <w:p w14:paraId="57C455D4">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u w:val="single"/>
        </w:rPr>
      </w:pPr>
      <w:r>
        <w:rPr>
          <w:color w:val="auto"/>
          <w:sz w:val="24"/>
        </w:rPr>
        <w:t xml:space="preserve">身份证号码： </w:t>
      </w:r>
    </w:p>
    <w:p w14:paraId="7E38239B">
      <w:pPr>
        <w:adjustRightInd w:val="0"/>
        <w:snapToGrid w:val="0"/>
        <w:ind w:firstLine="5355"/>
        <w:rPr>
          <w:color w:val="auto"/>
          <w:sz w:val="24"/>
        </w:rPr>
      </w:pPr>
    </w:p>
    <w:p w14:paraId="778E25C4">
      <w:pPr>
        <w:adjustRightInd w:val="0"/>
        <w:snapToGrid w:val="0"/>
        <w:jc w:val="right"/>
        <w:rPr>
          <w:color w:val="auto"/>
          <w:sz w:val="24"/>
        </w:rPr>
      </w:pPr>
      <w:r>
        <w:rPr>
          <w:color w:val="auto"/>
          <w:sz w:val="24"/>
        </w:rPr>
        <w:t>年</w:t>
      </w:r>
      <w:r>
        <w:rPr>
          <w:rFonts w:hint="eastAsia"/>
          <w:color w:val="auto"/>
          <w:sz w:val="24"/>
        </w:rPr>
        <w:t xml:space="preserve"> </w:t>
      </w:r>
      <w:r>
        <w:rPr>
          <w:color w:val="auto"/>
          <w:sz w:val="24"/>
        </w:rPr>
        <w:t>月</w:t>
      </w:r>
      <w:r>
        <w:rPr>
          <w:rFonts w:hint="eastAsia"/>
          <w:color w:val="auto"/>
          <w:sz w:val="24"/>
        </w:rPr>
        <w:t xml:space="preserve"> </w:t>
      </w:r>
      <w:r>
        <w:rPr>
          <w:color w:val="auto"/>
          <w:sz w:val="24"/>
        </w:rPr>
        <w:t>日</w:t>
      </w:r>
    </w:p>
    <w:p w14:paraId="67A6606D">
      <w:pPr>
        <w:adjustRightInd w:val="0"/>
        <w:snapToGrid w:val="0"/>
        <w:ind w:firstLine="5040"/>
        <w:rPr>
          <w:color w:val="auto"/>
          <w:sz w:val="24"/>
        </w:rPr>
      </w:pPr>
    </w:p>
    <w:p w14:paraId="63049472">
      <w:pPr>
        <w:adjustRightInd w:val="0"/>
        <w:snapToGrid w:val="0"/>
        <w:ind w:firstLine="420"/>
        <w:rPr>
          <w:color w:val="auto"/>
          <w:sz w:val="24"/>
        </w:rPr>
      </w:pPr>
    </w:p>
    <w:p w14:paraId="50A40B7A">
      <w:pPr>
        <w:pStyle w:val="19"/>
        <w:rPr>
          <w:color w:val="auto"/>
          <w:sz w:val="24"/>
        </w:rPr>
      </w:pPr>
    </w:p>
    <w:p w14:paraId="1512A1F0">
      <w:pPr>
        <w:pStyle w:val="16"/>
        <w:rPr>
          <w:color w:val="auto"/>
          <w:sz w:val="24"/>
        </w:rPr>
      </w:pPr>
    </w:p>
    <w:p w14:paraId="46D74BE5">
      <w:pPr>
        <w:pStyle w:val="16"/>
        <w:rPr>
          <w:rFonts w:hint="eastAsia"/>
          <w:b/>
          <w:bCs/>
          <w:color w:val="auto"/>
          <w:sz w:val="24"/>
        </w:rPr>
      </w:pPr>
      <w:r>
        <w:rPr>
          <w:rFonts w:hint="eastAsia"/>
          <w:b/>
          <w:bCs/>
          <w:color w:val="auto"/>
          <w:sz w:val="24"/>
        </w:rPr>
        <w:t>法定代表人身份证扫描件</w:t>
      </w:r>
    </w:p>
    <w:p w14:paraId="5F1B458C">
      <w:pPr>
        <w:pStyle w:val="16"/>
        <w:rPr>
          <w:rFonts w:hint="eastAsia"/>
          <w:b/>
          <w:bCs/>
          <w:color w:val="auto"/>
          <w:sz w:val="24"/>
        </w:rPr>
      </w:pPr>
    </w:p>
    <w:p w14:paraId="046E146F">
      <w:pPr>
        <w:pStyle w:val="16"/>
        <w:rPr>
          <w:rFonts w:hint="eastAsia"/>
          <w:b/>
          <w:bCs/>
          <w:color w:val="auto"/>
          <w:sz w:val="24"/>
        </w:rPr>
      </w:pPr>
    </w:p>
    <w:p w14:paraId="0AD6E267">
      <w:pPr>
        <w:adjustRightInd w:val="0"/>
        <w:snapToGrid w:val="0"/>
        <w:rPr>
          <w:b/>
          <w:bCs/>
          <w:color w:val="auto"/>
          <w:sz w:val="24"/>
        </w:rPr>
      </w:pPr>
      <w:r>
        <w:rPr>
          <w:rFonts w:hint="eastAsia"/>
          <w:b/>
          <w:bCs/>
          <w:color w:val="auto"/>
          <w:sz w:val="24"/>
        </w:rPr>
        <w:t>委托代理人的身份证扫描件</w:t>
      </w:r>
    </w:p>
    <w:p w14:paraId="108D3CBE">
      <w:pPr>
        <w:pStyle w:val="16"/>
        <w:rPr>
          <w:rFonts w:hint="eastAsia"/>
          <w:b/>
          <w:bCs/>
          <w:color w:val="auto"/>
          <w:sz w:val="24"/>
        </w:rPr>
        <w:sectPr>
          <w:footerReference r:id="rId7" w:type="default"/>
          <w:footnotePr>
            <w:pos w:val="beneathText"/>
          </w:footnotePr>
          <w:pgSz w:w="11905" w:h="16838"/>
          <w:pgMar w:top="1440" w:right="1417" w:bottom="1440" w:left="1417" w:header="850" w:footer="992" w:gutter="0"/>
          <w:cols w:space="0" w:num="1"/>
          <w:docGrid w:type="lines" w:linePitch="317" w:charSpace="0"/>
        </w:sectPr>
      </w:pPr>
    </w:p>
    <w:p w14:paraId="564B83DD">
      <w:pPr>
        <w:adjustRightInd w:val="0"/>
        <w:snapToGrid w:val="0"/>
        <w:jc w:val="center"/>
        <w:outlineLvl w:val="1"/>
        <w:rPr>
          <w:color w:val="auto"/>
          <w:sz w:val="24"/>
        </w:rPr>
      </w:pPr>
      <w:r>
        <w:rPr>
          <w:rFonts w:hint="eastAsia"/>
          <w:b/>
          <w:color w:val="auto"/>
          <w:sz w:val="24"/>
          <w:lang w:val="en-US" w:eastAsia="zh-CN"/>
        </w:rPr>
        <w:t>四</w:t>
      </w:r>
      <w:r>
        <w:rPr>
          <w:b/>
          <w:color w:val="auto"/>
          <w:sz w:val="24"/>
        </w:rPr>
        <w:t>、资格证明材料</w:t>
      </w:r>
    </w:p>
    <w:p w14:paraId="40634B77">
      <w:pPr>
        <w:adjustRightInd w:val="0"/>
        <w:snapToGrid w:val="0"/>
        <w:jc w:val="center"/>
        <w:outlineLvl w:val="2"/>
        <w:rPr>
          <w:b/>
          <w:color w:val="auto"/>
          <w:sz w:val="24"/>
        </w:rPr>
      </w:pPr>
      <w:r>
        <w:rPr>
          <w:b/>
          <w:color w:val="auto"/>
          <w:sz w:val="24"/>
        </w:rPr>
        <w:t>（一）</w:t>
      </w:r>
      <w:r>
        <w:rPr>
          <w:rFonts w:hint="eastAsia"/>
          <w:b/>
          <w:color w:val="auto"/>
          <w:sz w:val="24"/>
        </w:rPr>
        <w:t>响应</w:t>
      </w:r>
      <w:r>
        <w:rPr>
          <w:b/>
          <w:color w:val="auto"/>
          <w:sz w:val="24"/>
        </w:rPr>
        <w:t>人基本情况表</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975"/>
        <w:gridCol w:w="2723"/>
        <w:gridCol w:w="1358"/>
        <w:gridCol w:w="2610"/>
      </w:tblGrid>
      <w:tr w14:paraId="2461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pct"/>
            <w:noWrap/>
            <w:vAlign w:val="center"/>
          </w:tcPr>
          <w:p w14:paraId="344DBEBE">
            <w:pPr>
              <w:adjustRightInd w:val="0"/>
              <w:snapToGrid w:val="0"/>
              <w:jc w:val="center"/>
              <w:rPr>
                <w:color w:val="auto"/>
                <w:sz w:val="24"/>
              </w:rPr>
            </w:pPr>
            <w:r>
              <w:rPr>
                <w:rFonts w:hint="eastAsia"/>
                <w:color w:val="auto"/>
                <w:sz w:val="24"/>
              </w:rPr>
              <w:t>响应</w:t>
            </w:r>
            <w:r>
              <w:rPr>
                <w:color w:val="auto"/>
                <w:sz w:val="24"/>
              </w:rPr>
              <w:t>人名称</w:t>
            </w:r>
          </w:p>
        </w:tc>
        <w:tc>
          <w:tcPr>
            <w:tcW w:w="4127" w:type="pct"/>
            <w:gridSpan w:val="4"/>
            <w:noWrap/>
            <w:vAlign w:val="center"/>
          </w:tcPr>
          <w:p w14:paraId="0708B9D7">
            <w:pPr>
              <w:adjustRightInd w:val="0"/>
              <w:snapToGrid w:val="0"/>
              <w:jc w:val="center"/>
              <w:rPr>
                <w:color w:val="auto"/>
                <w:sz w:val="24"/>
              </w:rPr>
            </w:pPr>
          </w:p>
        </w:tc>
      </w:tr>
      <w:tr w14:paraId="3B8E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pct"/>
            <w:noWrap/>
            <w:vAlign w:val="center"/>
          </w:tcPr>
          <w:p w14:paraId="5F9F145F">
            <w:pPr>
              <w:adjustRightInd w:val="0"/>
              <w:snapToGrid w:val="0"/>
              <w:jc w:val="center"/>
              <w:rPr>
                <w:color w:val="auto"/>
                <w:sz w:val="24"/>
              </w:rPr>
            </w:pPr>
            <w:r>
              <w:rPr>
                <w:color w:val="auto"/>
                <w:sz w:val="24"/>
              </w:rPr>
              <w:t>注册地址</w:t>
            </w:r>
          </w:p>
        </w:tc>
        <w:tc>
          <w:tcPr>
            <w:tcW w:w="1991" w:type="pct"/>
            <w:gridSpan w:val="2"/>
            <w:noWrap/>
            <w:vAlign w:val="center"/>
          </w:tcPr>
          <w:p w14:paraId="7D8CDB6C">
            <w:pPr>
              <w:adjustRightInd w:val="0"/>
              <w:snapToGrid w:val="0"/>
              <w:jc w:val="center"/>
              <w:rPr>
                <w:color w:val="auto"/>
                <w:sz w:val="24"/>
              </w:rPr>
            </w:pPr>
          </w:p>
        </w:tc>
        <w:tc>
          <w:tcPr>
            <w:tcW w:w="731" w:type="pct"/>
            <w:noWrap/>
            <w:vAlign w:val="center"/>
          </w:tcPr>
          <w:p w14:paraId="34D8E50A">
            <w:pPr>
              <w:adjustRightInd w:val="0"/>
              <w:snapToGrid w:val="0"/>
              <w:jc w:val="center"/>
              <w:rPr>
                <w:color w:val="auto"/>
                <w:sz w:val="24"/>
              </w:rPr>
            </w:pPr>
            <w:r>
              <w:rPr>
                <w:color w:val="auto"/>
                <w:sz w:val="24"/>
              </w:rPr>
              <w:t>邮政编码</w:t>
            </w:r>
          </w:p>
        </w:tc>
        <w:tc>
          <w:tcPr>
            <w:tcW w:w="1403" w:type="pct"/>
            <w:noWrap/>
            <w:vAlign w:val="center"/>
          </w:tcPr>
          <w:p w14:paraId="6D285B0E">
            <w:pPr>
              <w:adjustRightInd w:val="0"/>
              <w:snapToGrid w:val="0"/>
              <w:jc w:val="center"/>
              <w:rPr>
                <w:color w:val="auto"/>
                <w:sz w:val="24"/>
              </w:rPr>
            </w:pPr>
          </w:p>
        </w:tc>
      </w:tr>
      <w:tr w14:paraId="1466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pct"/>
            <w:vMerge w:val="restart"/>
            <w:noWrap/>
            <w:vAlign w:val="center"/>
          </w:tcPr>
          <w:p w14:paraId="649BAD58">
            <w:pPr>
              <w:adjustRightInd w:val="0"/>
              <w:snapToGrid w:val="0"/>
              <w:jc w:val="center"/>
              <w:rPr>
                <w:color w:val="auto"/>
                <w:sz w:val="24"/>
              </w:rPr>
            </w:pPr>
            <w:r>
              <w:rPr>
                <w:color w:val="auto"/>
                <w:sz w:val="24"/>
              </w:rPr>
              <w:t>联系方式</w:t>
            </w:r>
          </w:p>
        </w:tc>
        <w:tc>
          <w:tcPr>
            <w:tcW w:w="525" w:type="pct"/>
            <w:noWrap/>
            <w:vAlign w:val="center"/>
          </w:tcPr>
          <w:p w14:paraId="5EB5C06D">
            <w:pPr>
              <w:adjustRightInd w:val="0"/>
              <w:snapToGrid w:val="0"/>
              <w:jc w:val="center"/>
              <w:rPr>
                <w:color w:val="auto"/>
                <w:sz w:val="24"/>
              </w:rPr>
            </w:pPr>
            <w:r>
              <w:rPr>
                <w:color w:val="auto"/>
                <w:sz w:val="24"/>
              </w:rPr>
              <w:t>联系人</w:t>
            </w:r>
          </w:p>
        </w:tc>
        <w:tc>
          <w:tcPr>
            <w:tcW w:w="1466" w:type="pct"/>
            <w:noWrap/>
            <w:vAlign w:val="center"/>
          </w:tcPr>
          <w:p w14:paraId="7CB20600">
            <w:pPr>
              <w:adjustRightInd w:val="0"/>
              <w:snapToGrid w:val="0"/>
              <w:jc w:val="center"/>
              <w:rPr>
                <w:color w:val="auto"/>
                <w:sz w:val="24"/>
              </w:rPr>
            </w:pPr>
          </w:p>
        </w:tc>
        <w:tc>
          <w:tcPr>
            <w:tcW w:w="731" w:type="pct"/>
            <w:noWrap/>
            <w:vAlign w:val="center"/>
          </w:tcPr>
          <w:p w14:paraId="0ABA6926">
            <w:pPr>
              <w:adjustRightInd w:val="0"/>
              <w:snapToGrid w:val="0"/>
              <w:jc w:val="center"/>
              <w:rPr>
                <w:color w:val="auto"/>
                <w:sz w:val="24"/>
              </w:rPr>
            </w:pPr>
            <w:r>
              <w:rPr>
                <w:color w:val="auto"/>
                <w:sz w:val="24"/>
              </w:rPr>
              <w:t>电  话</w:t>
            </w:r>
          </w:p>
        </w:tc>
        <w:tc>
          <w:tcPr>
            <w:tcW w:w="1403" w:type="pct"/>
            <w:noWrap/>
            <w:vAlign w:val="center"/>
          </w:tcPr>
          <w:p w14:paraId="7C54FD7F">
            <w:pPr>
              <w:adjustRightInd w:val="0"/>
              <w:snapToGrid w:val="0"/>
              <w:jc w:val="center"/>
              <w:rPr>
                <w:color w:val="auto"/>
                <w:sz w:val="24"/>
              </w:rPr>
            </w:pPr>
          </w:p>
        </w:tc>
      </w:tr>
      <w:tr w14:paraId="0524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pct"/>
            <w:vMerge w:val="continue"/>
            <w:noWrap/>
            <w:vAlign w:val="center"/>
          </w:tcPr>
          <w:p w14:paraId="14159DF5">
            <w:pPr>
              <w:adjustRightInd w:val="0"/>
              <w:snapToGrid w:val="0"/>
              <w:jc w:val="center"/>
              <w:rPr>
                <w:color w:val="auto"/>
                <w:sz w:val="24"/>
              </w:rPr>
            </w:pPr>
          </w:p>
        </w:tc>
        <w:tc>
          <w:tcPr>
            <w:tcW w:w="525" w:type="pct"/>
            <w:noWrap/>
            <w:vAlign w:val="center"/>
          </w:tcPr>
          <w:p w14:paraId="5DF0A702">
            <w:pPr>
              <w:adjustRightInd w:val="0"/>
              <w:snapToGrid w:val="0"/>
              <w:jc w:val="center"/>
              <w:rPr>
                <w:color w:val="auto"/>
                <w:sz w:val="24"/>
              </w:rPr>
            </w:pPr>
            <w:r>
              <w:rPr>
                <w:color w:val="auto"/>
                <w:sz w:val="24"/>
              </w:rPr>
              <w:t>传  真</w:t>
            </w:r>
          </w:p>
        </w:tc>
        <w:tc>
          <w:tcPr>
            <w:tcW w:w="1466" w:type="pct"/>
            <w:noWrap/>
            <w:vAlign w:val="center"/>
          </w:tcPr>
          <w:p w14:paraId="4BBB67F8">
            <w:pPr>
              <w:adjustRightInd w:val="0"/>
              <w:snapToGrid w:val="0"/>
              <w:jc w:val="center"/>
              <w:rPr>
                <w:color w:val="auto"/>
                <w:sz w:val="24"/>
              </w:rPr>
            </w:pPr>
          </w:p>
        </w:tc>
        <w:tc>
          <w:tcPr>
            <w:tcW w:w="731" w:type="pct"/>
            <w:noWrap/>
            <w:vAlign w:val="center"/>
          </w:tcPr>
          <w:p w14:paraId="4A37A654">
            <w:pPr>
              <w:adjustRightInd w:val="0"/>
              <w:snapToGrid w:val="0"/>
              <w:jc w:val="center"/>
              <w:rPr>
                <w:color w:val="auto"/>
                <w:sz w:val="24"/>
              </w:rPr>
            </w:pPr>
            <w:r>
              <w:rPr>
                <w:color w:val="auto"/>
                <w:sz w:val="24"/>
              </w:rPr>
              <w:t>网  址</w:t>
            </w:r>
          </w:p>
        </w:tc>
        <w:tc>
          <w:tcPr>
            <w:tcW w:w="1403" w:type="pct"/>
            <w:noWrap/>
            <w:vAlign w:val="center"/>
          </w:tcPr>
          <w:p w14:paraId="077AAFCA">
            <w:pPr>
              <w:adjustRightInd w:val="0"/>
              <w:snapToGrid w:val="0"/>
              <w:jc w:val="center"/>
              <w:rPr>
                <w:color w:val="auto"/>
                <w:sz w:val="24"/>
              </w:rPr>
            </w:pPr>
          </w:p>
        </w:tc>
      </w:tr>
      <w:tr w14:paraId="5045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pct"/>
            <w:noWrap/>
            <w:vAlign w:val="center"/>
          </w:tcPr>
          <w:p w14:paraId="6A1373A0">
            <w:pPr>
              <w:adjustRightInd w:val="0"/>
              <w:snapToGrid w:val="0"/>
              <w:jc w:val="center"/>
              <w:rPr>
                <w:color w:val="auto"/>
                <w:sz w:val="24"/>
              </w:rPr>
            </w:pPr>
            <w:r>
              <w:rPr>
                <w:color w:val="auto"/>
                <w:sz w:val="24"/>
              </w:rPr>
              <w:t>组织结构</w:t>
            </w:r>
          </w:p>
        </w:tc>
        <w:tc>
          <w:tcPr>
            <w:tcW w:w="4127" w:type="pct"/>
            <w:gridSpan w:val="4"/>
            <w:noWrap/>
            <w:vAlign w:val="center"/>
          </w:tcPr>
          <w:p w14:paraId="0788536C">
            <w:pPr>
              <w:adjustRightInd w:val="0"/>
              <w:snapToGrid w:val="0"/>
              <w:jc w:val="center"/>
              <w:rPr>
                <w:color w:val="auto"/>
                <w:sz w:val="24"/>
              </w:rPr>
            </w:pPr>
          </w:p>
        </w:tc>
      </w:tr>
      <w:tr w14:paraId="2461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pct"/>
            <w:noWrap/>
            <w:vAlign w:val="center"/>
          </w:tcPr>
          <w:p w14:paraId="3DC403DE">
            <w:pPr>
              <w:adjustRightInd w:val="0"/>
              <w:snapToGrid w:val="0"/>
              <w:jc w:val="center"/>
              <w:rPr>
                <w:color w:val="auto"/>
                <w:sz w:val="24"/>
              </w:rPr>
            </w:pPr>
            <w:r>
              <w:rPr>
                <w:color w:val="auto"/>
                <w:sz w:val="24"/>
              </w:rPr>
              <w:t>法定代表人</w:t>
            </w:r>
          </w:p>
        </w:tc>
        <w:tc>
          <w:tcPr>
            <w:tcW w:w="525" w:type="pct"/>
            <w:noWrap/>
            <w:vAlign w:val="center"/>
          </w:tcPr>
          <w:p w14:paraId="440E453F">
            <w:pPr>
              <w:adjustRightInd w:val="0"/>
              <w:snapToGrid w:val="0"/>
              <w:jc w:val="center"/>
              <w:rPr>
                <w:color w:val="auto"/>
                <w:sz w:val="24"/>
              </w:rPr>
            </w:pPr>
            <w:r>
              <w:rPr>
                <w:color w:val="auto"/>
                <w:sz w:val="24"/>
              </w:rPr>
              <w:t>姓名</w:t>
            </w:r>
          </w:p>
        </w:tc>
        <w:tc>
          <w:tcPr>
            <w:tcW w:w="1466" w:type="pct"/>
            <w:noWrap/>
            <w:vAlign w:val="center"/>
          </w:tcPr>
          <w:p w14:paraId="16DB7016">
            <w:pPr>
              <w:adjustRightInd w:val="0"/>
              <w:snapToGrid w:val="0"/>
              <w:jc w:val="center"/>
              <w:rPr>
                <w:color w:val="auto"/>
                <w:sz w:val="24"/>
              </w:rPr>
            </w:pPr>
          </w:p>
        </w:tc>
        <w:tc>
          <w:tcPr>
            <w:tcW w:w="731" w:type="pct"/>
            <w:noWrap/>
            <w:vAlign w:val="center"/>
          </w:tcPr>
          <w:p w14:paraId="052D8384">
            <w:pPr>
              <w:adjustRightInd w:val="0"/>
              <w:snapToGrid w:val="0"/>
              <w:jc w:val="center"/>
              <w:rPr>
                <w:color w:val="auto"/>
                <w:sz w:val="24"/>
              </w:rPr>
            </w:pPr>
            <w:r>
              <w:rPr>
                <w:color w:val="auto"/>
                <w:sz w:val="24"/>
              </w:rPr>
              <w:t>电话</w:t>
            </w:r>
          </w:p>
        </w:tc>
        <w:tc>
          <w:tcPr>
            <w:tcW w:w="1403" w:type="pct"/>
            <w:noWrap/>
            <w:vAlign w:val="center"/>
          </w:tcPr>
          <w:p w14:paraId="705C65F9">
            <w:pPr>
              <w:adjustRightInd w:val="0"/>
              <w:snapToGrid w:val="0"/>
              <w:jc w:val="center"/>
              <w:rPr>
                <w:color w:val="auto"/>
                <w:sz w:val="24"/>
              </w:rPr>
            </w:pPr>
          </w:p>
        </w:tc>
      </w:tr>
      <w:tr w14:paraId="1C0D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pct"/>
            <w:noWrap/>
            <w:vAlign w:val="center"/>
          </w:tcPr>
          <w:p w14:paraId="05E0F280">
            <w:pPr>
              <w:adjustRightInd w:val="0"/>
              <w:snapToGrid w:val="0"/>
              <w:jc w:val="center"/>
              <w:rPr>
                <w:color w:val="auto"/>
                <w:sz w:val="24"/>
              </w:rPr>
            </w:pPr>
            <w:r>
              <w:rPr>
                <w:color w:val="auto"/>
                <w:sz w:val="24"/>
              </w:rPr>
              <w:t>成立时间</w:t>
            </w:r>
          </w:p>
        </w:tc>
        <w:tc>
          <w:tcPr>
            <w:tcW w:w="4127" w:type="pct"/>
            <w:gridSpan w:val="4"/>
            <w:noWrap/>
            <w:vAlign w:val="center"/>
          </w:tcPr>
          <w:p w14:paraId="3B6349CC">
            <w:pPr>
              <w:adjustRightInd w:val="0"/>
              <w:snapToGrid w:val="0"/>
              <w:jc w:val="center"/>
              <w:rPr>
                <w:color w:val="auto"/>
                <w:sz w:val="24"/>
              </w:rPr>
            </w:pPr>
          </w:p>
        </w:tc>
      </w:tr>
      <w:tr w14:paraId="464A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pct"/>
            <w:noWrap/>
            <w:vAlign w:val="center"/>
          </w:tcPr>
          <w:p w14:paraId="7A81919C">
            <w:pPr>
              <w:adjustRightInd w:val="0"/>
              <w:snapToGrid w:val="0"/>
              <w:jc w:val="center"/>
              <w:rPr>
                <w:color w:val="auto"/>
                <w:sz w:val="24"/>
              </w:rPr>
            </w:pPr>
            <w:r>
              <w:rPr>
                <w:color w:val="auto"/>
                <w:sz w:val="24"/>
              </w:rPr>
              <w:t>营业执照号</w:t>
            </w:r>
          </w:p>
        </w:tc>
        <w:tc>
          <w:tcPr>
            <w:tcW w:w="4127" w:type="pct"/>
            <w:gridSpan w:val="4"/>
            <w:noWrap/>
            <w:vAlign w:val="center"/>
          </w:tcPr>
          <w:p w14:paraId="3145D6AB">
            <w:pPr>
              <w:adjustRightInd w:val="0"/>
              <w:snapToGrid w:val="0"/>
              <w:jc w:val="center"/>
              <w:rPr>
                <w:color w:val="auto"/>
                <w:sz w:val="24"/>
              </w:rPr>
            </w:pPr>
          </w:p>
        </w:tc>
      </w:tr>
      <w:tr w14:paraId="6A71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pct"/>
            <w:noWrap/>
            <w:vAlign w:val="center"/>
          </w:tcPr>
          <w:p w14:paraId="5ECD21D2">
            <w:pPr>
              <w:adjustRightInd w:val="0"/>
              <w:snapToGrid w:val="0"/>
              <w:jc w:val="center"/>
              <w:rPr>
                <w:color w:val="auto"/>
                <w:sz w:val="24"/>
              </w:rPr>
            </w:pPr>
            <w:r>
              <w:rPr>
                <w:color w:val="auto"/>
                <w:sz w:val="24"/>
              </w:rPr>
              <w:t>注册资金</w:t>
            </w:r>
          </w:p>
        </w:tc>
        <w:tc>
          <w:tcPr>
            <w:tcW w:w="4127" w:type="pct"/>
            <w:gridSpan w:val="4"/>
            <w:noWrap/>
            <w:vAlign w:val="center"/>
          </w:tcPr>
          <w:p w14:paraId="38B70FB3">
            <w:pPr>
              <w:adjustRightInd w:val="0"/>
              <w:snapToGrid w:val="0"/>
              <w:jc w:val="center"/>
              <w:rPr>
                <w:color w:val="auto"/>
                <w:sz w:val="24"/>
              </w:rPr>
            </w:pPr>
          </w:p>
        </w:tc>
      </w:tr>
      <w:tr w14:paraId="6780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pct"/>
            <w:noWrap/>
            <w:vAlign w:val="center"/>
          </w:tcPr>
          <w:p w14:paraId="458EE86C">
            <w:pPr>
              <w:adjustRightInd w:val="0"/>
              <w:snapToGrid w:val="0"/>
              <w:jc w:val="center"/>
              <w:rPr>
                <w:color w:val="auto"/>
                <w:sz w:val="24"/>
              </w:rPr>
            </w:pPr>
            <w:r>
              <w:rPr>
                <w:color w:val="auto"/>
                <w:sz w:val="24"/>
              </w:rPr>
              <w:t>开户银行</w:t>
            </w:r>
          </w:p>
        </w:tc>
        <w:tc>
          <w:tcPr>
            <w:tcW w:w="4127" w:type="pct"/>
            <w:gridSpan w:val="4"/>
            <w:noWrap/>
            <w:vAlign w:val="center"/>
          </w:tcPr>
          <w:p w14:paraId="5067F8B7">
            <w:pPr>
              <w:adjustRightInd w:val="0"/>
              <w:snapToGrid w:val="0"/>
              <w:jc w:val="center"/>
              <w:rPr>
                <w:color w:val="auto"/>
                <w:sz w:val="24"/>
              </w:rPr>
            </w:pPr>
          </w:p>
        </w:tc>
      </w:tr>
      <w:tr w14:paraId="607E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2" w:type="pct"/>
            <w:noWrap/>
            <w:vAlign w:val="center"/>
          </w:tcPr>
          <w:p w14:paraId="6C181FBE">
            <w:pPr>
              <w:adjustRightInd w:val="0"/>
              <w:snapToGrid w:val="0"/>
              <w:jc w:val="center"/>
              <w:rPr>
                <w:color w:val="auto"/>
                <w:sz w:val="24"/>
              </w:rPr>
            </w:pPr>
            <w:r>
              <w:rPr>
                <w:color w:val="auto"/>
                <w:sz w:val="24"/>
              </w:rPr>
              <w:t>账号</w:t>
            </w:r>
          </w:p>
        </w:tc>
        <w:tc>
          <w:tcPr>
            <w:tcW w:w="4127" w:type="pct"/>
            <w:gridSpan w:val="4"/>
            <w:noWrap/>
            <w:vAlign w:val="center"/>
          </w:tcPr>
          <w:p w14:paraId="11287935">
            <w:pPr>
              <w:adjustRightInd w:val="0"/>
              <w:snapToGrid w:val="0"/>
              <w:jc w:val="center"/>
              <w:rPr>
                <w:color w:val="auto"/>
                <w:sz w:val="24"/>
              </w:rPr>
            </w:pPr>
          </w:p>
        </w:tc>
      </w:tr>
      <w:tr w14:paraId="6207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872" w:type="pct"/>
            <w:noWrap/>
            <w:vAlign w:val="center"/>
          </w:tcPr>
          <w:p w14:paraId="7CB4C5AF">
            <w:pPr>
              <w:adjustRightInd w:val="0"/>
              <w:snapToGrid w:val="0"/>
              <w:jc w:val="center"/>
              <w:rPr>
                <w:color w:val="auto"/>
                <w:sz w:val="24"/>
              </w:rPr>
            </w:pPr>
            <w:r>
              <w:rPr>
                <w:color w:val="auto"/>
                <w:sz w:val="24"/>
              </w:rPr>
              <w:t>经营范围</w:t>
            </w:r>
          </w:p>
        </w:tc>
        <w:tc>
          <w:tcPr>
            <w:tcW w:w="4127" w:type="pct"/>
            <w:gridSpan w:val="4"/>
            <w:noWrap/>
            <w:vAlign w:val="center"/>
          </w:tcPr>
          <w:p w14:paraId="4B221748">
            <w:pPr>
              <w:adjustRightInd w:val="0"/>
              <w:snapToGrid w:val="0"/>
              <w:jc w:val="center"/>
              <w:rPr>
                <w:color w:val="auto"/>
                <w:sz w:val="24"/>
              </w:rPr>
            </w:pPr>
          </w:p>
        </w:tc>
      </w:tr>
      <w:tr w14:paraId="4FC1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72" w:type="pct"/>
            <w:noWrap/>
            <w:vAlign w:val="center"/>
          </w:tcPr>
          <w:p w14:paraId="3B45D599">
            <w:pPr>
              <w:adjustRightInd w:val="0"/>
              <w:snapToGrid w:val="0"/>
              <w:jc w:val="center"/>
              <w:rPr>
                <w:color w:val="auto"/>
                <w:sz w:val="24"/>
              </w:rPr>
            </w:pPr>
            <w:r>
              <w:rPr>
                <w:color w:val="auto"/>
                <w:sz w:val="24"/>
              </w:rPr>
              <w:t>备注</w:t>
            </w:r>
          </w:p>
        </w:tc>
        <w:tc>
          <w:tcPr>
            <w:tcW w:w="4127" w:type="pct"/>
            <w:gridSpan w:val="4"/>
            <w:noWrap/>
            <w:vAlign w:val="center"/>
          </w:tcPr>
          <w:p w14:paraId="17E8BE33">
            <w:pPr>
              <w:adjustRightInd w:val="0"/>
              <w:snapToGrid w:val="0"/>
              <w:jc w:val="center"/>
              <w:rPr>
                <w:color w:val="auto"/>
                <w:sz w:val="24"/>
              </w:rPr>
            </w:pPr>
          </w:p>
        </w:tc>
      </w:tr>
    </w:tbl>
    <w:p w14:paraId="322E39B6">
      <w:pPr>
        <w:adjustRightInd w:val="0"/>
        <w:snapToGrid w:val="0"/>
        <w:rPr>
          <w:color w:val="auto"/>
          <w:szCs w:val="21"/>
        </w:rPr>
      </w:pPr>
    </w:p>
    <w:p w14:paraId="06C1FD71">
      <w:pPr>
        <w:adjustRightInd w:val="0"/>
        <w:snapToGrid w:val="0"/>
        <w:ind w:firstLine="480" w:firstLineChars="200"/>
        <w:rPr>
          <w:color w:val="auto"/>
          <w:sz w:val="24"/>
        </w:rPr>
      </w:pPr>
      <w:r>
        <w:rPr>
          <w:color w:val="auto"/>
          <w:sz w:val="24"/>
        </w:rPr>
        <w:t>备注：本表后应附企业法人营业执照</w:t>
      </w:r>
      <w:r>
        <w:rPr>
          <w:rFonts w:hint="eastAsia"/>
          <w:color w:val="auto"/>
          <w:sz w:val="24"/>
        </w:rPr>
        <w:t>或事业单位法人证书、</w:t>
      </w:r>
      <w:r>
        <w:rPr>
          <w:rFonts w:hint="eastAsia" w:ascii="宋体" w:hAnsi="宋体" w:eastAsia="宋体" w:cs="宋体"/>
          <w:color w:val="auto"/>
          <w:sz w:val="22"/>
          <w:szCs w:val="22"/>
        </w:rPr>
        <w:t>实验室认可证书、</w:t>
      </w:r>
      <w:r>
        <w:rPr>
          <w:rFonts w:hint="eastAsia"/>
          <w:color w:val="auto"/>
          <w:sz w:val="24"/>
        </w:rPr>
        <w:t>校准和测量能力被测量参数</w:t>
      </w:r>
      <w:r>
        <w:rPr>
          <w:color w:val="auto"/>
          <w:sz w:val="24"/>
        </w:rPr>
        <w:t>等涉及评审材料的复印件。</w:t>
      </w:r>
    </w:p>
    <w:p w14:paraId="503700C5">
      <w:pPr>
        <w:adjustRightInd w:val="0"/>
        <w:snapToGrid w:val="0"/>
        <w:jc w:val="center"/>
        <w:outlineLvl w:val="2"/>
        <w:rPr>
          <w:color w:val="auto"/>
          <w:sz w:val="24"/>
        </w:rPr>
      </w:pPr>
      <w:r>
        <w:rPr>
          <w:color w:val="auto"/>
          <w:szCs w:val="21"/>
        </w:rPr>
        <w:br w:type="page"/>
      </w:r>
      <w:r>
        <w:rPr>
          <w:b/>
          <w:color w:val="auto"/>
          <w:sz w:val="24"/>
        </w:rPr>
        <w:t>（二）类似业绩表</w:t>
      </w:r>
    </w:p>
    <w:tbl>
      <w:tblPr>
        <w:tblStyle w:val="20"/>
        <w:tblW w:w="48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4"/>
        <w:gridCol w:w="6191"/>
      </w:tblGrid>
      <w:tr w14:paraId="1273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539" w:type="pct"/>
            <w:noWrap/>
            <w:vAlign w:val="center"/>
          </w:tcPr>
          <w:p w14:paraId="1602127A">
            <w:pPr>
              <w:adjustRightInd w:val="0"/>
              <w:snapToGrid w:val="0"/>
              <w:jc w:val="center"/>
              <w:rPr>
                <w:color w:val="auto"/>
                <w:sz w:val="24"/>
              </w:rPr>
            </w:pPr>
            <w:r>
              <w:rPr>
                <w:color w:val="auto"/>
                <w:sz w:val="24"/>
              </w:rPr>
              <w:t>项目名称</w:t>
            </w:r>
          </w:p>
        </w:tc>
        <w:tc>
          <w:tcPr>
            <w:tcW w:w="3460" w:type="pct"/>
            <w:noWrap/>
            <w:vAlign w:val="center"/>
          </w:tcPr>
          <w:p w14:paraId="66393A80">
            <w:pPr>
              <w:adjustRightInd w:val="0"/>
              <w:snapToGrid w:val="0"/>
              <w:jc w:val="center"/>
              <w:rPr>
                <w:color w:val="auto"/>
                <w:sz w:val="24"/>
              </w:rPr>
            </w:pPr>
          </w:p>
        </w:tc>
      </w:tr>
      <w:tr w14:paraId="7435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539" w:type="pct"/>
            <w:noWrap/>
            <w:vAlign w:val="center"/>
          </w:tcPr>
          <w:p w14:paraId="6658E8E9">
            <w:pPr>
              <w:adjustRightInd w:val="0"/>
              <w:snapToGrid w:val="0"/>
              <w:jc w:val="center"/>
              <w:rPr>
                <w:color w:val="auto"/>
                <w:sz w:val="24"/>
              </w:rPr>
            </w:pPr>
            <w:r>
              <w:rPr>
                <w:color w:val="auto"/>
                <w:sz w:val="24"/>
              </w:rPr>
              <w:t>项目所在地</w:t>
            </w:r>
          </w:p>
        </w:tc>
        <w:tc>
          <w:tcPr>
            <w:tcW w:w="3460" w:type="pct"/>
            <w:noWrap/>
            <w:vAlign w:val="center"/>
          </w:tcPr>
          <w:p w14:paraId="7DA4ABB4">
            <w:pPr>
              <w:adjustRightInd w:val="0"/>
              <w:snapToGrid w:val="0"/>
              <w:jc w:val="center"/>
              <w:rPr>
                <w:color w:val="auto"/>
                <w:sz w:val="24"/>
              </w:rPr>
            </w:pPr>
          </w:p>
        </w:tc>
      </w:tr>
      <w:tr w14:paraId="0A50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539" w:type="pct"/>
            <w:noWrap/>
            <w:vAlign w:val="center"/>
          </w:tcPr>
          <w:p w14:paraId="3EAAD1F1">
            <w:pPr>
              <w:topLinePunct/>
              <w:adjustRightInd w:val="0"/>
              <w:snapToGrid w:val="0"/>
              <w:jc w:val="center"/>
              <w:rPr>
                <w:color w:val="auto"/>
                <w:sz w:val="24"/>
              </w:rPr>
            </w:pPr>
            <w:r>
              <w:rPr>
                <w:color w:val="auto"/>
                <w:sz w:val="24"/>
              </w:rPr>
              <w:t>买方名称</w:t>
            </w:r>
          </w:p>
        </w:tc>
        <w:tc>
          <w:tcPr>
            <w:tcW w:w="3460" w:type="pct"/>
            <w:noWrap/>
            <w:vAlign w:val="center"/>
          </w:tcPr>
          <w:p w14:paraId="2825315E">
            <w:pPr>
              <w:adjustRightInd w:val="0"/>
              <w:snapToGrid w:val="0"/>
              <w:jc w:val="center"/>
              <w:rPr>
                <w:color w:val="auto"/>
                <w:sz w:val="24"/>
              </w:rPr>
            </w:pPr>
          </w:p>
        </w:tc>
      </w:tr>
      <w:tr w14:paraId="03F1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539" w:type="pct"/>
            <w:noWrap/>
            <w:vAlign w:val="center"/>
          </w:tcPr>
          <w:p w14:paraId="06035FD3">
            <w:pPr>
              <w:topLinePunct/>
              <w:adjustRightInd w:val="0"/>
              <w:snapToGrid w:val="0"/>
              <w:jc w:val="center"/>
              <w:rPr>
                <w:color w:val="auto"/>
                <w:sz w:val="24"/>
              </w:rPr>
            </w:pPr>
            <w:r>
              <w:rPr>
                <w:color w:val="auto"/>
                <w:sz w:val="24"/>
              </w:rPr>
              <w:t>买方地址</w:t>
            </w:r>
          </w:p>
        </w:tc>
        <w:tc>
          <w:tcPr>
            <w:tcW w:w="3460" w:type="pct"/>
            <w:noWrap/>
            <w:vAlign w:val="center"/>
          </w:tcPr>
          <w:p w14:paraId="22156C9F">
            <w:pPr>
              <w:adjustRightInd w:val="0"/>
              <w:snapToGrid w:val="0"/>
              <w:jc w:val="center"/>
              <w:rPr>
                <w:color w:val="auto"/>
                <w:sz w:val="24"/>
              </w:rPr>
            </w:pPr>
          </w:p>
        </w:tc>
      </w:tr>
      <w:tr w14:paraId="3E55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539" w:type="pct"/>
            <w:noWrap/>
            <w:vAlign w:val="center"/>
          </w:tcPr>
          <w:p w14:paraId="2CC81C2C">
            <w:pPr>
              <w:adjustRightInd w:val="0"/>
              <w:snapToGrid w:val="0"/>
              <w:jc w:val="center"/>
              <w:rPr>
                <w:color w:val="auto"/>
                <w:sz w:val="24"/>
              </w:rPr>
            </w:pPr>
            <w:r>
              <w:rPr>
                <w:color w:val="auto"/>
                <w:sz w:val="24"/>
              </w:rPr>
              <w:t>买方联系人及电话</w:t>
            </w:r>
          </w:p>
        </w:tc>
        <w:tc>
          <w:tcPr>
            <w:tcW w:w="3460" w:type="pct"/>
            <w:noWrap/>
            <w:vAlign w:val="center"/>
          </w:tcPr>
          <w:p w14:paraId="0A7BECA8">
            <w:pPr>
              <w:adjustRightInd w:val="0"/>
              <w:snapToGrid w:val="0"/>
              <w:jc w:val="center"/>
              <w:rPr>
                <w:color w:val="auto"/>
                <w:sz w:val="24"/>
              </w:rPr>
            </w:pPr>
          </w:p>
        </w:tc>
      </w:tr>
      <w:tr w14:paraId="50C7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539" w:type="pct"/>
            <w:noWrap/>
            <w:vAlign w:val="center"/>
          </w:tcPr>
          <w:p w14:paraId="532EBE73">
            <w:pPr>
              <w:adjustRightInd w:val="0"/>
              <w:snapToGrid w:val="0"/>
              <w:jc w:val="center"/>
              <w:rPr>
                <w:color w:val="auto"/>
                <w:sz w:val="24"/>
              </w:rPr>
            </w:pPr>
            <w:r>
              <w:rPr>
                <w:color w:val="auto"/>
                <w:sz w:val="24"/>
              </w:rPr>
              <w:t>合同价格</w:t>
            </w:r>
          </w:p>
        </w:tc>
        <w:tc>
          <w:tcPr>
            <w:tcW w:w="3460" w:type="pct"/>
            <w:noWrap/>
            <w:vAlign w:val="center"/>
          </w:tcPr>
          <w:p w14:paraId="183E0029">
            <w:pPr>
              <w:adjustRightInd w:val="0"/>
              <w:snapToGrid w:val="0"/>
              <w:jc w:val="center"/>
              <w:rPr>
                <w:color w:val="auto"/>
                <w:sz w:val="24"/>
              </w:rPr>
            </w:pPr>
          </w:p>
        </w:tc>
      </w:tr>
      <w:tr w14:paraId="4EA4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539" w:type="pct"/>
            <w:noWrap/>
            <w:vAlign w:val="center"/>
          </w:tcPr>
          <w:p w14:paraId="6B95C4D3">
            <w:pPr>
              <w:adjustRightInd w:val="0"/>
              <w:snapToGrid w:val="0"/>
              <w:jc w:val="center"/>
              <w:rPr>
                <w:color w:val="auto"/>
                <w:sz w:val="24"/>
              </w:rPr>
            </w:pPr>
            <w:r>
              <w:rPr>
                <w:color w:val="auto"/>
                <w:sz w:val="24"/>
              </w:rPr>
              <w:t>合同签订日期</w:t>
            </w:r>
          </w:p>
        </w:tc>
        <w:tc>
          <w:tcPr>
            <w:tcW w:w="3460" w:type="pct"/>
            <w:noWrap/>
            <w:vAlign w:val="center"/>
          </w:tcPr>
          <w:p w14:paraId="1DBFBA4D">
            <w:pPr>
              <w:adjustRightInd w:val="0"/>
              <w:snapToGrid w:val="0"/>
              <w:jc w:val="center"/>
              <w:rPr>
                <w:color w:val="auto"/>
                <w:sz w:val="24"/>
              </w:rPr>
            </w:pPr>
          </w:p>
        </w:tc>
      </w:tr>
      <w:tr w14:paraId="66DD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539" w:type="pct"/>
            <w:noWrap/>
            <w:vAlign w:val="center"/>
          </w:tcPr>
          <w:p w14:paraId="53D80BC3">
            <w:pPr>
              <w:adjustRightInd w:val="0"/>
              <w:snapToGrid w:val="0"/>
              <w:jc w:val="center"/>
              <w:rPr>
                <w:color w:val="auto"/>
                <w:sz w:val="24"/>
              </w:rPr>
            </w:pPr>
            <w:r>
              <w:rPr>
                <w:color w:val="auto"/>
                <w:sz w:val="24"/>
              </w:rPr>
              <w:t>供货内容及数量</w:t>
            </w:r>
          </w:p>
        </w:tc>
        <w:tc>
          <w:tcPr>
            <w:tcW w:w="3460" w:type="pct"/>
            <w:noWrap/>
            <w:vAlign w:val="center"/>
          </w:tcPr>
          <w:p w14:paraId="4F3C5813">
            <w:pPr>
              <w:adjustRightInd w:val="0"/>
              <w:snapToGrid w:val="0"/>
              <w:jc w:val="center"/>
              <w:rPr>
                <w:color w:val="auto"/>
                <w:sz w:val="24"/>
              </w:rPr>
            </w:pPr>
          </w:p>
        </w:tc>
      </w:tr>
      <w:tr w14:paraId="1917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539" w:type="pct"/>
            <w:noWrap/>
            <w:vAlign w:val="center"/>
          </w:tcPr>
          <w:p w14:paraId="516E858B">
            <w:pPr>
              <w:adjustRightInd w:val="0"/>
              <w:snapToGrid w:val="0"/>
              <w:jc w:val="center"/>
              <w:rPr>
                <w:color w:val="auto"/>
                <w:sz w:val="24"/>
              </w:rPr>
            </w:pPr>
            <w:r>
              <w:rPr>
                <w:color w:val="auto"/>
                <w:sz w:val="24"/>
              </w:rPr>
              <w:t>质量</w:t>
            </w:r>
          </w:p>
        </w:tc>
        <w:tc>
          <w:tcPr>
            <w:tcW w:w="3460" w:type="pct"/>
            <w:noWrap/>
            <w:vAlign w:val="center"/>
          </w:tcPr>
          <w:p w14:paraId="315DCA84">
            <w:pPr>
              <w:adjustRightInd w:val="0"/>
              <w:snapToGrid w:val="0"/>
              <w:jc w:val="center"/>
              <w:rPr>
                <w:color w:val="auto"/>
                <w:sz w:val="24"/>
              </w:rPr>
            </w:pPr>
          </w:p>
        </w:tc>
      </w:tr>
      <w:tr w14:paraId="009C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539" w:type="pct"/>
            <w:noWrap/>
            <w:vAlign w:val="center"/>
          </w:tcPr>
          <w:p w14:paraId="0AA91205">
            <w:pPr>
              <w:adjustRightInd w:val="0"/>
              <w:snapToGrid w:val="0"/>
              <w:jc w:val="center"/>
              <w:rPr>
                <w:color w:val="auto"/>
                <w:sz w:val="24"/>
              </w:rPr>
            </w:pPr>
            <w:r>
              <w:rPr>
                <w:color w:val="auto"/>
                <w:sz w:val="24"/>
              </w:rPr>
              <w:t>备注</w:t>
            </w:r>
          </w:p>
        </w:tc>
        <w:tc>
          <w:tcPr>
            <w:tcW w:w="3460" w:type="pct"/>
            <w:noWrap/>
            <w:vAlign w:val="center"/>
          </w:tcPr>
          <w:p w14:paraId="2E28BF1B">
            <w:pPr>
              <w:adjustRightInd w:val="0"/>
              <w:snapToGrid w:val="0"/>
              <w:jc w:val="center"/>
              <w:rPr>
                <w:color w:val="auto"/>
                <w:sz w:val="24"/>
              </w:rPr>
            </w:pPr>
          </w:p>
        </w:tc>
      </w:tr>
    </w:tbl>
    <w:p w14:paraId="70A2820C">
      <w:pPr>
        <w:adjustRightInd w:val="0"/>
        <w:snapToGrid w:val="0"/>
        <w:rPr>
          <w:b/>
          <w:bCs/>
          <w:color w:val="auto"/>
          <w:sz w:val="24"/>
        </w:rPr>
      </w:pPr>
      <w:r>
        <w:rPr>
          <w:b/>
          <w:bCs/>
          <w:color w:val="auto"/>
          <w:sz w:val="24"/>
        </w:rPr>
        <w:t>备注：</w:t>
      </w:r>
    </w:p>
    <w:p w14:paraId="7E353FDD">
      <w:pPr>
        <w:adjustRightInd w:val="0"/>
        <w:snapToGrid w:val="0"/>
        <w:rPr>
          <w:color w:val="auto"/>
          <w:sz w:val="24"/>
        </w:rPr>
      </w:pPr>
      <w:r>
        <w:rPr>
          <w:color w:val="auto"/>
          <w:sz w:val="24"/>
        </w:rPr>
        <w:t>1、根据</w:t>
      </w:r>
      <w:r>
        <w:rPr>
          <w:rFonts w:hint="eastAsia" w:ascii="Times New Roman" w:hAnsi="Times New Roman"/>
          <w:color w:val="auto"/>
          <w:sz w:val="24"/>
        </w:rPr>
        <w:t>响应</w:t>
      </w:r>
      <w:r>
        <w:rPr>
          <w:color w:val="auto"/>
          <w:sz w:val="24"/>
        </w:rPr>
        <w:t>文件及</w:t>
      </w:r>
      <w:r>
        <w:rPr>
          <w:rFonts w:hint="eastAsia"/>
          <w:color w:val="auto"/>
          <w:sz w:val="24"/>
        </w:rPr>
        <w:t>评审</w:t>
      </w:r>
      <w:r>
        <w:rPr>
          <w:color w:val="auto"/>
          <w:sz w:val="24"/>
        </w:rPr>
        <w:t>办法要求自行填写，每张表格只填写一个项目，并标明序号。</w:t>
      </w:r>
    </w:p>
    <w:p w14:paraId="483D7274">
      <w:pPr>
        <w:adjustRightInd w:val="0"/>
        <w:snapToGrid w:val="0"/>
        <w:rPr>
          <w:rFonts w:eastAsia="宋体"/>
          <w:color w:val="auto"/>
          <w:sz w:val="24"/>
        </w:rPr>
      </w:pPr>
      <w:r>
        <w:rPr>
          <w:color w:val="auto"/>
          <w:sz w:val="24"/>
        </w:rPr>
        <w:t>2、表后附证明材料，具体证明材料要求见</w:t>
      </w:r>
      <w:r>
        <w:rPr>
          <w:rFonts w:hint="eastAsia"/>
          <w:color w:val="auto"/>
          <w:sz w:val="24"/>
        </w:rPr>
        <w:t>询比</w:t>
      </w:r>
      <w:r>
        <w:rPr>
          <w:color w:val="auto"/>
          <w:sz w:val="24"/>
        </w:rPr>
        <w:t>文件及评</w:t>
      </w:r>
      <w:r>
        <w:rPr>
          <w:rFonts w:hint="eastAsia"/>
          <w:color w:val="auto"/>
          <w:sz w:val="24"/>
        </w:rPr>
        <w:t>审</w:t>
      </w:r>
      <w:r>
        <w:rPr>
          <w:color w:val="auto"/>
          <w:sz w:val="24"/>
        </w:rPr>
        <w:t>办法。</w:t>
      </w:r>
      <w:r>
        <w:rPr>
          <w:rFonts w:hint="eastAsia"/>
          <w:color w:val="auto"/>
          <w:sz w:val="24"/>
        </w:rPr>
        <w:t>该项目如有履约反馈或业主评价或验收报告等材料，可附在表后。</w:t>
      </w:r>
    </w:p>
    <w:p w14:paraId="63E9E48A">
      <w:pPr>
        <w:adjustRightInd w:val="0"/>
        <w:snapToGrid w:val="0"/>
        <w:rPr>
          <w:color w:val="auto"/>
          <w:sz w:val="24"/>
        </w:rPr>
      </w:pPr>
      <w:r>
        <w:rPr>
          <w:color w:val="auto"/>
          <w:sz w:val="24"/>
        </w:rPr>
        <w:t>3、如近年来，</w:t>
      </w:r>
      <w:r>
        <w:rPr>
          <w:rFonts w:hint="eastAsia" w:ascii="Times New Roman" w:hAnsi="Times New Roman"/>
          <w:color w:val="auto"/>
          <w:sz w:val="24"/>
        </w:rPr>
        <w:t>响应</w:t>
      </w:r>
      <w:r>
        <w:rPr>
          <w:color w:val="auto"/>
          <w:sz w:val="24"/>
        </w:rPr>
        <w:t>人法人机构发生合法变更或重组或法人名称变更时（即合同协议书中名称与</w:t>
      </w:r>
      <w:r>
        <w:rPr>
          <w:rFonts w:hint="eastAsia"/>
          <w:color w:val="auto"/>
          <w:sz w:val="24"/>
        </w:rPr>
        <w:t>供应商</w:t>
      </w:r>
      <w:r>
        <w:rPr>
          <w:color w:val="auto"/>
          <w:sz w:val="24"/>
        </w:rPr>
        <w:t>名称不一致），应提供相关部门的合法批件或其他相关证明材料来证明其所附业绩的继承性，否则业绩不予认可。</w:t>
      </w:r>
    </w:p>
    <w:p w14:paraId="0F50500C">
      <w:pPr>
        <w:adjustRightInd w:val="0"/>
        <w:snapToGrid w:val="0"/>
        <w:jc w:val="center"/>
        <w:outlineLvl w:val="2"/>
        <w:rPr>
          <w:b/>
          <w:color w:val="auto"/>
          <w:sz w:val="24"/>
        </w:rPr>
      </w:pPr>
      <w:r>
        <w:rPr>
          <w:color w:val="auto"/>
          <w:szCs w:val="21"/>
        </w:rPr>
        <w:br w:type="page"/>
      </w:r>
      <w:r>
        <w:rPr>
          <w:b/>
          <w:color w:val="auto"/>
          <w:sz w:val="24"/>
        </w:rPr>
        <w:t>（三）</w:t>
      </w:r>
      <w:r>
        <w:rPr>
          <w:rFonts w:hint="eastAsia"/>
          <w:b/>
          <w:color w:val="auto"/>
          <w:sz w:val="24"/>
        </w:rPr>
        <w:t>信誉证明资料</w:t>
      </w:r>
    </w:p>
    <w:p w14:paraId="1EEBF7BF">
      <w:pPr>
        <w:adjustRightInd w:val="0"/>
        <w:snapToGrid w:val="0"/>
        <w:jc w:val="center"/>
        <w:rPr>
          <w:b/>
          <w:color w:val="auto"/>
          <w:sz w:val="24"/>
        </w:rPr>
      </w:pPr>
    </w:p>
    <w:p w14:paraId="3E2CB1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color w:val="auto"/>
          <w:sz w:val="24"/>
        </w:rPr>
      </w:pPr>
      <w:r>
        <w:rPr>
          <w:rFonts w:hint="eastAsia" w:ascii="Times New Roman" w:hAnsi="Times New Roman"/>
          <w:color w:val="auto"/>
          <w:sz w:val="24"/>
        </w:rPr>
        <w:t>响应</w:t>
      </w:r>
      <w:r>
        <w:rPr>
          <w:rFonts w:ascii="Times New Roman" w:hAnsi="Times New Roman"/>
          <w:color w:val="auto"/>
          <w:sz w:val="24"/>
        </w:rPr>
        <w:t>人应提供：</w:t>
      </w:r>
    </w:p>
    <w:p w14:paraId="5D962D93">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textAlignment w:val="auto"/>
        <w:rPr>
          <w:rFonts w:ascii="Times New Roman" w:hAnsi="Times New Roman"/>
          <w:color w:val="auto"/>
          <w:sz w:val="24"/>
        </w:rPr>
      </w:pPr>
      <w:r>
        <w:rPr>
          <w:rFonts w:hint="eastAsia"/>
          <w:color w:val="auto"/>
          <w:sz w:val="24"/>
        </w:rPr>
        <w:t>中国执行信息公开网(http://zxgk.court.gov.cn/index.jsp)</w:t>
      </w:r>
      <w:r>
        <w:rPr>
          <w:rFonts w:ascii="Times New Roman" w:hAnsi="Times New Roman"/>
          <w:color w:val="auto"/>
          <w:sz w:val="24"/>
        </w:rPr>
        <w:t>未列入失信被执行人名单查询结果的截图。</w:t>
      </w:r>
    </w:p>
    <w:p w14:paraId="0A274DE0">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textAlignment w:val="auto"/>
        <w:rPr>
          <w:rFonts w:ascii="Times New Roman" w:hAnsi="Times New Roman"/>
          <w:color w:val="auto"/>
          <w:sz w:val="24"/>
        </w:rPr>
      </w:pPr>
      <w:r>
        <w:rPr>
          <w:rFonts w:ascii="Times New Roman" w:hAnsi="Times New Roman"/>
          <w:color w:val="auto"/>
          <w:sz w:val="24"/>
        </w:rPr>
        <w:t>全国企业信用信息公示系统中未列入严重违法失信企业名单查询结果的截图。</w:t>
      </w:r>
    </w:p>
    <w:p w14:paraId="57143DBC">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textAlignment w:val="auto"/>
        <w:outlineLvl w:val="3"/>
        <w:rPr>
          <w:rFonts w:ascii="Times New Roman" w:hAnsi="Times New Roman"/>
          <w:color w:val="auto"/>
          <w:sz w:val="24"/>
        </w:rPr>
      </w:pPr>
      <w:r>
        <w:rPr>
          <w:rFonts w:ascii="Times New Roman" w:hAnsi="Times New Roman"/>
          <w:color w:val="auto"/>
          <w:sz w:val="24"/>
        </w:rPr>
        <w:t>承诺函（格式附后）</w:t>
      </w:r>
    </w:p>
    <w:p w14:paraId="6DD3E855">
      <w:pPr>
        <w:adjustRightInd w:val="0"/>
        <w:snapToGrid w:val="0"/>
        <w:jc w:val="center"/>
        <w:outlineLvl w:val="1"/>
        <w:rPr>
          <w:rStyle w:val="44"/>
          <w:rFonts w:ascii="Times New Roman" w:hAnsi="Times New Roman"/>
          <w:b w:val="0"/>
          <w:color w:val="auto"/>
          <w:szCs w:val="28"/>
        </w:rPr>
      </w:pPr>
      <w:bookmarkStart w:id="132" w:name="_Toc410201593"/>
      <w:bookmarkStart w:id="133" w:name="_Toc410229415"/>
      <w:bookmarkStart w:id="134" w:name="_Toc410200969"/>
      <w:bookmarkStart w:id="135" w:name="_Toc410229316"/>
      <w:bookmarkStart w:id="136" w:name="_Toc410229386"/>
      <w:bookmarkStart w:id="137" w:name="_Toc26081"/>
      <w:bookmarkStart w:id="138" w:name="_Toc410200921"/>
      <w:bookmarkStart w:id="139" w:name="_Toc410229345"/>
      <w:bookmarkStart w:id="140" w:name="_Toc410229357"/>
      <w:r>
        <w:rPr>
          <w:rFonts w:ascii="Times New Roman" w:hAnsi="Times New Roman" w:eastAsia="黑体"/>
          <w:color w:val="auto"/>
          <w:szCs w:val="28"/>
        </w:rPr>
        <w:br w:type="page"/>
      </w:r>
      <w:r>
        <w:rPr>
          <w:rFonts w:ascii="Times New Roman" w:hAnsi="Times New Roman" w:eastAsia="黑体"/>
          <w:color w:val="auto"/>
          <w:sz w:val="32"/>
          <w:szCs w:val="32"/>
        </w:rPr>
        <w:t>承  诺  函</w:t>
      </w:r>
      <w:bookmarkEnd w:id="132"/>
      <w:bookmarkEnd w:id="133"/>
      <w:bookmarkEnd w:id="134"/>
      <w:bookmarkEnd w:id="135"/>
      <w:bookmarkEnd w:id="136"/>
      <w:bookmarkEnd w:id="137"/>
      <w:bookmarkEnd w:id="138"/>
      <w:bookmarkEnd w:id="139"/>
      <w:bookmarkEnd w:id="140"/>
    </w:p>
    <w:p w14:paraId="7F3B30A8">
      <w:pPr>
        <w:adjustRightInd w:val="0"/>
        <w:snapToGrid w:val="0"/>
        <w:ind w:firstLine="480" w:firstLineChars="200"/>
        <w:rPr>
          <w:rFonts w:ascii="Times New Roman" w:hAnsi="Times New Roman"/>
          <w:color w:val="auto"/>
          <w:sz w:val="24"/>
        </w:rPr>
      </w:pPr>
    </w:p>
    <w:p w14:paraId="53BE0642">
      <w:pPr>
        <w:keepNext w:val="0"/>
        <w:keepLines w:val="0"/>
        <w:pageBreakBefore w:val="0"/>
        <w:widowControl/>
        <w:kinsoku/>
        <w:wordWrap/>
        <w:overflowPunct/>
        <w:topLinePunct w:val="0"/>
        <w:autoSpaceDE/>
        <w:autoSpaceDN/>
        <w:bidi w:val="0"/>
        <w:adjustRightInd w:val="0"/>
        <w:snapToGrid w:val="0"/>
        <w:spacing w:line="360" w:lineRule="auto"/>
        <w:contextualSpacing/>
        <w:textAlignment w:val="auto"/>
        <w:rPr>
          <w:rFonts w:ascii="Times New Roman" w:hAnsi="Times New Roman"/>
          <w:color w:val="auto"/>
          <w:sz w:val="24"/>
        </w:rPr>
      </w:pPr>
      <w:r>
        <w:rPr>
          <w:rFonts w:ascii="Times New Roman" w:hAnsi="Times New Roman"/>
          <w:color w:val="auto"/>
          <w:sz w:val="24"/>
        </w:rPr>
        <w:t>致：</w:t>
      </w:r>
      <w:r>
        <w:rPr>
          <w:rFonts w:ascii="Times New Roman" w:hAnsi="Times New Roman"/>
          <w:color w:val="auto"/>
          <w:sz w:val="24"/>
          <w:u w:val="single"/>
        </w:rPr>
        <w:t xml:space="preserve">                （</w:t>
      </w:r>
      <w:r>
        <w:rPr>
          <w:rFonts w:hint="eastAsia" w:ascii="Times New Roman" w:hAnsi="Times New Roman"/>
          <w:color w:val="auto"/>
          <w:sz w:val="24"/>
          <w:u w:val="single"/>
          <w:lang w:val="en-US" w:eastAsia="zh-CN"/>
        </w:rPr>
        <w:t>采购</w:t>
      </w:r>
      <w:r>
        <w:rPr>
          <w:rFonts w:ascii="Times New Roman" w:hAnsi="Times New Roman"/>
          <w:color w:val="auto"/>
          <w:sz w:val="24"/>
          <w:u w:val="single"/>
        </w:rPr>
        <w:t>人）</w:t>
      </w:r>
    </w:p>
    <w:p w14:paraId="419E29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olor w:val="auto"/>
          <w:sz w:val="24"/>
        </w:rPr>
      </w:pPr>
      <w:r>
        <w:rPr>
          <w:rFonts w:ascii="Times New Roman" w:hAnsi="Times New Roman"/>
          <w:color w:val="auto"/>
          <w:sz w:val="24"/>
        </w:rPr>
        <w:t>我单位参与（项目名称）的</w:t>
      </w:r>
      <w:r>
        <w:rPr>
          <w:rFonts w:hint="eastAsia" w:ascii="Times New Roman" w:hAnsi="Times New Roman"/>
          <w:color w:val="auto"/>
          <w:sz w:val="24"/>
        </w:rPr>
        <w:t>响应</w:t>
      </w:r>
      <w:r>
        <w:rPr>
          <w:rFonts w:ascii="Times New Roman" w:hAnsi="Times New Roman"/>
          <w:color w:val="auto"/>
          <w:sz w:val="24"/>
        </w:rPr>
        <w:t>，现在此承诺：至</w:t>
      </w:r>
      <w:r>
        <w:rPr>
          <w:rFonts w:hint="eastAsia" w:ascii="Times New Roman" w:hAnsi="Times New Roman"/>
          <w:color w:val="auto"/>
          <w:sz w:val="24"/>
        </w:rPr>
        <w:t>响应</w:t>
      </w:r>
      <w:r>
        <w:rPr>
          <w:rFonts w:ascii="Times New Roman" w:hAnsi="Times New Roman"/>
          <w:color w:val="auto"/>
          <w:sz w:val="24"/>
        </w:rPr>
        <w:t>截止时间为止，近三年内（</w:t>
      </w:r>
      <w:r>
        <w:rPr>
          <w:rFonts w:hint="eastAsia" w:ascii="Times New Roman" w:hAnsi="Times New Roman"/>
          <w:color w:val="auto"/>
          <w:sz w:val="24"/>
        </w:rPr>
        <w:t>响应</w:t>
      </w:r>
      <w:r>
        <w:rPr>
          <w:rFonts w:ascii="Times New Roman" w:hAnsi="Times New Roman"/>
          <w:color w:val="auto"/>
          <w:sz w:val="24"/>
        </w:rPr>
        <w:t>人全称）、法定代表人（姓名）不存在任何经检察机关认定的行贿犯罪行为，未发生重大产品质量问题，没有正受到责令停业，暂扣或吊销执照，或吊销资质证书，没有进入清算程序，或被宣告破产，或其他丧失履约能力的情形，没有正受到在本</w:t>
      </w:r>
      <w:r>
        <w:rPr>
          <w:rFonts w:hint="eastAsia" w:ascii="Times New Roman" w:hAnsi="Times New Roman"/>
          <w:color w:val="auto"/>
          <w:sz w:val="24"/>
        </w:rPr>
        <w:t>询比</w:t>
      </w:r>
      <w:r>
        <w:rPr>
          <w:rFonts w:ascii="Times New Roman" w:hAnsi="Times New Roman"/>
          <w:color w:val="auto"/>
          <w:sz w:val="24"/>
        </w:rPr>
        <w:t>项目所在地市级行政区域内取消投标资格的行政处罚且我单位在贵单位近三年无放弃中标、放弃履约、串通投标、提供虚假投标材料等不良行为。</w:t>
      </w:r>
    </w:p>
    <w:p w14:paraId="03C366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olor w:val="auto"/>
          <w:sz w:val="24"/>
          <w:u w:val="single"/>
        </w:rPr>
      </w:pPr>
      <w:r>
        <w:rPr>
          <w:rFonts w:ascii="Times New Roman" w:hAnsi="Times New Roman"/>
          <w:color w:val="auto"/>
          <w:sz w:val="24"/>
        </w:rPr>
        <w:t>特此承诺。</w:t>
      </w:r>
    </w:p>
    <w:p w14:paraId="22CFC363">
      <w:pPr>
        <w:widowControl/>
        <w:adjustRightInd w:val="0"/>
        <w:snapToGrid w:val="0"/>
        <w:ind w:firstLine="480" w:firstLineChars="200"/>
        <w:contextualSpacing/>
        <w:rPr>
          <w:rFonts w:ascii="Times New Roman" w:hAnsi="Times New Roman"/>
          <w:color w:val="auto"/>
          <w:sz w:val="24"/>
          <w:u w:val="single"/>
        </w:rPr>
      </w:pPr>
    </w:p>
    <w:p w14:paraId="4520095D">
      <w:pPr>
        <w:widowControl/>
        <w:adjustRightInd w:val="0"/>
        <w:snapToGrid w:val="0"/>
        <w:ind w:firstLine="480" w:firstLineChars="200"/>
        <w:contextualSpacing/>
        <w:rPr>
          <w:rFonts w:ascii="Times New Roman" w:hAnsi="Times New Roman"/>
          <w:color w:val="auto"/>
          <w:sz w:val="24"/>
          <w:u w:val="single"/>
        </w:rPr>
      </w:pPr>
    </w:p>
    <w:p w14:paraId="0908409D">
      <w:pPr>
        <w:widowControl/>
        <w:adjustRightInd w:val="0"/>
        <w:snapToGrid w:val="0"/>
        <w:contextualSpacing/>
        <w:rPr>
          <w:rFonts w:ascii="Times New Roman" w:hAnsi="Times New Roman"/>
          <w:color w:val="auto"/>
          <w:sz w:val="24"/>
          <w:u w:val="single"/>
        </w:rPr>
      </w:pPr>
    </w:p>
    <w:p w14:paraId="01056760">
      <w:pPr>
        <w:widowControl/>
        <w:wordWrap w:val="0"/>
        <w:adjustRightInd w:val="0"/>
        <w:snapToGrid w:val="0"/>
        <w:contextualSpacing/>
        <w:jc w:val="right"/>
        <w:rPr>
          <w:rFonts w:ascii="Times New Roman" w:hAnsi="Times New Roman"/>
          <w:color w:val="auto"/>
          <w:sz w:val="24"/>
        </w:rPr>
      </w:pPr>
      <w:r>
        <w:rPr>
          <w:rFonts w:hint="eastAsia" w:ascii="Times New Roman" w:hAnsi="Times New Roman"/>
          <w:color w:val="auto"/>
          <w:sz w:val="24"/>
        </w:rPr>
        <w:t>响应</w:t>
      </w:r>
      <w:r>
        <w:rPr>
          <w:rFonts w:ascii="Times New Roman" w:hAnsi="Times New Roman"/>
          <w:color w:val="auto"/>
          <w:sz w:val="24"/>
        </w:rPr>
        <w:t>人：</w:t>
      </w:r>
      <w:r>
        <w:rPr>
          <w:rFonts w:hint="eastAsia" w:ascii="Times New Roman" w:hAnsi="Times New Roman"/>
          <w:color w:val="auto"/>
          <w:sz w:val="24"/>
          <w:u w:val="single"/>
          <w:lang w:val="en-US" w:eastAsia="zh-CN"/>
        </w:rPr>
        <w:t xml:space="preserve">  </w:t>
      </w:r>
      <w:r>
        <w:rPr>
          <w:rFonts w:ascii="Times New Roman" w:hAnsi="Times New Roman"/>
          <w:color w:val="auto"/>
          <w:sz w:val="24"/>
          <w:u w:val="single"/>
        </w:rPr>
        <w:t xml:space="preserve"> （加盖公章） </w:t>
      </w:r>
    </w:p>
    <w:p w14:paraId="555177A5">
      <w:pPr>
        <w:widowControl/>
        <w:adjustRightInd w:val="0"/>
        <w:snapToGrid w:val="0"/>
        <w:contextualSpacing/>
        <w:jc w:val="right"/>
        <w:rPr>
          <w:rFonts w:ascii="Times New Roman" w:hAnsi="Times New Roman"/>
          <w:color w:val="auto"/>
          <w:sz w:val="24"/>
        </w:rPr>
      </w:pPr>
    </w:p>
    <w:p w14:paraId="7D621585">
      <w:pPr>
        <w:wordWrap w:val="0"/>
        <w:adjustRightInd w:val="0"/>
        <w:snapToGrid w:val="0"/>
        <w:ind w:firstLine="480" w:firstLineChars="200"/>
        <w:jc w:val="right"/>
        <w:rPr>
          <w:rFonts w:ascii="Times New Roman" w:hAnsi="Times New Roman"/>
          <w:color w:val="auto"/>
          <w:sz w:val="24"/>
        </w:rPr>
        <w:sectPr>
          <w:footnotePr>
            <w:numFmt w:val="decimalEnclosedCircleChinese"/>
            <w:numRestart w:val="eachPage"/>
          </w:footnotePr>
          <w:endnotePr>
            <w:numFmt w:val="decimalEnclosedCircleChinese"/>
            <w:numRestart w:val="eachSect"/>
          </w:endnotePr>
          <w:pgSz w:w="11905" w:h="16838"/>
          <w:pgMar w:top="1440" w:right="1417" w:bottom="1440" w:left="1417" w:header="850" w:footer="992" w:gutter="0"/>
          <w:cols w:space="0" w:num="1"/>
          <w:docGrid w:type="lines" w:linePitch="317" w:charSpace="0"/>
        </w:sectPr>
      </w:pPr>
      <w:r>
        <w:rPr>
          <w:rFonts w:ascii="Times New Roman" w:hAnsi="Times New Roman"/>
          <w:color w:val="auto"/>
          <w:sz w:val="24"/>
        </w:rPr>
        <w:t>年</w:t>
      </w:r>
      <w:r>
        <w:rPr>
          <w:rFonts w:hint="eastAsia" w:ascii="Times New Roman" w:hAnsi="Times New Roman"/>
          <w:color w:val="auto"/>
          <w:sz w:val="24"/>
        </w:rPr>
        <w:t xml:space="preserve"> </w:t>
      </w:r>
      <w:r>
        <w:rPr>
          <w:rFonts w:ascii="Times New Roman" w:hAnsi="Times New Roman"/>
          <w:color w:val="auto"/>
          <w:sz w:val="24"/>
        </w:rPr>
        <w:t>月</w:t>
      </w:r>
      <w:r>
        <w:rPr>
          <w:rFonts w:hint="eastAsia" w:ascii="Times New Roman" w:hAnsi="Times New Roman"/>
          <w:color w:val="auto"/>
          <w:sz w:val="24"/>
        </w:rPr>
        <w:t xml:space="preserve"> </w:t>
      </w:r>
      <w:r>
        <w:rPr>
          <w:rFonts w:ascii="Times New Roman" w:hAnsi="Times New Roman"/>
          <w:color w:val="auto"/>
          <w:sz w:val="24"/>
        </w:rPr>
        <w:t>日</w:t>
      </w:r>
    </w:p>
    <w:p w14:paraId="4C9EF1B7">
      <w:pPr>
        <w:adjustRightInd w:val="0"/>
        <w:snapToGrid w:val="0"/>
        <w:jc w:val="center"/>
        <w:rPr>
          <w:b/>
          <w:color w:val="auto"/>
        </w:rPr>
      </w:pPr>
    </w:p>
    <w:p w14:paraId="26C49245">
      <w:pPr>
        <w:adjustRightInd w:val="0"/>
        <w:snapToGrid w:val="0"/>
        <w:jc w:val="center"/>
        <w:outlineLvl w:val="1"/>
        <w:rPr>
          <w:b/>
          <w:color w:val="auto"/>
          <w:sz w:val="24"/>
        </w:rPr>
      </w:pPr>
      <w:r>
        <w:rPr>
          <w:rFonts w:hint="eastAsia"/>
          <w:b/>
          <w:color w:val="auto"/>
          <w:sz w:val="24"/>
          <w:lang w:val="en-US" w:eastAsia="zh-CN"/>
        </w:rPr>
        <w:t>五</w:t>
      </w:r>
      <w:r>
        <w:rPr>
          <w:b/>
          <w:color w:val="auto"/>
          <w:sz w:val="24"/>
        </w:rPr>
        <w:t>、</w:t>
      </w:r>
      <w:r>
        <w:rPr>
          <w:rFonts w:hint="eastAsia"/>
          <w:b/>
          <w:color w:val="auto"/>
          <w:sz w:val="24"/>
        </w:rPr>
        <w:t>服务</w:t>
      </w:r>
      <w:r>
        <w:rPr>
          <w:b/>
          <w:color w:val="auto"/>
          <w:sz w:val="24"/>
        </w:rPr>
        <w:t>方案</w:t>
      </w:r>
    </w:p>
    <w:p w14:paraId="0FA39B65">
      <w:pPr>
        <w:adjustRightInd w:val="0"/>
        <w:snapToGrid w:val="0"/>
        <w:jc w:val="center"/>
        <w:rPr>
          <w:color w:val="auto"/>
          <w:szCs w:val="21"/>
        </w:rPr>
      </w:pPr>
    </w:p>
    <w:p w14:paraId="6C617D9B">
      <w:pPr>
        <w:adjustRightInd w:val="0"/>
        <w:snapToGrid w:val="0"/>
        <w:rPr>
          <w:color w:val="auto"/>
          <w:szCs w:val="21"/>
        </w:rPr>
      </w:pPr>
    </w:p>
    <w:p w14:paraId="214426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color w:val="auto"/>
          <w:szCs w:val="21"/>
        </w:rPr>
      </w:pPr>
    </w:p>
    <w:p w14:paraId="7751C9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color w:val="auto"/>
          <w:szCs w:val="21"/>
        </w:rPr>
      </w:pPr>
    </w:p>
    <w:p w14:paraId="0A14B4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color w:val="auto"/>
          <w:sz w:val="24"/>
        </w:rPr>
      </w:pPr>
      <w:r>
        <w:rPr>
          <w:bCs/>
          <w:color w:val="auto"/>
          <w:sz w:val="24"/>
        </w:rPr>
        <w:t>格式自拟，按照评标办法加分项的要求</w:t>
      </w:r>
      <w:r>
        <w:rPr>
          <w:rFonts w:hint="eastAsia"/>
          <w:bCs/>
          <w:color w:val="auto"/>
          <w:sz w:val="24"/>
          <w:lang w:eastAsia="zh-CN"/>
        </w:rPr>
        <w:t>（</w:t>
      </w:r>
      <w:r>
        <w:rPr>
          <w:rFonts w:hint="eastAsia"/>
          <w:bCs/>
          <w:color w:val="auto"/>
          <w:sz w:val="24"/>
          <w:lang w:val="en-US" w:eastAsia="zh-CN"/>
        </w:rPr>
        <w:t>包括服务方案、保证措施、</w:t>
      </w:r>
      <w:r>
        <w:rPr>
          <w:rFonts w:hint="eastAsia"/>
          <w:bCs/>
          <w:color w:val="auto"/>
          <w:sz w:val="24"/>
        </w:rPr>
        <w:t>重难点分析及合理化建议</w:t>
      </w:r>
      <w:r>
        <w:rPr>
          <w:rFonts w:hint="eastAsia"/>
          <w:bCs/>
          <w:color w:val="auto"/>
          <w:sz w:val="24"/>
          <w:lang w:eastAsia="zh-CN"/>
        </w:rPr>
        <w:t>、</w:t>
      </w:r>
      <w:r>
        <w:rPr>
          <w:rFonts w:hint="eastAsia"/>
          <w:bCs/>
          <w:color w:val="auto"/>
          <w:sz w:val="24"/>
          <w:lang w:val="en-US" w:eastAsia="zh-CN"/>
        </w:rPr>
        <w:t>增值服务</w:t>
      </w:r>
      <w:r>
        <w:rPr>
          <w:rFonts w:hint="eastAsia"/>
          <w:bCs/>
          <w:color w:val="auto"/>
          <w:sz w:val="24"/>
          <w:lang w:eastAsia="zh-CN"/>
        </w:rPr>
        <w:t>）</w:t>
      </w:r>
      <w:r>
        <w:rPr>
          <w:bCs/>
          <w:color w:val="auto"/>
          <w:sz w:val="24"/>
        </w:rPr>
        <w:t>进行编制</w:t>
      </w:r>
      <w:r>
        <w:rPr>
          <w:rFonts w:hint="eastAsia"/>
          <w:bCs/>
          <w:color w:val="auto"/>
          <w:sz w:val="24"/>
        </w:rPr>
        <w:t>。</w:t>
      </w:r>
    </w:p>
    <w:p w14:paraId="64D155D7">
      <w:pPr>
        <w:adjustRightInd w:val="0"/>
        <w:snapToGrid w:val="0"/>
        <w:ind w:firstLine="480" w:firstLineChars="200"/>
        <w:jc w:val="both"/>
        <w:rPr>
          <w:bCs/>
          <w:color w:val="auto"/>
          <w:sz w:val="24"/>
        </w:rPr>
      </w:pPr>
    </w:p>
    <w:p w14:paraId="0B6A85EE">
      <w:pPr>
        <w:adjustRightInd w:val="0"/>
        <w:snapToGrid w:val="0"/>
        <w:ind w:firstLine="480" w:firstLineChars="200"/>
        <w:jc w:val="both"/>
        <w:rPr>
          <w:bCs/>
          <w:color w:val="auto"/>
          <w:sz w:val="24"/>
        </w:rPr>
      </w:pPr>
    </w:p>
    <w:p w14:paraId="4F9EC335">
      <w:pPr>
        <w:adjustRightInd w:val="0"/>
        <w:snapToGrid w:val="0"/>
        <w:jc w:val="center"/>
        <w:rPr>
          <w:color w:val="auto"/>
          <w:szCs w:val="21"/>
        </w:rPr>
      </w:pPr>
    </w:p>
    <w:p w14:paraId="768D89E0">
      <w:pPr>
        <w:adjustRightInd w:val="0"/>
        <w:snapToGrid w:val="0"/>
        <w:jc w:val="center"/>
        <w:rPr>
          <w:color w:val="auto"/>
          <w:szCs w:val="21"/>
        </w:rPr>
      </w:pPr>
    </w:p>
    <w:p w14:paraId="171B654F">
      <w:pPr>
        <w:adjustRightInd w:val="0"/>
        <w:snapToGrid w:val="0"/>
        <w:jc w:val="center"/>
        <w:rPr>
          <w:color w:val="auto"/>
          <w:szCs w:val="21"/>
        </w:rPr>
      </w:pPr>
    </w:p>
    <w:p w14:paraId="0E11A902">
      <w:pPr>
        <w:adjustRightInd w:val="0"/>
        <w:snapToGrid w:val="0"/>
        <w:jc w:val="center"/>
        <w:rPr>
          <w:color w:val="auto"/>
          <w:szCs w:val="21"/>
        </w:rPr>
      </w:pPr>
    </w:p>
    <w:p w14:paraId="159C7296">
      <w:pPr>
        <w:adjustRightInd w:val="0"/>
        <w:snapToGrid w:val="0"/>
        <w:jc w:val="center"/>
        <w:rPr>
          <w:color w:val="auto"/>
          <w:szCs w:val="21"/>
        </w:rPr>
      </w:pPr>
    </w:p>
    <w:p w14:paraId="2A32723E">
      <w:pPr>
        <w:adjustRightInd w:val="0"/>
        <w:snapToGrid w:val="0"/>
        <w:jc w:val="center"/>
        <w:rPr>
          <w:color w:val="auto"/>
          <w:szCs w:val="21"/>
        </w:rPr>
      </w:pPr>
    </w:p>
    <w:p w14:paraId="3C77E678">
      <w:pPr>
        <w:adjustRightInd w:val="0"/>
        <w:snapToGrid w:val="0"/>
        <w:jc w:val="center"/>
        <w:rPr>
          <w:color w:val="auto"/>
          <w:szCs w:val="21"/>
        </w:rPr>
      </w:pPr>
    </w:p>
    <w:p w14:paraId="39D6D0B0">
      <w:pPr>
        <w:adjustRightInd w:val="0"/>
        <w:snapToGrid w:val="0"/>
        <w:jc w:val="center"/>
        <w:rPr>
          <w:color w:val="auto"/>
          <w:szCs w:val="21"/>
        </w:rPr>
      </w:pPr>
    </w:p>
    <w:p w14:paraId="42D14D09">
      <w:pPr>
        <w:adjustRightInd w:val="0"/>
        <w:snapToGrid w:val="0"/>
        <w:jc w:val="center"/>
        <w:rPr>
          <w:color w:val="auto"/>
          <w:szCs w:val="21"/>
        </w:rPr>
      </w:pPr>
    </w:p>
    <w:p w14:paraId="4D5CBDE1">
      <w:pPr>
        <w:adjustRightInd w:val="0"/>
        <w:snapToGrid w:val="0"/>
        <w:jc w:val="center"/>
        <w:rPr>
          <w:color w:val="auto"/>
          <w:szCs w:val="21"/>
        </w:rPr>
      </w:pPr>
    </w:p>
    <w:p w14:paraId="459CC28F">
      <w:pPr>
        <w:adjustRightInd w:val="0"/>
        <w:snapToGrid w:val="0"/>
        <w:jc w:val="center"/>
        <w:rPr>
          <w:color w:val="auto"/>
          <w:szCs w:val="21"/>
        </w:rPr>
      </w:pPr>
    </w:p>
    <w:p w14:paraId="1559902C">
      <w:pPr>
        <w:adjustRightInd w:val="0"/>
        <w:snapToGrid w:val="0"/>
        <w:jc w:val="center"/>
        <w:rPr>
          <w:color w:val="auto"/>
          <w:szCs w:val="21"/>
        </w:rPr>
      </w:pPr>
    </w:p>
    <w:p w14:paraId="5130A4F2">
      <w:pPr>
        <w:adjustRightInd w:val="0"/>
        <w:snapToGrid w:val="0"/>
        <w:jc w:val="center"/>
        <w:rPr>
          <w:color w:val="auto"/>
          <w:szCs w:val="21"/>
        </w:rPr>
      </w:pPr>
    </w:p>
    <w:p w14:paraId="77530071">
      <w:pPr>
        <w:adjustRightInd w:val="0"/>
        <w:snapToGrid w:val="0"/>
        <w:jc w:val="center"/>
        <w:rPr>
          <w:color w:val="auto"/>
          <w:szCs w:val="21"/>
        </w:rPr>
      </w:pPr>
    </w:p>
    <w:p w14:paraId="415357D5">
      <w:pPr>
        <w:adjustRightInd w:val="0"/>
        <w:snapToGrid w:val="0"/>
        <w:jc w:val="center"/>
        <w:rPr>
          <w:color w:val="auto"/>
          <w:szCs w:val="21"/>
        </w:rPr>
      </w:pPr>
    </w:p>
    <w:p w14:paraId="184EA876">
      <w:pPr>
        <w:adjustRightInd w:val="0"/>
        <w:snapToGrid w:val="0"/>
        <w:jc w:val="center"/>
        <w:rPr>
          <w:color w:val="auto"/>
          <w:szCs w:val="21"/>
        </w:rPr>
      </w:pPr>
    </w:p>
    <w:p w14:paraId="6B17EC38">
      <w:pPr>
        <w:adjustRightInd w:val="0"/>
        <w:snapToGrid w:val="0"/>
        <w:jc w:val="center"/>
        <w:rPr>
          <w:color w:val="auto"/>
          <w:szCs w:val="21"/>
        </w:rPr>
      </w:pPr>
    </w:p>
    <w:p w14:paraId="5E2A0A53">
      <w:pPr>
        <w:adjustRightInd w:val="0"/>
        <w:snapToGrid w:val="0"/>
        <w:jc w:val="center"/>
        <w:rPr>
          <w:color w:val="auto"/>
          <w:szCs w:val="21"/>
        </w:rPr>
      </w:pPr>
    </w:p>
    <w:p w14:paraId="1F54818F">
      <w:pPr>
        <w:adjustRightInd w:val="0"/>
        <w:snapToGrid w:val="0"/>
        <w:jc w:val="center"/>
        <w:rPr>
          <w:color w:val="auto"/>
          <w:szCs w:val="21"/>
        </w:rPr>
      </w:pPr>
    </w:p>
    <w:p w14:paraId="1BB74221">
      <w:pPr>
        <w:adjustRightInd w:val="0"/>
        <w:snapToGrid w:val="0"/>
        <w:jc w:val="center"/>
        <w:rPr>
          <w:color w:val="auto"/>
          <w:szCs w:val="21"/>
        </w:rPr>
      </w:pPr>
    </w:p>
    <w:p w14:paraId="6ECDE664">
      <w:pPr>
        <w:adjustRightInd w:val="0"/>
        <w:snapToGrid w:val="0"/>
        <w:jc w:val="center"/>
        <w:rPr>
          <w:color w:val="auto"/>
          <w:szCs w:val="21"/>
        </w:rPr>
      </w:pPr>
    </w:p>
    <w:p w14:paraId="1965CDF9">
      <w:pPr>
        <w:adjustRightInd w:val="0"/>
        <w:snapToGrid w:val="0"/>
        <w:jc w:val="center"/>
        <w:rPr>
          <w:color w:val="auto"/>
          <w:szCs w:val="21"/>
        </w:rPr>
      </w:pPr>
    </w:p>
    <w:p w14:paraId="2610E10B">
      <w:pPr>
        <w:adjustRightInd w:val="0"/>
        <w:snapToGrid w:val="0"/>
        <w:jc w:val="center"/>
        <w:rPr>
          <w:color w:val="auto"/>
          <w:szCs w:val="21"/>
        </w:rPr>
      </w:pPr>
    </w:p>
    <w:p w14:paraId="1F5A17FD">
      <w:pPr>
        <w:adjustRightInd w:val="0"/>
        <w:snapToGrid w:val="0"/>
        <w:jc w:val="center"/>
        <w:rPr>
          <w:color w:val="auto"/>
          <w:szCs w:val="21"/>
        </w:rPr>
      </w:pPr>
    </w:p>
    <w:p w14:paraId="5B56A792">
      <w:pPr>
        <w:adjustRightInd w:val="0"/>
        <w:snapToGrid w:val="0"/>
        <w:jc w:val="center"/>
        <w:rPr>
          <w:color w:val="auto"/>
          <w:szCs w:val="21"/>
        </w:rPr>
      </w:pPr>
    </w:p>
    <w:p w14:paraId="5101C19A">
      <w:pPr>
        <w:adjustRightInd w:val="0"/>
        <w:snapToGrid w:val="0"/>
        <w:jc w:val="center"/>
        <w:rPr>
          <w:color w:val="auto"/>
          <w:szCs w:val="21"/>
        </w:rPr>
      </w:pPr>
    </w:p>
    <w:p w14:paraId="78E9930E">
      <w:pPr>
        <w:adjustRightInd w:val="0"/>
        <w:snapToGrid w:val="0"/>
        <w:jc w:val="center"/>
        <w:rPr>
          <w:color w:val="auto"/>
          <w:szCs w:val="21"/>
        </w:rPr>
      </w:pPr>
    </w:p>
    <w:p w14:paraId="037A5BED">
      <w:pPr>
        <w:adjustRightInd w:val="0"/>
        <w:snapToGrid w:val="0"/>
        <w:jc w:val="center"/>
        <w:rPr>
          <w:color w:val="auto"/>
          <w:szCs w:val="21"/>
        </w:rPr>
      </w:pPr>
    </w:p>
    <w:p w14:paraId="4E4593DE">
      <w:pPr>
        <w:adjustRightInd w:val="0"/>
        <w:snapToGrid w:val="0"/>
        <w:jc w:val="center"/>
        <w:rPr>
          <w:color w:val="auto"/>
          <w:szCs w:val="21"/>
        </w:rPr>
      </w:pPr>
    </w:p>
    <w:p w14:paraId="4921DBAB">
      <w:pPr>
        <w:adjustRightInd w:val="0"/>
        <w:snapToGrid w:val="0"/>
        <w:jc w:val="center"/>
        <w:rPr>
          <w:color w:val="auto"/>
          <w:szCs w:val="21"/>
        </w:rPr>
      </w:pPr>
    </w:p>
    <w:p w14:paraId="241DA9FD">
      <w:pPr>
        <w:adjustRightInd w:val="0"/>
        <w:snapToGrid w:val="0"/>
        <w:jc w:val="center"/>
        <w:rPr>
          <w:color w:val="auto"/>
          <w:szCs w:val="21"/>
        </w:rPr>
      </w:pPr>
    </w:p>
    <w:p w14:paraId="2BBFE62C">
      <w:pPr>
        <w:adjustRightInd w:val="0"/>
        <w:snapToGrid w:val="0"/>
        <w:jc w:val="center"/>
        <w:rPr>
          <w:color w:val="auto"/>
          <w:szCs w:val="21"/>
        </w:rPr>
      </w:pPr>
    </w:p>
    <w:p w14:paraId="33CCB948">
      <w:pPr>
        <w:adjustRightInd w:val="0"/>
        <w:snapToGrid w:val="0"/>
        <w:jc w:val="center"/>
        <w:rPr>
          <w:color w:val="auto"/>
          <w:szCs w:val="21"/>
        </w:rPr>
      </w:pPr>
    </w:p>
    <w:p w14:paraId="1978094D">
      <w:pPr>
        <w:adjustRightInd w:val="0"/>
        <w:snapToGrid w:val="0"/>
        <w:jc w:val="center"/>
        <w:rPr>
          <w:color w:val="auto"/>
          <w:szCs w:val="21"/>
        </w:rPr>
      </w:pPr>
    </w:p>
    <w:p w14:paraId="2A7D060A">
      <w:pPr>
        <w:adjustRightInd w:val="0"/>
        <w:snapToGrid w:val="0"/>
        <w:jc w:val="center"/>
        <w:rPr>
          <w:color w:val="auto"/>
          <w:szCs w:val="21"/>
        </w:rPr>
      </w:pPr>
    </w:p>
    <w:p w14:paraId="1D32DED3">
      <w:pPr>
        <w:adjustRightInd w:val="0"/>
        <w:snapToGrid w:val="0"/>
        <w:jc w:val="center"/>
        <w:rPr>
          <w:color w:val="auto"/>
          <w:szCs w:val="21"/>
        </w:rPr>
      </w:pPr>
    </w:p>
    <w:p w14:paraId="6AE566A8">
      <w:pPr>
        <w:adjustRightInd w:val="0"/>
        <w:snapToGrid w:val="0"/>
        <w:jc w:val="center"/>
        <w:rPr>
          <w:color w:val="auto"/>
          <w:szCs w:val="21"/>
        </w:rPr>
      </w:pPr>
    </w:p>
    <w:p w14:paraId="5B40E1CA">
      <w:pPr>
        <w:adjustRightInd w:val="0"/>
        <w:snapToGrid w:val="0"/>
        <w:jc w:val="center"/>
        <w:rPr>
          <w:color w:val="auto"/>
          <w:szCs w:val="21"/>
        </w:rPr>
      </w:pPr>
    </w:p>
    <w:p w14:paraId="493150C9">
      <w:pPr>
        <w:adjustRightInd w:val="0"/>
        <w:snapToGrid w:val="0"/>
        <w:jc w:val="center"/>
        <w:rPr>
          <w:color w:val="auto"/>
          <w:szCs w:val="21"/>
        </w:rPr>
      </w:pPr>
    </w:p>
    <w:p w14:paraId="257DBCC9">
      <w:pPr>
        <w:adjustRightInd w:val="0"/>
        <w:snapToGrid w:val="0"/>
        <w:jc w:val="center"/>
        <w:rPr>
          <w:color w:val="auto"/>
          <w:szCs w:val="21"/>
        </w:rPr>
      </w:pPr>
    </w:p>
    <w:p w14:paraId="6210A595">
      <w:pPr>
        <w:adjustRightInd w:val="0"/>
        <w:snapToGrid w:val="0"/>
        <w:jc w:val="center"/>
        <w:rPr>
          <w:color w:val="auto"/>
          <w:szCs w:val="21"/>
        </w:rPr>
      </w:pPr>
    </w:p>
    <w:p w14:paraId="35BF26C9">
      <w:pPr>
        <w:adjustRightInd w:val="0"/>
        <w:snapToGrid w:val="0"/>
        <w:jc w:val="center"/>
        <w:outlineLvl w:val="1"/>
        <w:rPr>
          <w:color w:val="auto"/>
          <w:sz w:val="24"/>
        </w:rPr>
      </w:pPr>
      <w:r>
        <w:rPr>
          <w:rFonts w:hint="eastAsia"/>
          <w:b/>
          <w:bCs/>
          <w:color w:val="auto"/>
          <w:sz w:val="24"/>
          <w:lang w:val="en-US" w:eastAsia="zh-CN"/>
        </w:rPr>
        <w:t>六</w:t>
      </w:r>
      <w:r>
        <w:rPr>
          <w:b/>
          <w:bCs/>
          <w:color w:val="auto"/>
          <w:sz w:val="24"/>
        </w:rPr>
        <w:t>、其他</w:t>
      </w:r>
    </w:p>
    <w:p w14:paraId="3E6E2DDA">
      <w:pPr>
        <w:adjustRightInd w:val="0"/>
        <w:snapToGrid w:val="0"/>
        <w:ind w:firstLine="420"/>
        <w:jc w:val="center"/>
        <w:rPr>
          <w:color w:val="auto"/>
          <w:sz w:val="24"/>
        </w:rPr>
      </w:pPr>
    </w:p>
    <w:p w14:paraId="72EE01F0">
      <w:pPr>
        <w:adjustRightInd w:val="0"/>
        <w:snapToGrid w:val="0"/>
        <w:ind w:firstLine="420"/>
        <w:jc w:val="center"/>
        <w:rPr>
          <w:color w:val="auto"/>
          <w:sz w:val="24"/>
        </w:rPr>
      </w:pPr>
    </w:p>
    <w:p w14:paraId="3C10BF98">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color w:val="auto"/>
          <w:sz w:val="24"/>
        </w:rPr>
      </w:pPr>
      <w:r>
        <w:rPr>
          <w:rFonts w:hint="eastAsia" w:ascii="Times New Roman" w:hAnsi="Times New Roman"/>
          <w:color w:val="auto"/>
          <w:sz w:val="24"/>
        </w:rPr>
        <w:t>响应</w:t>
      </w:r>
      <w:r>
        <w:rPr>
          <w:color w:val="auto"/>
          <w:sz w:val="24"/>
        </w:rPr>
        <w:t>人根据</w:t>
      </w:r>
      <w:r>
        <w:rPr>
          <w:rFonts w:hint="eastAsia"/>
          <w:color w:val="auto"/>
          <w:sz w:val="24"/>
        </w:rPr>
        <w:t>询比</w:t>
      </w:r>
      <w:r>
        <w:rPr>
          <w:color w:val="auto"/>
          <w:sz w:val="24"/>
        </w:rPr>
        <w:t>文件资格要求及评</w:t>
      </w:r>
      <w:r>
        <w:rPr>
          <w:rFonts w:hint="eastAsia"/>
          <w:color w:val="auto"/>
          <w:sz w:val="24"/>
        </w:rPr>
        <w:t>审</w:t>
      </w:r>
      <w:r>
        <w:rPr>
          <w:color w:val="auto"/>
          <w:sz w:val="24"/>
        </w:rPr>
        <w:t>办法认为</w:t>
      </w:r>
      <w:r>
        <w:rPr>
          <w:rFonts w:hint="eastAsia"/>
          <w:color w:val="auto"/>
          <w:sz w:val="24"/>
        </w:rPr>
        <w:t>有必要</w:t>
      </w:r>
      <w:r>
        <w:rPr>
          <w:color w:val="auto"/>
          <w:sz w:val="24"/>
        </w:rPr>
        <w:t>提供的其他证明材料。</w:t>
      </w:r>
    </w:p>
    <w:p w14:paraId="71176C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sz w:val="24"/>
        </w:rPr>
      </w:pPr>
      <w:r>
        <w:rPr>
          <w:rFonts w:hint="eastAsia"/>
          <w:color w:val="auto"/>
          <w:sz w:val="24"/>
        </w:rPr>
        <w:t>7.1人员配备</w:t>
      </w:r>
    </w:p>
    <w:p w14:paraId="50FE468A">
      <w:pPr>
        <w:pStyle w:val="19"/>
        <w:keepNext w:val="0"/>
        <w:keepLines w:val="0"/>
        <w:pageBreakBefore w:val="0"/>
        <w:widowControl w:val="0"/>
        <w:kinsoku/>
        <w:wordWrap/>
        <w:overflowPunct/>
        <w:topLinePunct w:val="0"/>
        <w:autoSpaceDE/>
        <w:autoSpaceDN/>
        <w:bidi w:val="0"/>
        <w:spacing w:line="360" w:lineRule="auto"/>
        <w:ind w:left="0" w:leftChars="0" w:firstLine="480"/>
        <w:textAlignment w:val="auto"/>
        <w:rPr>
          <w:rFonts w:hint="default" w:eastAsiaTheme="minorEastAsia"/>
          <w:color w:val="auto"/>
          <w:sz w:val="24"/>
          <w:lang w:val="en-US" w:eastAsia="zh-CN"/>
        </w:rPr>
      </w:pPr>
      <w:r>
        <w:rPr>
          <w:rFonts w:hint="eastAsia"/>
          <w:color w:val="auto"/>
          <w:sz w:val="24"/>
        </w:rPr>
        <w:t>7.2</w:t>
      </w:r>
      <w:r>
        <w:rPr>
          <w:rFonts w:hint="eastAsia"/>
          <w:color w:val="auto"/>
          <w:sz w:val="24"/>
          <w:lang w:val="en-US" w:eastAsia="zh-CN"/>
        </w:rPr>
        <w:t>其他资料</w:t>
      </w:r>
    </w:p>
    <w:p w14:paraId="54E0DC98">
      <w:pPr>
        <w:adjustRightInd w:val="0"/>
        <w:snapToGrid w:val="0"/>
        <w:ind w:firstLine="420"/>
        <w:jc w:val="center"/>
        <w:rPr>
          <w:color w:val="auto"/>
          <w:sz w:val="24"/>
        </w:rPr>
      </w:pPr>
    </w:p>
    <w:p w14:paraId="35067F9D">
      <w:pPr>
        <w:adjustRightInd w:val="0"/>
        <w:snapToGrid w:val="0"/>
        <w:ind w:firstLine="420"/>
        <w:jc w:val="center"/>
        <w:rPr>
          <w:color w:val="auto"/>
          <w:sz w:val="52"/>
          <w:szCs w:val="52"/>
        </w:rPr>
      </w:pPr>
    </w:p>
    <w:bookmarkEnd w:id="127"/>
    <w:bookmarkEnd w:id="128"/>
    <w:p w14:paraId="4704495E">
      <w:pPr>
        <w:adjustRightInd w:val="0"/>
        <w:snapToGrid w:val="0"/>
        <w:rPr>
          <w:color w:val="auto"/>
          <w:sz w:val="52"/>
          <w:szCs w:val="52"/>
        </w:rPr>
      </w:pPr>
    </w:p>
    <w:sectPr>
      <w:footerReference r:id="rId8" w:type="default"/>
      <w:pgSz w:w="11905" w:h="16838"/>
      <w:pgMar w:top="1440" w:right="1417" w:bottom="1440" w:left="1417"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7FBB1B-2BC7-4320-B2CE-ECE055AEE8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FBB7E344-B641-4CCA-8971-0FAF6DD4D132}"/>
  </w:font>
  <w:font w:name="Calibri">
    <w:panose1 w:val="020F0502020204030204"/>
    <w:charset w:val="00"/>
    <w:family w:val="swiss"/>
    <w:pitch w:val="default"/>
    <w:sig w:usb0="E4002EFF" w:usb1="C000247B" w:usb2="00000009" w:usb3="00000000" w:csb0="200001FF" w:csb1="00000000"/>
    <w:embedRegular r:id="rId3" w:fontKey="{809B7CBD-1C3C-4741-9609-F09C70FBBBB2}"/>
  </w:font>
  <w:font w:name="微软雅黑">
    <w:panose1 w:val="020B0503020204020204"/>
    <w:charset w:val="86"/>
    <w:family w:val="swiss"/>
    <w:pitch w:val="default"/>
    <w:sig w:usb0="80000287" w:usb1="2ACF3C50" w:usb2="00000016" w:usb3="00000000" w:csb0="0004001F" w:csb1="00000000"/>
    <w:embedRegular r:id="rId4" w:fontKey="{49097286-9AC2-4E37-852A-DCB70AE44752}"/>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Fang Song">
    <w:altName w:val="宋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方正小标宋简体">
    <w:panose1 w:val="03000509000000000000"/>
    <w:charset w:val="86"/>
    <w:family w:val="script"/>
    <w:pitch w:val="default"/>
    <w:sig w:usb0="00000001" w:usb1="080E0000" w:usb2="00000000" w:usb3="00000000" w:csb0="00040000" w:csb1="00000000"/>
    <w:embedRegular r:id="rId5" w:fontKey="{1732F2A4-D195-46D3-BB70-8540BB492A9E}"/>
  </w:font>
  <w:font w:name="仿宋_GB2312">
    <w:panose1 w:val="02010609030101010101"/>
    <w:charset w:val="86"/>
    <w:family w:val="modern"/>
    <w:pitch w:val="default"/>
    <w:sig w:usb0="00000001" w:usb1="080E0000" w:usb2="00000000" w:usb3="00000000" w:csb0="00040000" w:csb1="00000000"/>
    <w:embedRegular r:id="rId6" w:fontKey="{55001379-BE92-42E7-BBFF-EF901D368F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8C0A">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C3E7C">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56C3E7C">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05D2">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8B31AA">
                          <w:pPr>
                            <w:jc w:val="center"/>
                          </w:pPr>
                          <w:r>
                            <w:fldChar w:fldCharType="begin"/>
                          </w:r>
                          <w:r>
                            <w:rPr>
                              <w:rStyle w:val="24"/>
                            </w:rPr>
                            <w:instrText xml:space="preserve"> PAGE </w:instrText>
                          </w:r>
                          <w:r>
                            <w:fldChar w:fldCharType="separate"/>
                          </w:r>
                          <w:r>
                            <w:rPr>
                              <w:rStyle w:val="24"/>
                            </w:rPr>
                            <w:t>48</w:t>
                          </w:r>
                          <w:r>
                            <w:fldChar w:fldCharType="end"/>
                          </w:r>
                        </w:p>
                        <w:p w14:paraId="08C5FFB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C8B31AA">
                    <w:pPr>
                      <w:jc w:val="center"/>
                    </w:pPr>
                    <w:r>
                      <w:fldChar w:fldCharType="begin"/>
                    </w:r>
                    <w:r>
                      <w:rPr>
                        <w:rStyle w:val="24"/>
                      </w:rPr>
                      <w:instrText xml:space="preserve"> PAGE </w:instrText>
                    </w:r>
                    <w:r>
                      <w:fldChar w:fldCharType="separate"/>
                    </w:r>
                    <w:r>
                      <w:rPr>
                        <w:rStyle w:val="24"/>
                      </w:rPr>
                      <w:t>48</w:t>
                    </w:r>
                    <w:r>
                      <w:fldChar w:fldCharType="end"/>
                    </w:r>
                  </w:p>
                  <w:p w14:paraId="08C5FFB8"/>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A750">
    <w:pPr>
      <w:pStyle w:val="1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A502D8">
                          <w:pPr>
                            <w:pStyle w:val="14"/>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4DA502D8">
                    <w:pPr>
                      <w:pStyle w:val="14"/>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3C89">
    <w:pPr>
      <w:pStyle w:val="14"/>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D9572C">
                          <w:pPr>
                            <w:pStyle w:val="14"/>
                            <w:jc w:val="center"/>
                          </w:pPr>
                          <w:r>
                            <w:fldChar w:fldCharType="begin"/>
                          </w:r>
                          <w:r>
                            <w:rPr>
                              <w:rStyle w:val="24"/>
                            </w:rPr>
                            <w:instrText xml:space="preserve"> PAGE </w:instrText>
                          </w:r>
                          <w:r>
                            <w:fldChar w:fldCharType="separate"/>
                          </w:r>
                          <w:r>
                            <w:rPr>
                              <w:rStyle w:val="24"/>
                            </w:rPr>
                            <w:t>54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68D9572C">
                    <w:pPr>
                      <w:pStyle w:val="14"/>
                      <w:jc w:val="center"/>
                    </w:pPr>
                    <w:r>
                      <w:fldChar w:fldCharType="begin"/>
                    </w:r>
                    <w:r>
                      <w:rPr>
                        <w:rStyle w:val="24"/>
                      </w:rPr>
                      <w:instrText xml:space="preserve"> PAGE </w:instrText>
                    </w:r>
                    <w:r>
                      <w:fldChar w:fldCharType="separate"/>
                    </w:r>
                    <w:r>
                      <w:rPr>
                        <w:rStyle w:val="24"/>
                      </w:rP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71084">
    <w:pPr>
      <w:pStyle w:val="14"/>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8AE976">
                          <w:pPr>
                            <w:pStyle w:val="14"/>
                            <w:jc w:val="center"/>
                          </w:pPr>
                          <w:r>
                            <w:fldChar w:fldCharType="begin"/>
                          </w:r>
                          <w:r>
                            <w:rPr>
                              <w:rStyle w:val="24"/>
                            </w:rPr>
                            <w:instrText xml:space="preserve"> PAGE </w:instrText>
                          </w:r>
                          <w:r>
                            <w:fldChar w:fldCharType="separate"/>
                          </w:r>
                          <w:r>
                            <w:rPr>
                              <w:rStyle w:val="24"/>
                            </w:rPr>
                            <w:t>60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5B8AE976">
                    <w:pPr>
                      <w:pStyle w:val="14"/>
                      <w:jc w:val="center"/>
                    </w:pPr>
                    <w:r>
                      <w:fldChar w:fldCharType="begin"/>
                    </w:r>
                    <w:r>
                      <w:rPr>
                        <w:rStyle w:val="24"/>
                      </w:rPr>
                      <w:instrText xml:space="preserve"> PAGE </w:instrText>
                    </w:r>
                    <w:r>
                      <w:fldChar w:fldCharType="separate"/>
                    </w:r>
                    <w:r>
                      <w:rPr>
                        <w:rStyle w:val="24"/>
                      </w:rP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36E8">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47D3BB">
                          <w:pPr>
                            <w:jc w:val="center"/>
                          </w:pPr>
                          <w:r>
                            <w:fldChar w:fldCharType="begin"/>
                          </w:r>
                          <w:r>
                            <w:rPr>
                              <w:rStyle w:val="24"/>
                            </w:rPr>
                            <w:instrText xml:space="preserve"> PAGE </w:instrText>
                          </w:r>
                          <w:r>
                            <w:fldChar w:fldCharType="separate"/>
                          </w:r>
                          <w:r>
                            <w:rPr>
                              <w:rStyle w:val="24"/>
                            </w:rPr>
                            <w:t>62</w:t>
                          </w:r>
                          <w:r>
                            <w:fldChar w:fldCharType="end"/>
                          </w:r>
                        </w:p>
                        <w:p w14:paraId="214F5B1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547D3BB">
                    <w:pPr>
                      <w:jc w:val="center"/>
                    </w:pPr>
                    <w:r>
                      <w:fldChar w:fldCharType="begin"/>
                    </w:r>
                    <w:r>
                      <w:rPr>
                        <w:rStyle w:val="24"/>
                      </w:rPr>
                      <w:instrText xml:space="preserve"> PAGE </w:instrText>
                    </w:r>
                    <w:r>
                      <w:fldChar w:fldCharType="separate"/>
                    </w:r>
                    <w:r>
                      <w:rPr>
                        <w:rStyle w:val="24"/>
                      </w:rPr>
                      <w:t>62</w:t>
                    </w:r>
                    <w:r>
                      <w:fldChar w:fldCharType="end"/>
                    </w:r>
                  </w:p>
                  <w:p w14:paraId="214F5B14"/>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73052FF"/>
    <w:multiLevelType w:val="singleLevel"/>
    <w:tmpl w:val="B73052FF"/>
    <w:lvl w:ilvl="0" w:tentative="0">
      <w:start w:val="1"/>
      <w:numFmt w:val="decimal"/>
      <w:lvlText w:val="%1."/>
      <w:lvlJc w:val="left"/>
      <w:pPr>
        <w:ind w:left="425" w:hanging="425"/>
      </w:pPr>
      <w:rPr>
        <w:rFonts w:hint="default"/>
      </w:rPr>
    </w:lvl>
  </w:abstractNum>
  <w:abstractNum w:abstractNumId="2">
    <w:nsid w:val="D2D4B070"/>
    <w:multiLevelType w:val="singleLevel"/>
    <w:tmpl w:val="D2D4B070"/>
    <w:lvl w:ilvl="0" w:tentative="0">
      <w:start w:val="1"/>
      <w:numFmt w:val="decimal"/>
      <w:suff w:val="nothing"/>
      <w:lvlText w:val="（%1）"/>
      <w:lvlJc w:val="left"/>
    </w:lvl>
  </w:abstractNum>
  <w:abstractNum w:abstractNumId="3">
    <w:nsid w:val="EA895115"/>
    <w:multiLevelType w:val="singleLevel"/>
    <w:tmpl w:val="EA895115"/>
    <w:lvl w:ilvl="0" w:tentative="0">
      <w:start w:val="1"/>
      <w:numFmt w:val="decimal"/>
      <w:suff w:val="nothing"/>
      <w:lvlText w:val="%1"/>
      <w:lvlJc w:val="center"/>
      <w:pPr>
        <w:ind w:left="454" w:leftChars="0" w:hanging="454" w:firstLineChars="0"/>
      </w:pPr>
      <w:rPr>
        <w:rFonts w:hint="default"/>
      </w:rPr>
    </w:lvl>
  </w:abstractNum>
  <w:abstractNum w:abstractNumId="4">
    <w:nsid w:val="04247E1C"/>
    <w:multiLevelType w:val="multilevel"/>
    <w:tmpl w:val="04247E1C"/>
    <w:lvl w:ilvl="0" w:tentative="0">
      <w:start w:val="1"/>
      <w:numFmt w:val="decimal"/>
      <w:lvlText w:val="（%1）"/>
      <w:lvlJc w:val="left"/>
      <w:pPr>
        <w:ind w:left="987" w:hanging="420"/>
      </w:pPr>
      <w:rPr>
        <w:rFonts w:hint="eastAsia" w:cs="Times New Roman"/>
      </w:rPr>
    </w:lvl>
    <w:lvl w:ilvl="1" w:tentative="0">
      <w:start w:val="1"/>
      <w:numFmt w:val="lowerLetter"/>
      <w:pStyle w:val="32"/>
      <w:lvlText w:val="%2)"/>
      <w:lvlJc w:val="left"/>
      <w:pPr>
        <w:ind w:left="1413"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5">
    <w:nsid w:val="09C4EEC7"/>
    <w:multiLevelType w:val="singleLevel"/>
    <w:tmpl w:val="09C4EEC7"/>
    <w:lvl w:ilvl="0" w:tentative="0">
      <w:start w:val="1"/>
      <w:numFmt w:val="decimal"/>
      <w:suff w:val="nothing"/>
      <w:lvlText w:val="%1"/>
      <w:lvlJc w:val="center"/>
      <w:pPr>
        <w:ind w:left="454" w:leftChars="0" w:hanging="454" w:firstLineChars="0"/>
      </w:pPr>
      <w:rPr>
        <w:rFonts w:hint="default"/>
      </w:rPr>
    </w:lvl>
  </w:abstractNum>
  <w:abstractNum w:abstractNumId="6">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7">
    <w:nsid w:val="4C4C50C2"/>
    <w:multiLevelType w:val="singleLevel"/>
    <w:tmpl w:val="4C4C50C2"/>
    <w:lvl w:ilvl="0" w:tentative="0">
      <w:start w:val="1"/>
      <w:numFmt w:val="decimal"/>
      <w:suff w:val="nothing"/>
      <w:lvlText w:val="%1、"/>
      <w:lvlJc w:val="left"/>
    </w:lvl>
  </w:abstractNum>
  <w:abstractNum w:abstractNumId="8">
    <w:nsid w:val="6079656F"/>
    <w:multiLevelType w:val="singleLevel"/>
    <w:tmpl w:val="6079656F"/>
    <w:lvl w:ilvl="0" w:tentative="0">
      <w:start w:val="1"/>
      <w:numFmt w:val="decimal"/>
      <w:suff w:val="nothing"/>
      <w:lvlText w:val="%1、"/>
      <w:lvlJc w:val="left"/>
    </w:lvl>
  </w:abstractNum>
  <w:abstractNum w:abstractNumId="9">
    <w:nsid w:val="748D16CD"/>
    <w:multiLevelType w:val="multilevel"/>
    <w:tmpl w:val="748D16CD"/>
    <w:lvl w:ilvl="0" w:tentative="0">
      <w:start w:val="1"/>
      <w:numFmt w:val="decimal"/>
      <w:pStyle w:val="33"/>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75041048"/>
    <w:multiLevelType w:val="multilevel"/>
    <w:tmpl w:val="75041048"/>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6"/>
  </w:num>
  <w:num w:numId="3">
    <w:abstractNumId w:val="4"/>
  </w:num>
  <w:num w:numId="4">
    <w:abstractNumId w:val="9"/>
  </w:num>
  <w:num w:numId="5">
    <w:abstractNumId w:val="10"/>
  </w:num>
  <w:num w:numId="6">
    <w:abstractNumId w:val="7"/>
  </w:num>
  <w:num w:numId="7">
    <w:abstractNumId w:val="2"/>
  </w:num>
  <w:num w:numId="8">
    <w:abstractNumId w:val="1"/>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ZjhhZGU3MGEwODY4NTkxY2Y4M2MwZjE0M2JjNDIifQ=="/>
  </w:docVars>
  <w:rsids>
    <w:rsidRoot w:val="00C759D7"/>
    <w:rsid w:val="00071E2D"/>
    <w:rsid w:val="00145D76"/>
    <w:rsid w:val="00151277"/>
    <w:rsid w:val="00196E59"/>
    <w:rsid w:val="001A331B"/>
    <w:rsid w:val="00237AE5"/>
    <w:rsid w:val="00276E33"/>
    <w:rsid w:val="00303124"/>
    <w:rsid w:val="003049AC"/>
    <w:rsid w:val="0031645C"/>
    <w:rsid w:val="00326ECB"/>
    <w:rsid w:val="00405467"/>
    <w:rsid w:val="004064DE"/>
    <w:rsid w:val="00483A1A"/>
    <w:rsid w:val="004E3624"/>
    <w:rsid w:val="006B1203"/>
    <w:rsid w:val="008278A3"/>
    <w:rsid w:val="008872DB"/>
    <w:rsid w:val="00914A91"/>
    <w:rsid w:val="00946AC5"/>
    <w:rsid w:val="009562A7"/>
    <w:rsid w:val="00962625"/>
    <w:rsid w:val="00AE67B6"/>
    <w:rsid w:val="00B073F6"/>
    <w:rsid w:val="00B10EF4"/>
    <w:rsid w:val="00B967AD"/>
    <w:rsid w:val="00BD43F2"/>
    <w:rsid w:val="00C273CD"/>
    <w:rsid w:val="00C759D7"/>
    <w:rsid w:val="00C81694"/>
    <w:rsid w:val="00D27B58"/>
    <w:rsid w:val="00D821BC"/>
    <w:rsid w:val="00DE76A7"/>
    <w:rsid w:val="00E23EFA"/>
    <w:rsid w:val="00E73CBF"/>
    <w:rsid w:val="00E8343B"/>
    <w:rsid w:val="00EB7ED3"/>
    <w:rsid w:val="00F96F5C"/>
    <w:rsid w:val="00FD1FE7"/>
    <w:rsid w:val="00FD7A91"/>
    <w:rsid w:val="00FE1181"/>
    <w:rsid w:val="00FE4BB5"/>
    <w:rsid w:val="0135622E"/>
    <w:rsid w:val="013E55DF"/>
    <w:rsid w:val="016D5342"/>
    <w:rsid w:val="0177314C"/>
    <w:rsid w:val="017E162C"/>
    <w:rsid w:val="018244E8"/>
    <w:rsid w:val="0194095C"/>
    <w:rsid w:val="01A44BF8"/>
    <w:rsid w:val="01BD47F2"/>
    <w:rsid w:val="0208784F"/>
    <w:rsid w:val="020C3074"/>
    <w:rsid w:val="02567FC5"/>
    <w:rsid w:val="026E66C0"/>
    <w:rsid w:val="027E48CC"/>
    <w:rsid w:val="034709C5"/>
    <w:rsid w:val="0363215D"/>
    <w:rsid w:val="03D777C2"/>
    <w:rsid w:val="04074FB1"/>
    <w:rsid w:val="041F655A"/>
    <w:rsid w:val="048544A5"/>
    <w:rsid w:val="048819C4"/>
    <w:rsid w:val="048830F0"/>
    <w:rsid w:val="049B1700"/>
    <w:rsid w:val="04C904A2"/>
    <w:rsid w:val="04EE36A7"/>
    <w:rsid w:val="04F80D9E"/>
    <w:rsid w:val="050A242F"/>
    <w:rsid w:val="05377B18"/>
    <w:rsid w:val="054D3968"/>
    <w:rsid w:val="055B608E"/>
    <w:rsid w:val="05F17CC7"/>
    <w:rsid w:val="05F460D1"/>
    <w:rsid w:val="06296B1B"/>
    <w:rsid w:val="064363F7"/>
    <w:rsid w:val="066F01A0"/>
    <w:rsid w:val="06AB0B07"/>
    <w:rsid w:val="06AD1125"/>
    <w:rsid w:val="06B86DA7"/>
    <w:rsid w:val="06E1242B"/>
    <w:rsid w:val="070C4668"/>
    <w:rsid w:val="07140111"/>
    <w:rsid w:val="07175B51"/>
    <w:rsid w:val="071F4C01"/>
    <w:rsid w:val="07300CC3"/>
    <w:rsid w:val="07BF7EB9"/>
    <w:rsid w:val="07C5765D"/>
    <w:rsid w:val="07E27C70"/>
    <w:rsid w:val="07FE491D"/>
    <w:rsid w:val="083B178D"/>
    <w:rsid w:val="088A7828"/>
    <w:rsid w:val="08E46DD4"/>
    <w:rsid w:val="08EA2450"/>
    <w:rsid w:val="09175C96"/>
    <w:rsid w:val="093F51ED"/>
    <w:rsid w:val="097C2171"/>
    <w:rsid w:val="099C619C"/>
    <w:rsid w:val="09B03059"/>
    <w:rsid w:val="09B61520"/>
    <w:rsid w:val="09DF1D71"/>
    <w:rsid w:val="0A136152"/>
    <w:rsid w:val="0A162BE6"/>
    <w:rsid w:val="0A1A48E5"/>
    <w:rsid w:val="0A292171"/>
    <w:rsid w:val="0A8D3D76"/>
    <w:rsid w:val="0AA55524"/>
    <w:rsid w:val="0AE65B6F"/>
    <w:rsid w:val="0B0460EF"/>
    <w:rsid w:val="0B4F7106"/>
    <w:rsid w:val="0B523ADC"/>
    <w:rsid w:val="0B593332"/>
    <w:rsid w:val="0B9D1D9F"/>
    <w:rsid w:val="0BB023D2"/>
    <w:rsid w:val="0BFE6705"/>
    <w:rsid w:val="0C113E54"/>
    <w:rsid w:val="0C177D5B"/>
    <w:rsid w:val="0C6A29D8"/>
    <w:rsid w:val="0D06026B"/>
    <w:rsid w:val="0D2E44B6"/>
    <w:rsid w:val="0D6F36B3"/>
    <w:rsid w:val="0D732CAF"/>
    <w:rsid w:val="0D7547C3"/>
    <w:rsid w:val="0D92737B"/>
    <w:rsid w:val="0DBE6E39"/>
    <w:rsid w:val="0DD03ACF"/>
    <w:rsid w:val="0DD17B12"/>
    <w:rsid w:val="0DD768FA"/>
    <w:rsid w:val="0DDF0F08"/>
    <w:rsid w:val="0E1330E0"/>
    <w:rsid w:val="0E1C325A"/>
    <w:rsid w:val="0E3105BA"/>
    <w:rsid w:val="0E3F3599"/>
    <w:rsid w:val="0E5F4568"/>
    <w:rsid w:val="0E8573E3"/>
    <w:rsid w:val="0E8A3A13"/>
    <w:rsid w:val="0ED31895"/>
    <w:rsid w:val="0EF13E70"/>
    <w:rsid w:val="0F443A2B"/>
    <w:rsid w:val="0F6D5FF4"/>
    <w:rsid w:val="0F7A0F49"/>
    <w:rsid w:val="0F911464"/>
    <w:rsid w:val="0F9B0547"/>
    <w:rsid w:val="0FD2770D"/>
    <w:rsid w:val="0FD418D3"/>
    <w:rsid w:val="0FE42D1C"/>
    <w:rsid w:val="0FE90FFC"/>
    <w:rsid w:val="10164837"/>
    <w:rsid w:val="10300626"/>
    <w:rsid w:val="10593070"/>
    <w:rsid w:val="10685DEA"/>
    <w:rsid w:val="10694C8E"/>
    <w:rsid w:val="10A241BA"/>
    <w:rsid w:val="10AE73C9"/>
    <w:rsid w:val="10FC70C8"/>
    <w:rsid w:val="111E1B8C"/>
    <w:rsid w:val="11271E41"/>
    <w:rsid w:val="113C03B6"/>
    <w:rsid w:val="1149435D"/>
    <w:rsid w:val="114B0C09"/>
    <w:rsid w:val="116E76A4"/>
    <w:rsid w:val="118B4E43"/>
    <w:rsid w:val="118B7221"/>
    <w:rsid w:val="11B963FE"/>
    <w:rsid w:val="11BC52EE"/>
    <w:rsid w:val="11BD141B"/>
    <w:rsid w:val="11FA7982"/>
    <w:rsid w:val="12461229"/>
    <w:rsid w:val="125F245C"/>
    <w:rsid w:val="12720FF0"/>
    <w:rsid w:val="12A5062D"/>
    <w:rsid w:val="13023513"/>
    <w:rsid w:val="131E5E73"/>
    <w:rsid w:val="132E0679"/>
    <w:rsid w:val="135E651F"/>
    <w:rsid w:val="13743620"/>
    <w:rsid w:val="139226B6"/>
    <w:rsid w:val="13C35C9C"/>
    <w:rsid w:val="13CC0923"/>
    <w:rsid w:val="141B3407"/>
    <w:rsid w:val="14296D75"/>
    <w:rsid w:val="147E06AE"/>
    <w:rsid w:val="14AC5E6D"/>
    <w:rsid w:val="14B939B0"/>
    <w:rsid w:val="14B94B6E"/>
    <w:rsid w:val="14CE02F2"/>
    <w:rsid w:val="14D64C58"/>
    <w:rsid w:val="14DB748A"/>
    <w:rsid w:val="154B0AB3"/>
    <w:rsid w:val="158E72E0"/>
    <w:rsid w:val="1604146C"/>
    <w:rsid w:val="165453C2"/>
    <w:rsid w:val="16575311"/>
    <w:rsid w:val="16652B4C"/>
    <w:rsid w:val="16664AD6"/>
    <w:rsid w:val="1683496B"/>
    <w:rsid w:val="16B65E51"/>
    <w:rsid w:val="170A0BE8"/>
    <w:rsid w:val="17690037"/>
    <w:rsid w:val="1773572F"/>
    <w:rsid w:val="17AB38C0"/>
    <w:rsid w:val="17DB091F"/>
    <w:rsid w:val="18090EA0"/>
    <w:rsid w:val="180D0D1B"/>
    <w:rsid w:val="18116229"/>
    <w:rsid w:val="18306CCE"/>
    <w:rsid w:val="1855388D"/>
    <w:rsid w:val="18581E27"/>
    <w:rsid w:val="18C50BDD"/>
    <w:rsid w:val="18F953B8"/>
    <w:rsid w:val="19095C10"/>
    <w:rsid w:val="19102702"/>
    <w:rsid w:val="192C753C"/>
    <w:rsid w:val="19384B23"/>
    <w:rsid w:val="193B6F0E"/>
    <w:rsid w:val="193E64F1"/>
    <w:rsid w:val="19516FA3"/>
    <w:rsid w:val="195900EA"/>
    <w:rsid w:val="1984251C"/>
    <w:rsid w:val="19B1137D"/>
    <w:rsid w:val="19D10923"/>
    <w:rsid w:val="19D1781E"/>
    <w:rsid w:val="1A2B5190"/>
    <w:rsid w:val="1A324575"/>
    <w:rsid w:val="1A4A11AC"/>
    <w:rsid w:val="1A581840"/>
    <w:rsid w:val="1A7A461A"/>
    <w:rsid w:val="1A7F2C49"/>
    <w:rsid w:val="1A9D5276"/>
    <w:rsid w:val="1AEA192C"/>
    <w:rsid w:val="1B0D5621"/>
    <w:rsid w:val="1B585ED3"/>
    <w:rsid w:val="1B592560"/>
    <w:rsid w:val="1B853F52"/>
    <w:rsid w:val="1BAE48A9"/>
    <w:rsid w:val="1BF42363"/>
    <w:rsid w:val="1C1E6EE4"/>
    <w:rsid w:val="1C26070A"/>
    <w:rsid w:val="1C2638BB"/>
    <w:rsid w:val="1C3A7856"/>
    <w:rsid w:val="1CB04F7D"/>
    <w:rsid w:val="1CD9456C"/>
    <w:rsid w:val="1CE44F73"/>
    <w:rsid w:val="1CE4629D"/>
    <w:rsid w:val="1CEC2C85"/>
    <w:rsid w:val="1D245309"/>
    <w:rsid w:val="1D415439"/>
    <w:rsid w:val="1DE00A1D"/>
    <w:rsid w:val="1DE0155D"/>
    <w:rsid w:val="1E044B2F"/>
    <w:rsid w:val="1E28404A"/>
    <w:rsid w:val="1E651563"/>
    <w:rsid w:val="1F1A1EB5"/>
    <w:rsid w:val="1F204DCB"/>
    <w:rsid w:val="1F266B8D"/>
    <w:rsid w:val="1F303633"/>
    <w:rsid w:val="1F444EB4"/>
    <w:rsid w:val="1F780FA2"/>
    <w:rsid w:val="1FCB2EDF"/>
    <w:rsid w:val="1FE50445"/>
    <w:rsid w:val="2053535C"/>
    <w:rsid w:val="20660F77"/>
    <w:rsid w:val="20767CA7"/>
    <w:rsid w:val="209775D1"/>
    <w:rsid w:val="209D15A3"/>
    <w:rsid w:val="20FE0952"/>
    <w:rsid w:val="2121218D"/>
    <w:rsid w:val="21AC3A5A"/>
    <w:rsid w:val="21B7404D"/>
    <w:rsid w:val="22127DB7"/>
    <w:rsid w:val="22394A78"/>
    <w:rsid w:val="224252CD"/>
    <w:rsid w:val="22515A6F"/>
    <w:rsid w:val="227776F7"/>
    <w:rsid w:val="229B4DEB"/>
    <w:rsid w:val="22CE0972"/>
    <w:rsid w:val="22D86451"/>
    <w:rsid w:val="23305A56"/>
    <w:rsid w:val="234D3927"/>
    <w:rsid w:val="237E2637"/>
    <w:rsid w:val="23854494"/>
    <w:rsid w:val="238564FF"/>
    <w:rsid w:val="238773AE"/>
    <w:rsid w:val="23A421D8"/>
    <w:rsid w:val="23C77BA1"/>
    <w:rsid w:val="23E8063A"/>
    <w:rsid w:val="23F96A09"/>
    <w:rsid w:val="240859B9"/>
    <w:rsid w:val="243248D4"/>
    <w:rsid w:val="24343749"/>
    <w:rsid w:val="24450448"/>
    <w:rsid w:val="248770F0"/>
    <w:rsid w:val="25134938"/>
    <w:rsid w:val="258D58B5"/>
    <w:rsid w:val="25FE427D"/>
    <w:rsid w:val="260333D3"/>
    <w:rsid w:val="263245E0"/>
    <w:rsid w:val="265D1326"/>
    <w:rsid w:val="26673AE2"/>
    <w:rsid w:val="266E70F1"/>
    <w:rsid w:val="26907452"/>
    <w:rsid w:val="269F0520"/>
    <w:rsid w:val="26C244FC"/>
    <w:rsid w:val="26FC4AB8"/>
    <w:rsid w:val="273465D4"/>
    <w:rsid w:val="277A25C4"/>
    <w:rsid w:val="279F7839"/>
    <w:rsid w:val="27C13526"/>
    <w:rsid w:val="27D85854"/>
    <w:rsid w:val="27E05483"/>
    <w:rsid w:val="282E6F2C"/>
    <w:rsid w:val="28396551"/>
    <w:rsid w:val="28752491"/>
    <w:rsid w:val="289567AF"/>
    <w:rsid w:val="28B5314E"/>
    <w:rsid w:val="28B80BC5"/>
    <w:rsid w:val="28F90474"/>
    <w:rsid w:val="29252D93"/>
    <w:rsid w:val="297168A5"/>
    <w:rsid w:val="29986528"/>
    <w:rsid w:val="2A2A79F3"/>
    <w:rsid w:val="2A435F0E"/>
    <w:rsid w:val="2A5378DF"/>
    <w:rsid w:val="2A6033D4"/>
    <w:rsid w:val="2A873EDD"/>
    <w:rsid w:val="2A8D5CBA"/>
    <w:rsid w:val="2AB2303F"/>
    <w:rsid w:val="2AE0167B"/>
    <w:rsid w:val="2AE56FFF"/>
    <w:rsid w:val="2AEF03C9"/>
    <w:rsid w:val="2AFC6642"/>
    <w:rsid w:val="2B326508"/>
    <w:rsid w:val="2B482D21"/>
    <w:rsid w:val="2B826135"/>
    <w:rsid w:val="2BC42C74"/>
    <w:rsid w:val="2BC82F3A"/>
    <w:rsid w:val="2BCD78C0"/>
    <w:rsid w:val="2BE6373E"/>
    <w:rsid w:val="2C3E5ADB"/>
    <w:rsid w:val="2C984F64"/>
    <w:rsid w:val="2C9B3EB6"/>
    <w:rsid w:val="2CEA1907"/>
    <w:rsid w:val="2D376489"/>
    <w:rsid w:val="2D3814EA"/>
    <w:rsid w:val="2D470CB6"/>
    <w:rsid w:val="2D471EBD"/>
    <w:rsid w:val="2D8F5E37"/>
    <w:rsid w:val="2DBE1FE8"/>
    <w:rsid w:val="2DD821E9"/>
    <w:rsid w:val="2DF34A3E"/>
    <w:rsid w:val="2E32539E"/>
    <w:rsid w:val="2ED47847"/>
    <w:rsid w:val="2EDE49DD"/>
    <w:rsid w:val="2F413246"/>
    <w:rsid w:val="2F4D56BE"/>
    <w:rsid w:val="2F9742DA"/>
    <w:rsid w:val="2FF07AE9"/>
    <w:rsid w:val="300F5CEA"/>
    <w:rsid w:val="305B3E0B"/>
    <w:rsid w:val="30646D85"/>
    <w:rsid w:val="30850E88"/>
    <w:rsid w:val="309955B1"/>
    <w:rsid w:val="30FA2307"/>
    <w:rsid w:val="30FC6B7E"/>
    <w:rsid w:val="31210AEE"/>
    <w:rsid w:val="3123355A"/>
    <w:rsid w:val="31B7224A"/>
    <w:rsid w:val="31DA433A"/>
    <w:rsid w:val="32006099"/>
    <w:rsid w:val="321B5865"/>
    <w:rsid w:val="327D17AF"/>
    <w:rsid w:val="32967772"/>
    <w:rsid w:val="32B83797"/>
    <w:rsid w:val="33807ED3"/>
    <w:rsid w:val="34247FBC"/>
    <w:rsid w:val="343D03AE"/>
    <w:rsid w:val="34417FA6"/>
    <w:rsid w:val="34527F69"/>
    <w:rsid w:val="34A53B48"/>
    <w:rsid w:val="34C977FD"/>
    <w:rsid w:val="34CA155F"/>
    <w:rsid w:val="34EA6AF7"/>
    <w:rsid w:val="350247A6"/>
    <w:rsid w:val="35A329CD"/>
    <w:rsid w:val="35A77B3B"/>
    <w:rsid w:val="35CC08F4"/>
    <w:rsid w:val="35D14003"/>
    <w:rsid w:val="368816D2"/>
    <w:rsid w:val="368B1D94"/>
    <w:rsid w:val="36962A57"/>
    <w:rsid w:val="3699770E"/>
    <w:rsid w:val="36B910E6"/>
    <w:rsid w:val="36C26364"/>
    <w:rsid w:val="372938E0"/>
    <w:rsid w:val="372E550E"/>
    <w:rsid w:val="3730018A"/>
    <w:rsid w:val="37496512"/>
    <w:rsid w:val="37723458"/>
    <w:rsid w:val="37A8491C"/>
    <w:rsid w:val="37D0339B"/>
    <w:rsid w:val="37DE5A4E"/>
    <w:rsid w:val="37E21E69"/>
    <w:rsid w:val="37F2200E"/>
    <w:rsid w:val="38E64F1F"/>
    <w:rsid w:val="39021C10"/>
    <w:rsid w:val="391505BB"/>
    <w:rsid w:val="393261F1"/>
    <w:rsid w:val="393910B5"/>
    <w:rsid w:val="3975239E"/>
    <w:rsid w:val="39795919"/>
    <w:rsid w:val="399801FE"/>
    <w:rsid w:val="399C5E26"/>
    <w:rsid w:val="39AB5E03"/>
    <w:rsid w:val="39E26ADB"/>
    <w:rsid w:val="39EA5D4D"/>
    <w:rsid w:val="3A0054D6"/>
    <w:rsid w:val="3A180AB6"/>
    <w:rsid w:val="3A2A3315"/>
    <w:rsid w:val="3A3E4582"/>
    <w:rsid w:val="3A783B98"/>
    <w:rsid w:val="3A7F148E"/>
    <w:rsid w:val="3A914ED0"/>
    <w:rsid w:val="3A9954D9"/>
    <w:rsid w:val="3A9E32C3"/>
    <w:rsid w:val="3AA30374"/>
    <w:rsid w:val="3B223487"/>
    <w:rsid w:val="3B226762"/>
    <w:rsid w:val="3B2320F5"/>
    <w:rsid w:val="3B4B3764"/>
    <w:rsid w:val="3B5F0FCC"/>
    <w:rsid w:val="3BD07657"/>
    <w:rsid w:val="3BE61494"/>
    <w:rsid w:val="3C121E2E"/>
    <w:rsid w:val="3C1B5405"/>
    <w:rsid w:val="3C333E8E"/>
    <w:rsid w:val="3C467402"/>
    <w:rsid w:val="3C4A684E"/>
    <w:rsid w:val="3C747B11"/>
    <w:rsid w:val="3C9F7A03"/>
    <w:rsid w:val="3CA52FDE"/>
    <w:rsid w:val="3CF748B3"/>
    <w:rsid w:val="3CFC61AF"/>
    <w:rsid w:val="3D3103CE"/>
    <w:rsid w:val="3D567E34"/>
    <w:rsid w:val="3D7A0ADC"/>
    <w:rsid w:val="3D963DB0"/>
    <w:rsid w:val="3DBE21E9"/>
    <w:rsid w:val="3DDD5912"/>
    <w:rsid w:val="3E065A31"/>
    <w:rsid w:val="3E0D1F04"/>
    <w:rsid w:val="3E30208F"/>
    <w:rsid w:val="3E765FDF"/>
    <w:rsid w:val="3E8929C9"/>
    <w:rsid w:val="3E960492"/>
    <w:rsid w:val="3EB505BF"/>
    <w:rsid w:val="3EC43D05"/>
    <w:rsid w:val="3ED937F9"/>
    <w:rsid w:val="3F181D11"/>
    <w:rsid w:val="3F79355A"/>
    <w:rsid w:val="3F980FF4"/>
    <w:rsid w:val="3FA2002D"/>
    <w:rsid w:val="3FA4741E"/>
    <w:rsid w:val="3FD45A5B"/>
    <w:rsid w:val="3FE979F1"/>
    <w:rsid w:val="40043FB0"/>
    <w:rsid w:val="4037634B"/>
    <w:rsid w:val="405C776F"/>
    <w:rsid w:val="40612D9E"/>
    <w:rsid w:val="40A43C4C"/>
    <w:rsid w:val="40EA3B3B"/>
    <w:rsid w:val="40EB2F89"/>
    <w:rsid w:val="411A1585"/>
    <w:rsid w:val="415845AC"/>
    <w:rsid w:val="4168282C"/>
    <w:rsid w:val="418A7015"/>
    <w:rsid w:val="423F5F51"/>
    <w:rsid w:val="427036CF"/>
    <w:rsid w:val="427153BA"/>
    <w:rsid w:val="42A26546"/>
    <w:rsid w:val="42BF647C"/>
    <w:rsid w:val="42C95515"/>
    <w:rsid w:val="4329746D"/>
    <w:rsid w:val="432E1FDC"/>
    <w:rsid w:val="436421EF"/>
    <w:rsid w:val="43B43C57"/>
    <w:rsid w:val="44360ECB"/>
    <w:rsid w:val="44394AB7"/>
    <w:rsid w:val="447A0C5C"/>
    <w:rsid w:val="44A05B93"/>
    <w:rsid w:val="44A25750"/>
    <w:rsid w:val="44E2420A"/>
    <w:rsid w:val="44F311F9"/>
    <w:rsid w:val="44FE2296"/>
    <w:rsid w:val="451E1BAD"/>
    <w:rsid w:val="45511D76"/>
    <w:rsid w:val="457E43CC"/>
    <w:rsid w:val="45821B61"/>
    <w:rsid w:val="45877A38"/>
    <w:rsid w:val="458C4B9D"/>
    <w:rsid w:val="458F3906"/>
    <w:rsid w:val="45EA0A32"/>
    <w:rsid w:val="45F34FE3"/>
    <w:rsid w:val="46200ECB"/>
    <w:rsid w:val="464F5D68"/>
    <w:rsid w:val="46CC73B9"/>
    <w:rsid w:val="46E11293"/>
    <w:rsid w:val="46FF5662"/>
    <w:rsid w:val="470E753B"/>
    <w:rsid w:val="47131639"/>
    <w:rsid w:val="4727294C"/>
    <w:rsid w:val="475D6979"/>
    <w:rsid w:val="47637C8F"/>
    <w:rsid w:val="477912EF"/>
    <w:rsid w:val="47853361"/>
    <w:rsid w:val="478C4766"/>
    <w:rsid w:val="47993A0F"/>
    <w:rsid w:val="481728B6"/>
    <w:rsid w:val="483C3D1A"/>
    <w:rsid w:val="486E16FB"/>
    <w:rsid w:val="488B3313"/>
    <w:rsid w:val="48BA3564"/>
    <w:rsid w:val="48C52380"/>
    <w:rsid w:val="49172460"/>
    <w:rsid w:val="49406FA6"/>
    <w:rsid w:val="49430CDD"/>
    <w:rsid w:val="49964E8E"/>
    <w:rsid w:val="49AF774E"/>
    <w:rsid w:val="49BB4150"/>
    <w:rsid w:val="49F3181B"/>
    <w:rsid w:val="4A0654DC"/>
    <w:rsid w:val="4A2D038D"/>
    <w:rsid w:val="4A314103"/>
    <w:rsid w:val="4A666CD5"/>
    <w:rsid w:val="4A7C6F23"/>
    <w:rsid w:val="4A86787B"/>
    <w:rsid w:val="4A8A6194"/>
    <w:rsid w:val="4AB307F7"/>
    <w:rsid w:val="4B2D487E"/>
    <w:rsid w:val="4B3E382E"/>
    <w:rsid w:val="4B7852FD"/>
    <w:rsid w:val="4BB76DBD"/>
    <w:rsid w:val="4BE469BC"/>
    <w:rsid w:val="4C123C4C"/>
    <w:rsid w:val="4C13549C"/>
    <w:rsid w:val="4C2F046C"/>
    <w:rsid w:val="4C2F7F42"/>
    <w:rsid w:val="4C6614CA"/>
    <w:rsid w:val="4C737E9A"/>
    <w:rsid w:val="4C7E7DB5"/>
    <w:rsid w:val="4C983FC5"/>
    <w:rsid w:val="4C994E4F"/>
    <w:rsid w:val="4C9E14C0"/>
    <w:rsid w:val="4CAB77B7"/>
    <w:rsid w:val="4D0E6F71"/>
    <w:rsid w:val="4D2C4005"/>
    <w:rsid w:val="4D2D67E7"/>
    <w:rsid w:val="4D3006A2"/>
    <w:rsid w:val="4D345049"/>
    <w:rsid w:val="4D3D5C8C"/>
    <w:rsid w:val="4D3E5C5E"/>
    <w:rsid w:val="4D6E6C73"/>
    <w:rsid w:val="4D7267BF"/>
    <w:rsid w:val="4D9E1CF2"/>
    <w:rsid w:val="4DCE2F0F"/>
    <w:rsid w:val="4DD7665C"/>
    <w:rsid w:val="4E0E49F1"/>
    <w:rsid w:val="4E3F6917"/>
    <w:rsid w:val="4E42314D"/>
    <w:rsid w:val="4E625841"/>
    <w:rsid w:val="4E6B26E0"/>
    <w:rsid w:val="4E8C2A2B"/>
    <w:rsid w:val="4EA33D25"/>
    <w:rsid w:val="4EC6450F"/>
    <w:rsid w:val="4ED90349"/>
    <w:rsid w:val="4EE17643"/>
    <w:rsid w:val="4F0746A3"/>
    <w:rsid w:val="4F09192A"/>
    <w:rsid w:val="4F527038"/>
    <w:rsid w:val="4FCB03F5"/>
    <w:rsid w:val="4FF16D31"/>
    <w:rsid w:val="4FF463DF"/>
    <w:rsid w:val="503C65DF"/>
    <w:rsid w:val="5088093D"/>
    <w:rsid w:val="50C434A1"/>
    <w:rsid w:val="51745C78"/>
    <w:rsid w:val="51967A85"/>
    <w:rsid w:val="519B471E"/>
    <w:rsid w:val="51B278FC"/>
    <w:rsid w:val="51C56F8D"/>
    <w:rsid w:val="52601F3A"/>
    <w:rsid w:val="52685B92"/>
    <w:rsid w:val="52880324"/>
    <w:rsid w:val="52A77A34"/>
    <w:rsid w:val="52B47467"/>
    <w:rsid w:val="52BD3CC8"/>
    <w:rsid w:val="52F537F4"/>
    <w:rsid w:val="530D0AED"/>
    <w:rsid w:val="531436FD"/>
    <w:rsid w:val="53436CB1"/>
    <w:rsid w:val="53E53868"/>
    <w:rsid w:val="54455CD4"/>
    <w:rsid w:val="54554236"/>
    <w:rsid w:val="54585A48"/>
    <w:rsid w:val="54722B2B"/>
    <w:rsid w:val="54B83F4D"/>
    <w:rsid w:val="54D1788C"/>
    <w:rsid w:val="54DF4224"/>
    <w:rsid w:val="550B23DF"/>
    <w:rsid w:val="554D57BB"/>
    <w:rsid w:val="554E3DBB"/>
    <w:rsid w:val="555E1B24"/>
    <w:rsid w:val="55833339"/>
    <w:rsid w:val="559A0800"/>
    <w:rsid w:val="559C252B"/>
    <w:rsid w:val="55E9559B"/>
    <w:rsid w:val="56026DB9"/>
    <w:rsid w:val="561166EA"/>
    <w:rsid w:val="56197F88"/>
    <w:rsid w:val="562E7748"/>
    <w:rsid w:val="5634266E"/>
    <w:rsid w:val="564C0821"/>
    <w:rsid w:val="566A737F"/>
    <w:rsid w:val="56731B3E"/>
    <w:rsid w:val="569441A8"/>
    <w:rsid w:val="56C90DDF"/>
    <w:rsid w:val="56CB4879"/>
    <w:rsid w:val="56DB0DE1"/>
    <w:rsid w:val="56DC53F6"/>
    <w:rsid w:val="56DE3CD8"/>
    <w:rsid w:val="571C7DCA"/>
    <w:rsid w:val="5736067B"/>
    <w:rsid w:val="577E025B"/>
    <w:rsid w:val="5788174A"/>
    <w:rsid w:val="57966C00"/>
    <w:rsid w:val="579919CC"/>
    <w:rsid w:val="57AB5C70"/>
    <w:rsid w:val="57BA4B9C"/>
    <w:rsid w:val="57C17E19"/>
    <w:rsid w:val="57C7330F"/>
    <w:rsid w:val="57CB5B25"/>
    <w:rsid w:val="57D540ED"/>
    <w:rsid w:val="587A5D69"/>
    <w:rsid w:val="58D53B8F"/>
    <w:rsid w:val="58F7026F"/>
    <w:rsid w:val="5936132E"/>
    <w:rsid w:val="594F3C5E"/>
    <w:rsid w:val="59701765"/>
    <w:rsid w:val="59714B05"/>
    <w:rsid w:val="598321B7"/>
    <w:rsid w:val="59E42C47"/>
    <w:rsid w:val="59E97EE7"/>
    <w:rsid w:val="59F42FBC"/>
    <w:rsid w:val="5A687BF2"/>
    <w:rsid w:val="5A893FD9"/>
    <w:rsid w:val="5AC16A76"/>
    <w:rsid w:val="5AD043E5"/>
    <w:rsid w:val="5AFA6CC4"/>
    <w:rsid w:val="5B9D1693"/>
    <w:rsid w:val="5BC57B81"/>
    <w:rsid w:val="5C406CAE"/>
    <w:rsid w:val="5C5123E2"/>
    <w:rsid w:val="5C770859"/>
    <w:rsid w:val="5D7D64AB"/>
    <w:rsid w:val="5DE33359"/>
    <w:rsid w:val="5E6B27D5"/>
    <w:rsid w:val="5ECA0A0D"/>
    <w:rsid w:val="5F0674B4"/>
    <w:rsid w:val="5F4E2C09"/>
    <w:rsid w:val="5F722D4A"/>
    <w:rsid w:val="5F8913FD"/>
    <w:rsid w:val="5FA54EF4"/>
    <w:rsid w:val="601F72A1"/>
    <w:rsid w:val="60556E96"/>
    <w:rsid w:val="607232EA"/>
    <w:rsid w:val="60C27210"/>
    <w:rsid w:val="610013DD"/>
    <w:rsid w:val="610139B4"/>
    <w:rsid w:val="611262FA"/>
    <w:rsid w:val="61131F9A"/>
    <w:rsid w:val="61693D2A"/>
    <w:rsid w:val="61990EAA"/>
    <w:rsid w:val="61DD72E0"/>
    <w:rsid w:val="61DF08A0"/>
    <w:rsid w:val="62144B45"/>
    <w:rsid w:val="621E56A0"/>
    <w:rsid w:val="62307541"/>
    <w:rsid w:val="623C4635"/>
    <w:rsid w:val="62A225CD"/>
    <w:rsid w:val="62D10175"/>
    <w:rsid w:val="62F52C0D"/>
    <w:rsid w:val="632C14B3"/>
    <w:rsid w:val="63976FED"/>
    <w:rsid w:val="63992291"/>
    <w:rsid w:val="63BC6A37"/>
    <w:rsid w:val="63C053AE"/>
    <w:rsid w:val="63FF56F6"/>
    <w:rsid w:val="64162794"/>
    <w:rsid w:val="64516089"/>
    <w:rsid w:val="648F710C"/>
    <w:rsid w:val="64B10E09"/>
    <w:rsid w:val="64C319A4"/>
    <w:rsid w:val="64C565B6"/>
    <w:rsid w:val="64FC725D"/>
    <w:rsid w:val="64FD569D"/>
    <w:rsid w:val="651905F4"/>
    <w:rsid w:val="655D70C9"/>
    <w:rsid w:val="65A15240"/>
    <w:rsid w:val="65DC02BD"/>
    <w:rsid w:val="65F20792"/>
    <w:rsid w:val="665F0BF8"/>
    <w:rsid w:val="66683E35"/>
    <w:rsid w:val="66805202"/>
    <w:rsid w:val="669929BC"/>
    <w:rsid w:val="671513A2"/>
    <w:rsid w:val="6751773B"/>
    <w:rsid w:val="675524C9"/>
    <w:rsid w:val="6786769D"/>
    <w:rsid w:val="67EF7A91"/>
    <w:rsid w:val="6809308D"/>
    <w:rsid w:val="681F0A32"/>
    <w:rsid w:val="683250B3"/>
    <w:rsid w:val="6850354E"/>
    <w:rsid w:val="686F14A0"/>
    <w:rsid w:val="687453D3"/>
    <w:rsid w:val="689F4FE6"/>
    <w:rsid w:val="68A50347"/>
    <w:rsid w:val="68B82285"/>
    <w:rsid w:val="68E64EE3"/>
    <w:rsid w:val="69112C50"/>
    <w:rsid w:val="6949395E"/>
    <w:rsid w:val="6975143C"/>
    <w:rsid w:val="69A6726C"/>
    <w:rsid w:val="69BF42E1"/>
    <w:rsid w:val="69EE387C"/>
    <w:rsid w:val="69FD3C02"/>
    <w:rsid w:val="6A0C34CA"/>
    <w:rsid w:val="6A4F2AB4"/>
    <w:rsid w:val="6A937CCC"/>
    <w:rsid w:val="6AC575BA"/>
    <w:rsid w:val="6AD374A7"/>
    <w:rsid w:val="6AE7507D"/>
    <w:rsid w:val="6B1B7E43"/>
    <w:rsid w:val="6B3C053F"/>
    <w:rsid w:val="6B476E8A"/>
    <w:rsid w:val="6B671F1B"/>
    <w:rsid w:val="6B82704C"/>
    <w:rsid w:val="6BAB75BB"/>
    <w:rsid w:val="6BAF2C21"/>
    <w:rsid w:val="6BD61B15"/>
    <w:rsid w:val="6BEE1101"/>
    <w:rsid w:val="6C021003"/>
    <w:rsid w:val="6C1D2BD2"/>
    <w:rsid w:val="6C6B7E0B"/>
    <w:rsid w:val="6C894D3A"/>
    <w:rsid w:val="6CB13A6F"/>
    <w:rsid w:val="6CDC063C"/>
    <w:rsid w:val="6CFB692B"/>
    <w:rsid w:val="6D3805EE"/>
    <w:rsid w:val="6D6E7A05"/>
    <w:rsid w:val="6D981EF7"/>
    <w:rsid w:val="6DDE25F3"/>
    <w:rsid w:val="6DF616AD"/>
    <w:rsid w:val="6DFE57FA"/>
    <w:rsid w:val="6E02415E"/>
    <w:rsid w:val="6E1B0A00"/>
    <w:rsid w:val="6E2A0D90"/>
    <w:rsid w:val="6E3E0D68"/>
    <w:rsid w:val="6E7408C4"/>
    <w:rsid w:val="6EA91C0A"/>
    <w:rsid w:val="6EC30F1E"/>
    <w:rsid w:val="6EDC48A6"/>
    <w:rsid w:val="6EF7433B"/>
    <w:rsid w:val="6FA66085"/>
    <w:rsid w:val="6FB40B76"/>
    <w:rsid w:val="6FC17BD8"/>
    <w:rsid w:val="6FDF3FA3"/>
    <w:rsid w:val="6FE97CD1"/>
    <w:rsid w:val="703D260A"/>
    <w:rsid w:val="708013F5"/>
    <w:rsid w:val="70980188"/>
    <w:rsid w:val="70B9791A"/>
    <w:rsid w:val="70C90342"/>
    <w:rsid w:val="70F537D8"/>
    <w:rsid w:val="71136C39"/>
    <w:rsid w:val="7183453E"/>
    <w:rsid w:val="71AB44FE"/>
    <w:rsid w:val="71ED5168"/>
    <w:rsid w:val="7260474D"/>
    <w:rsid w:val="72742572"/>
    <w:rsid w:val="72A004C1"/>
    <w:rsid w:val="72B97FD0"/>
    <w:rsid w:val="72DA65F8"/>
    <w:rsid w:val="73166A37"/>
    <w:rsid w:val="732A71D7"/>
    <w:rsid w:val="734E1478"/>
    <w:rsid w:val="73505172"/>
    <w:rsid w:val="73522870"/>
    <w:rsid w:val="73542925"/>
    <w:rsid w:val="73646D73"/>
    <w:rsid w:val="73974727"/>
    <w:rsid w:val="73F43712"/>
    <w:rsid w:val="74021A26"/>
    <w:rsid w:val="740E43AB"/>
    <w:rsid w:val="74932A0C"/>
    <w:rsid w:val="74BA419A"/>
    <w:rsid w:val="74CA36C9"/>
    <w:rsid w:val="74ED0EF8"/>
    <w:rsid w:val="74FD0657"/>
    <w:rsid w:val="752124FA"/>
    <w:rsid w:val="756F54DA"/>
    <w:rsid w:val="75856EB5"/>
    <w:rsid w:val="75985B4C"/>
    <w:rsid w:val="762632A3"/>
    <w:rsid w:val="76297C68"/>
    <w:rsid w:val="76297CCC"/>
    <w:rsid w:val="76E94BEB"/>
    <w:rsid w:val="77A37E61"/>
    <w:rsid w:val="77DC6BAC"/>
    <w:rsid w:val="77FC2009"/>
    <w:rsid w:val="780B7492"/>
    <w:rsid w:val="78123816"/>
    <w:rsid w:val="78564BBD"/>
    <w:rsid w:val="785E2688"/>
    <w:rsid w:val="78753B6C"/>
    <w:rsid w:val="78875432"/>
    <w:rsid w:val="78931A17"/>
    <w:rsid w:val="78A12FD9"/>
    <w:rsid w:val="78C10DF7"/>
    <w:rsid w:val="78EA354B"/>
    <w:rsid w:val="79097F2C"/>
    <w:rsid w:val="7928668A"/>
    <w:rsid w:val="79A13BB0"/>
    <w:rsid w:val="79E236A0"/>
    <w:rsid w:val="79FA4411"/>
    <w:rsid w:val="7A08555C"/>
    <w:rsid w:val="7A21535E"/>
    <w:rsid w:val="7A22231A"/>
    <w:rsid w:val="7A2B1969"/>
    <w:rsid w:val="7A811CF7"/>
    <w:rsid w:val="7AB13EAA"/>
    <w:rsid w:val="7AB527E6"/>
    <w:rsid w:val="7AB92EC7"/>
    <w:rsid w:val="7ABF1204"/>
    <w:rsid w:val="7B0408F4"/>
    <w:rsid w:val="7B0459B3"/>
    <w:rsid w:val="7B45318A"/>
    <w:rsid w:val="7B623B5F"/>
    <w:rsid w:val="7B9F5261"/>
    <w:rsid w:val="7BBD49E6"/>
    <w:rsid w:val="7BD706E6"/>
    <w:rsid w:val="7C0C7F8B"/>
    <w:rsid w:val="7C5F6553"/>
    <w:rsid w:val="7C60417D"/>
    <w:rsid w:val="7C7E64EA"/>
    <w:rsid w:val="7C9A6970"/>
    <w:rsid w:val="7CFE2E70"/>
    <w:rsid w:val="7D0148E6"/>
    <w:rsid w:val="7D790FB7"/>
    <w:rsid w:val="7DB36117"/>
    <w:rsid w:val="7DBA51E5"/>
    <w:rsid w:val="7DF96931"/>
    <w:rsid w:val="7E015071"/>
    <w:rsid w:val="7E1E60AD"/>
    <w:rsid w:val="7E300C69"/>
    <w:rsid w:val="7E3C05B4"/>
    <w:rsid w:val="7E5F1447"/>
    <w:rsid w:val="7E8456A7"/>
    <w:rsid w:val="7EF44113"/>
    <w:rsid w:val="7F4D6EAC"/>
    <w:rsid w:val="7F7A1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44"/>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9"/>
    <w:pPr>
      <w:keepNext/>
      <w:keepLines/>
      <w:spacing w:before="260" w:after="260" w:line="416" w:lineRule="auto"/>
      <w:outlineLvl w:val="2"/>
    </w:pPr>
    <w:rPr>
      <w:rFonts w:ascii="宋体"/>
      <w:b/>
      <w:bCs/>
      <w:kern w:val="0"/>
      <w:sz w:val="32"/>
      <w:szCs w:val="32"/>
    </w:rPr>
  </w:style>
  <w:style w:type="paragraph" w:styleId="7">
    <w:name w:val="heading 4"/>
    <w:basedOn w:val="1"/>
    <w:next w:val="1"/>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qFormat/>
    <w:uiPriority w:val="9"/>
    <w:pPr>
      <w:keepNext/>
      <w:keepLines/>
      <w:widowControl/>
      <w:spacing w:before="120" w:after="120" w:line="360" w:lineRule="auto"/>
      <w:ind w:firstLine="499"/>
      <w:jc w:val="left"/>
      <w:outlineLvl w:val="4"/>
    </w:pPr>
    <w:rPr>
      <w:rFonts w:ascii="宋体" w:hAnsi="宋体"/>
      <w:b/>
      <w:kern w:val="0"/>
      <w:sz w:val="24"/>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9">
    <w:name w:val="annotation text"/>
    <w:basedOn w:val="1"/>
    <w:qFormat/>
    <w:uiPriority w:val="0"/>
    <w:pPr>
      <w:jc w:val="left"/>
    </w:pPr>
  </w:style>
  <w:style w:type="paragraph" w:styleId="10">
    <w:name w:val="Body Text Indent"/>
    <w:basedOn w:val="1"/>
    <w:next w:val="11"/>
    <w:link w:val="47"/>
    <w:qFormat/>
    <w:uiPriority w:val="99"/>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1"/>
    </w:rPr>
  </w:style>
  <w:style w:type="paragraph" w:styleId="13">
    <w:name w:val="Balloon Text"/>
    <w:basedOn w:val="1"/>
    <w:link w:val="46"/>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unhideWhenUsed/>
    <w:qFormat/>
    <w:uiPriority w:val="0"/>
    <w:pPr>
      <w:spacing w:line="360" w:lineRule="auto"/>
      <w:ind w:left="200" w:hanging="200" w:hangingChars="200"/>
      <w:contextualSpacing/>
    </w:pPr>
    <w:rPr>
      <w:sz w:val="24"/>
      <w:szCs w:val="22"/>
    </w:rPr>
  </w:style>
  <w:style w:type="paragraph" w:styleId="17">
    <w:name w:val="Normal (Web)"/>
    <w:basedOn w:val="1"/>
    <w:qFormat/>
    <w:uiPriority w:val="0"/>
    <w:pPr>
      <w:spacing w:beforeAutospacing="1" w:afterAutospacing="1"/>
    </w:pPr>
  </w:style>
  <w:style w:type="paragraph" w:styleId="18">
    <w:name w:val="Body Text First Indent"/>
    <w:basedOn w:val="2"/>
    <w:qFormat/>
    <w:uiPriority w:val="0"/>
    <w:pPr>
      <w:ind w:firstLine="420" w:firstLineChars="100"/>
    </w:pPr>
  </w:style>
  <w:style w:type="paragraph" w:styleId="19">
    <w:name w:val="Body Text First Indent 2"/>
    <w:basedOn w:val="10"/>
    <w:link w:val="48"/>
    <w:qFormat/>
    <w:uiPriority w:val="99"/>
    <w:pPr>
      <w:ind w:firstLine="20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99"/>
    <w:rPr>
      <w:rFonts w:hint="eastAsia" w:ascii="微软雅黑" w:hAnsi="微软雅黑" w:eastAsia="微软雅黑" w:cs="微软雅黑"/>
      <w:color w:val="800080"/>
      <w:u w:val="none"/>
    </w:rPr>
  </w:style>
  <w:style w:type="character" w:styleId="26">
    <w:name w:val="Hyperlink"/>
    <w:basedOn w:val="22"/>
    <w:qFormat/>
    <w:uiPriority w:val="99"/>
    <w:rPr>
      <w:rFonts w:hint="eastAsia" w:ascii="微软雅黑" w:hAnsi="微软雅黑" w:eastAsia="微软雅黑" w:cs="微软雅黑"/>
      <w:color w:val="0000FF"/>
      <w:u w:val="none"/>
    </w:rPr>
  </w:style>
  <w:style w:type="paragraph" w:customStyle="1" w:styleId="27">
    <w:name w:val="目录 71"/>
    <w:next w:val="1"/>
    <w:qFormat/>
    <w:uiPriority w:val="0"/>
    <w:pPr>
      <w:framePr w:wrap="around" w:vAnchor="margin" w:hAnchor="text" w:yAlign="top"/>
      <w:widowControl w:val="0"/>
      <w:ind w:left="2520"/>
      <w:jc w:val="both"/>
    </w:pPr>
    <w:rPr>
      <w:rFonts w:ascii="Calibri" w:hAnsi="Calibri" w:eastAsia="Arial Unicode MS" w:cs="Arial Unicode MS"/>
      <w:color w:val="000000"/>
      <w:kern w:val="2"/>
      <w:sz w:val="21"/>
      <w:szCs w:val="21"/>
      <w:u w:color="000000"/>
      <w:lang w:val="en-US" w:eastAsia="zh-CN" w:bidi="ar-SA"/>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1">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引言二级条标题"/>
    <w:basedOn w:val="33"/>
    <w:next w:val="34"/>
    <w:qFormat/>
    <w:uiPriority w:val="99"/>
    <w:pPr>
      <w:numPr>
        <w:ilvl w:val="1"/>
        <w:numId w:val="3"/>
      </w:numPr>
      <w:tabs>
        <w:tab w:val="left" w:pos="360"/>
        <w:tab w:val="left" w:pos="1200"/>
      </w:tabs>
    </w:pPr>
    <w:rPr>
      <w:b w:val="0"/>
    </w:rPr>
  </w:style>
  <w:style w:type="paragraph" w:customStyle="1" w:styleId="33">
    <w:name w:val="引言一级条标题"/>
    <w:basedOn w:val="1"/>
    <w:next w:val="34"/>
    <w:qFormat/>
    <w:uiPriority w:val="99"/>
    <w:pPr>
      <w:numPr>
        <w:ilvl w:val="0"/>
        <w:numId w:val="4"/>
      </w:numPr>
    </w:pPr>
    <w:rPr>
      <w:rFonts w:eastAsia="黑体"/>
      <w:b/>
      <w:szCs w:val="20"/>
    </w:rPr>
  </w:style>
  <w:style w:type="paragraph" w:customStyle="1" w:styleId="34">
    <w:name w:val="段"/>
    <w:qFormat/>
    <w:uiPriority w:val="0"/>
    <w:pPr>
      <w:autoSpaceDE w:val="0"/>
      <w:autoSpaceDN w:val="0"/>
      <w:ind w:firstLine="200" w:firstLineChars="200"/>
      <w:jc w:val="both"/>
    </w:pPr>
    <w:rPr>
      <w:rFonts w:ascii="宋体" w:hAnsi="宋体" w:eastAsia="宋体" w:cs="黑体"/>
      <w:sz w:val="21"/>
      <w:szCs w:val="22"/>
      <w:lang w:val="en-US" w:eastAsia="zh-CN" w:bidi="ar-SA"/>
    </w:rPr>
  </w:style>
  <w:style w:type="character" w:customStyle="1" w:styleId="35">
    <w:name w:val="font61"/>
    <w:basedOn w:val="22"/>
    <w:qFormat/>
    <w:uiPriority w:val="0"/>
    <w:rPr>
      <w:rFonts w:hint="eastAsia" w:ascii="宋体" w:hAnsi="宋体" w:eastAsia="宋体" w:cs="宋体"/>
      <w:color w:val="000000"/>
      <w:sz w:val="20"/>
      <w:szCs w:val="20"/>
      <w:u w:val="none"/>
      <w:vertAlign w:val="superscript"/>
    </w:rPr>
  </w:style>
  <w:style w:type="character" w:customStyle="1" w:styleId="36">
    <w:name w:val="dg-flex-item"/>
    <w:basedOn w:val="22"/>
    <w:qFormat/>
    <w:uiPriority w:val="0"/>
  </w:style>
  <w:style w:type="character" w:customStyle="1" w:styleId="37">
    <w:name w:val="not([class*=suffix])"/>
    <w:basedOn w:val="22"/>
    <w:qFormat/>
    <w:uiPriority w:val="0"/>
    <w:rPr>
      <w:sz w:val="19"/>
      <w:szCs w:val="19"/>
    </w:rPr>
  </w:style>
  <w:style w:type="character" w:customStyle="1" w:styleId="38">
    <w:name w:val="not([class*=suffix])1"/>
    <w:basedOn w:val="22"/>
    <w:qFormat/>
    <w:uiPriority w:val="0"/>
  </w:style>
  <w:style w:type="character" w:customStyle="1" w:styleId="39">
    <w:name w:val="dg-flex-item2"/>
    <w:basedOn w:val="22"/>
    <w:qFormat/>
    <w:uiPriority w:val="0"/>
  </w:style>
  <w:style w:type="character" w:customStyle="1" w:styleId="40">
    <w:name w:val="font91"/>
    <w:qFormat/>
    <w:uiPriority w:val="0"/>
    <w:rPr>
      <w:rFonts w:hint="eastAsia" w:ascii="宋体" w:hAnsi="宋体" w:eastAsia="宋体" w:cs="宋体"/>
      <w:color w:val="000000"/>
      <w:sz w:val="21"/>
      <w:szCs w:val="21"/>
      <w:u w:val="none"/>
    </w:rPr>
  </w:style>
  <w:style w:type="character" w:customStyle="1" w:styleId="41">
    <w:name w:val="font81"/>
    <w:qFormat/>
    <w:uiPriority w:val="0"/>
    <w:rPr>
      <w:rFonts w:hint="default" w:ascii="Times New Roman" w:hAnsi="Times New Roman" w:cs="Times New Roman"/>
      <w:color w:val="000000"/>
      <w:sz w:val="21"/>
      <w:szCs w:val="21"/>
      <w:u w:val="single"/>
    </w:rPr>
  </w:style>
  <w:style w:type="character" w:customStyle="1" w:styleId="42">
    <w:name w:val="font131"/>
    <w:qFormat/>
    <w:uiPriority w:val="0"/>
    <w:rPr>
      <w:rFonts w:hint="default" w:ascii="Times New Roman" w:hAnsi="Times New Roman" w:cs="Times New Roman"/>
      <w:color w:val="000000"/>
      <w:sz w:val="21"/>
      <w:szCs w:val="21"/>
      <w:u w:val="none"/>
    </w:rPr>
  </w:style>
  <w:style w:type="character" w:customStyle="1" w:styleId="43">
    <w:name w:val="无"/>
    <w:qFormat/>
    <w:uiPriority w:val="0"/>
  </w:style>
  <w:style w:type="character" w:customStyle="1" w:styleId="44">
    <w:name w:val="标题 2 字符"/>
    <w:link w:val="5"/>
    <w:qFormat/>
    <w:uiPriority w:val="0"/>
    <w:rPr>
      <w:rFonts w:ascii="Arial" w:hAnsi="Arial"/>
      <w:b/>
      <w:bCs/>
      <w:sz w:val="28"/>
      <w:szCs w:val="32"/>
    </w:rPr>
  </w:style>
  <w:style w:type="character" w:customStyle="1" w:styleId="45">
    <w:name w:val="页眉 字符"/>
    <w:basedOn w:val="22"/>
    <w:link w:val="15"/>
    <w:qFormat/>
    <w:uiPriority w:val="0"/>
    <w:rPr>
      <w:rFonts w:asciiTheme="minorHAnsi" w:hAnsiTheme="minorHAnsi" w:eastAsiaTheme="minorEastAsia" w:cstheme="minorBidi"/>
      <w:kern w:val="2"/>
      <w:sz w:val="18"/>
      <w:szCs w:val="18"/>
    </w:rPr>
  </w:style>
  <w:style w:type="character" w:customStyle="1" w:styleId="46">
    <w:name w:val="批注框文本 字符"/>
    <w:basedOn w:val="22"/>
    <w:link w:val="13"/>
    <w:qFormat/>
    <w:uiPriority w:val="0"/>
    <w:rPr>
      <w:rFonts w:asciiTheme="minorHAnsi" w:hAnsiTheme="minorHAnsi" w:eastAsiaTheme="minorEastAsia" w:cstheme="minorBidi"/>
      <w:kern w:val="2"/>
      <w:sz w:val="18"/>
      <w:szCs w:val="18"/>
    </w:rPr>
  </w:style>
  <w:style w:type="character" w:customStyle="1" w:styleId="47">
    <w:name w:val="正文文本缩进 字符"/>
    <w:basedOn w:val="22"/>
    <w:link w:val="10"/>
    <w:qFormat/>
    <w:uiPriority w:val="99"/>
    <w:rPr>
      <w:rFonts w:asciiTheme="minorHAnsi" w:hAnsiTheme="minorHAnsi" w:eastAsiaTheme="minorEastAsia" w:cstheme="minorBidi"/>
      <w:kern w:val="2"/>
      <w:sz w:val="21"/>
      <w:szCs w:val="24"/>
    </w:rPr>
  </w:style>
  <w:style w:type="character" w:customStyle="1" w:styleId="48">
    <w:name w:val="正文文本首行缩进 2 字符"/>
    <w:basedOn w:val="47"/>
    <w:link w:val="19"/>
    <w:qFormat/>
    <w:uiPriority w:val="99"/>
    <w:rPr>
      <w:rFonts w:asciiTheme="minorHAnsi" w:hAnsiTheme="minorHAnsi" w:eastAsiaTheme="minorEastAsia" w:cstheme="minorBidi"/>
      <w:kern w:val="2"/>
      <w:sz w:val="21"/>
      <w:szCs w:val="24"/>
    </w:rPr>
  </w:style>
  <w:style w:type="paragraph" w:customStyle="1" w:styleId="49">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1">
    <w:name w:val="xl6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5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5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58">
    <w:name w:val="font11"/>
    <w:basedOn w:val="22"/>
    <w:autoRedefine/>
    <w:qFormat/>
    <w:uiPriority w:val="0"/>
    <w:rPr>
      <w:rFonts w:hint="default" w:ascii="Times New Roman" w:hAnsi="Times New Roman" w:cs="Times New Roman"/>
      <w:color w:val="000000"/>
      <w:sz w:val="20"/>
      <w:szCs w:val="20"/>
      <w:u w:val="none"/>
    </w:rPr>
  </w:style>
  <w:style w:type="character" w:customStyle="1" w:styleId="59">
    <w:name w:val="font51"/>
    <w:basedOn w:val="22"/>
    <w:autoRedefine/>
    <w:qFormat/>
    <w:uiPriority w:val="0"/>
    <w:rPr>
      <w:rFonts w:hint="eastAsia" w:ascii="宋体" w:hAnsi="宋体" w:eastAsia="宋体" w:cs="宋体"/>
      <w:color w:val="000000"/>
      <w:sz w:val="16"/>
      <w:szCs w:val="16"/>
      <w:u w:val="none"/>
    </w:rPr>
  </w:style>
  <w:style w:type="character" w:customStyle="1" w:styleId="60">
    <w:name w:val="font101"/>
    <w:qFormat/>
    <w:uiPriority w:val="0"/>
    <w:rPr>
      <w:rFonts w:ascii="Segoe UI Symbol" w:hAnsi="Segoe UI Symbol" w:eastAsia="Segoe UI Symbol" w:cs="Segoe UI Symbol"/>
      <w:color w:val="000000"/>
      <w:sz w:val="21"/>
      <w:szCs w:val="21"/>
      <w:u w:val="none"/>
    </w:rPr>
  </w:style>
  <w:style w:type="character" w:customStyle="1" w:styleId="61">
    <w:name w:val="font31"/>
    <w:basedOn w:val="2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5209</Words>
  <Characters>5677</Characters>
  <Lines>211</Lines>
  <Paragraphs>59</Paragraphs>
  <TotalTime>95</TotalTime>
  <ScaleCrop>false</ScaleCrop>
  <LinksUpToDate>false</LinksUpToDate>
  <CharactersWithSpaces>5844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2024-07-05T03:13:00Z</dcterms:created>
  <dc:creator>cpc</dc:creator>
  <cp:lastModifiedBy>心心好稀罕</cp:lastModifiedBy>
  <cp:lastPrinted>2025-05-20T07:23:09Z</cp:lastPrinted>
  <dcterms:modified xsi:type="dcterms:W3CDTF">2025-05-20T07:23:19Z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5F60291152E44034BC334FBF4E56B2DC_13</vt:lpwstr>
  </property>
  <property fmtid="{D5CDD505-2E9C-101B-9397-08002B2CF9AE}" pid="4" name="KSOTemplateDocerSaveRecord">
    <vt:lpwstr>eyJoZGlkIjoiMTU5ZjhhZGU3MGEwODY4NTkxY2Y4M2MwZjE0M2JjNDIiLCJ1c2VySWQiOiIxMjkzMzYzMTY1In0=</vt:lpwstr>
  </property>
</Properties>
</file>